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3DB8C" w14:textId="6B97D3CC" w:rsidR="009351E2" w:rsidRPr="00653E85" w:rsidRDefault="009351E2" w:rsidP="009351E2">
      <w:pPr>
        <w:tabs>
          <w:tab w:val="left" w:pos="720"/>
        </w:tabs>
        <w:spacing w:after="0" w:line="276" w:lineRule="auto"/>
        <w:jc w:val="right"/>
        <w:rPr>
          <w:rFonts w:asciiTheme="majorHAnsi" w:eastAsia="Times New Roman" w:hAnsiTheme="majorHAnsi" w:cstheme="majorHAnsi"/>
          <w:bCs/>
          <w:sz w:val="28"/>
          <w:szCs w:val="28"/>
          <w:lang w:val="ro-MD"/>
        </w:rPr>
      </w:pPr>
      <w:bookmarkStart w:id="0" w:name="_Toc468866344"/>
      <w:bookmarkStart w:id="1" w:name="_GoBack"/>
      <w:bookmarkEnd w:id="1"/>
      <w:r w:rsidRPr="00653E85">
        <w:rPr>
          <w:rFonts w:asciiTheme="majorHAnsi" w:eastAsia="Times New Roman" w:hAnsiTheme="majorHAnsi" w:cstheme="majorHAnsi"/>
          <w:bCs/>
          <w:sz w:val="28"/>
          <w:szCs w:val="28"/>
          <w:lang w:val="ro-MD"/>
        </w:rPr>
        <w:t xml:space="preserve">Anexă </w:t>
      </w:r>
    </w:p>
    <w:p w14:paraId="37DA88DD" w14:textId="77777777" w:rsidR="009351E2" w:rsidRPr="00653E85" w:rsidRDefault="009351E2" w:rsidP="009351E2">
      <w:pPr>
        <w:tabs>
          <w:tab w:val="left" w:pos="720"/>
        </w:tabs>
        <w:spacing w:after="0" w:line="276" w:lineRule="auto"/>
        <w:jc w:val="right"/>
        <w:rPr>
          <w:rFonts w:asciiTheme="majorHAnsi" w:eastAsia="Times New Roman" w:hAnsiTheme="majorHAnsi" w:cstheme="majorHAnsi"/>
          <w:bCs/>
          <w:sz w:val="28"/>
          <w:szCs w:val="28"/>
          <w:lang w:val="ro-MD"/>
        </w:rPr>
      </w:pPr>
      <w:r w:rsidRPr="00653E85">
        <w:rPr>
          <w:rFonts w:asciiTheme="majorHAnsi" w:eastAsia="Times New Roman" w:hAnsiTheme="majorHAnsi" w:cstheme="majorHAnsi"/>
          <w:bCs/>
          <w:sz w:val="28"/>
          <w:szCs w:val="28"/>
          <w:lang w:val="ro-MD"/>
        </w:rPr>
        <w:t xml:space="preserve">la Hotărârea Curții de Conturi </w:t>
      </w:r>
    </w:p>
    <w:p w14:paraId="55C15BA1" w14:textId="0094E8B7" w:rsidR="009351E2" w:rsidRPr="00653E85" w:rsidRDefault="009351E2" w:rsidP="009351E2">
      <w:pPr>
        <w:tabs>
          <w:tab w:val="left" w:pos="720"/>
        </w:tabs>
        <w:spacing w:after="0" w:line="276" w:lineRule="auto"/>
        <w:jc w:val="right"/>
        <w:rPr>
          <w:rFonts w:asciiTheme="majorHAnsi" w:eastAsia="Times New Roman" w:hAnsiTheme="majorHAnsi" w:cstheme="majorHAnsi"/>
          <w:bCs/>
          <w:color w:val="1F4E79" w:themeColor="accent1" w:themeShade="80"/>
          <w:sz w:val="28"/>
          <w:szCs w:val="28"/>
          <w:lang w:val="ro-MD"/>
        </w:rPr>
      </w:pPr>
      <w:r w:rsidRPr="00653E85">
        <w:rPr>
          <w:rFonts w:asciiTheme="majorHAnsi" w:eastAsia="Times New Roman" w:hAnsiTheme="majorHAnsi" w:cstheme="majorHAnsi"/>
          <w:bCs/>
          <w:sz w:val="28"/>
          <w:szCs w:val="28"/>
          <w:lang w:val="ro-MD"/>
        </w:rPr>
        <w:t xml:space="preserve"> nr.</w:t>
      </w:r>
      <w:r w:rsidR="00FB7074">
        <w:rPr>
          <w:rFonts w:asciiTheme="majorHAnsi" w:eastAsia="Times New Roman" w:hAnsiTheme="majorHAnsi" w:cstheme="majorHAnsi"/>
          <w:bCs/>
          <w:sz w:val="28"/>
          <w:szCs w:val="28"/>
          <w:lang w:val="ro-MD"/>
        </w:rPr>
        <w:t>18</w:t>
      </w:r>
      <w:r w:rsidR="00446B99" w:rsidRPr="00653E85">
        <w:rPr>
          <w:rFonts w:asciiTheme="majorHAnsi" w:eastAsia="Times New Roman" w:hAnsiTheme="majorHAnsi" w:cstheme="majorHAnsi"/>
          <w:bCs/>
          <w:sz w:val="28"/>
          <w:szCs w:val="28"/>
          <w:lang w:val="ro-MD"/>
        </w:rPr>
        <w:t xml:space="preserve"> </w:t>
      </w:r>
      <w:r w:rsidRPr="00653E85">
        <w:rPr>
          <w:rFonts w:asciiTheme="majorHAnsi" w:eastAsia="Times New Roman" w:hAnsiTheme="majorHAnsi" w:cstheme="majorHAnsi"/>
          <w:bCs/>
          <w:sz w:val="28"/>
          <w:szCs w:val="28"/>
          <w:lang w:val="ro-MD"/>
        </w:rPr>
        <w:t xml:space="preserve">din </w:t>
      </w:r>
      <w:r w:rsidR="00566235" w:rsidRPr="00653E85">
        <w:rPr>
          <w:rFonts w:asciiTheme="majorHAnsi" w:eastAsia="Times New Roman" w:hAnsiTheme="majorHAnsi" w:cstheme="majorHAnsi"/>
          <w:bCs/>
          <w:sz w:val="28"/>
          <w:szCs w:val="28"/>
          <w:lang w:val="ro-MD"/>
        </w:rPr>
        <w:t>2</w:t>
      </w:r>
      <w:r w:rsidR="00024A31" w:rsidRPr="00653E85">
        <w:rPr>
          <w:rFonts w:asciiTheme="majorHAnsi" w:eastAsia="Times New Roman" w:hAnsiTheme="majorHAnsi" w:cstheme="majorHAnsi"/>
          <w:bCs/>
          <w:sz w:val="28"/>
          <w:szCs w:val="28"/>
          <w:lang w:val="ro-MD"/>
        </w:rPr>
        <w:t>5</w:t>
      </w:r>
      <w:r w:rsidR="00566235" w:rsidRPr="00653E85">
        <w:rPr>
          <w:rFonts w:asciiTheme="majorHAnsi" w:eastAsia="Times New Roman" w:hAnsiTheme="majorHAnsi" w:cstheme="majorHAnsi"/>
          <w:bCs/>
          <w:sz w:val="28"/>
          <w:szCs w:val="28"/>
          <w:lang w:val="ro-MD"/>
        </w:rPr>
        <w:t xml:space="preserve"> mai</w:t>
      </w:r>
      <w:r w:rsidRPr="00653E85">
        <w:rPr>
          <w:rFonts w:asciiTheme="majorHAnsi" w:eastAsia="Times New Roman" w:hAnsiTheme="majorHAnsi" w:cstheme="majorHAnsi"/>
          <w:bCs/>
          <w:sz w:val="28"/>
          <w:szCs w:val="28"/>
          <w:lang w:val="ro-MD"/>
        </w:rPr>
        <w:t xml:space="preserve"> 202</w:t>
      </w:r>
      <w:r w:rsidR="00024A31" w:rsidRPr="00653E85">
        <w:rPr>
          <w:rFonts w:asciiTheme="majorHAnsi" w:eastAsia="Times New Roman" w:hAnsiTheme="majorHAnsi" w:cstheme="majorHAnsi"/>
          <w:bCs/>
          <w:sz w:val="28"/>
          <w:szCs w:val="28"/>
          <w:lang w:val="ro-MD"/>
        </w:rPr>
        <w:t>3</w:t>
      </w:r>
    </w:p>
    <w:p w14:paraId="75E5050E" w14:textId="77777777" w:rsidR="009351E2" w:rsidRPr="00653E85" w:rsidRDefault="009351E2" w:rsidP="009351E2">
      <w:pPr>
        <w:tabs>
          <w:tab w:val="left" w:pos="7200"/>
        </w:tabs>
        <w:spacing w:after="0" w:line="276" w:lineRule="auto"/>
        <w:rPr>
          <w:rFonts w:asciiTheme="majorHAnsi" w:hAnsiTheme="majorHAnsi" w:cstheme="majorHAnsi"/>
          <w:lang w:val="ro-MD"/>
        </w:rPr>
      </w:pPr>
    </w:p>
    <w:p w14:paraId="6DFFD48E" w14:textId="77777777" w:rsidR="009351E2" w:rsidRPr="00653E85" w:rsidRDefault="009351E2" w:rsidP="009351E2">
      <w:pPr>
        <w:spacing w:after="0" w:line="276" w:lineRule="auto"/>
        <w:rPr>
          <w:rFonts w:asciiTheme="majorHAnsi" w:hAnsiTheme="majorHAnsi" w:cstheme="majorHAnsi"/>
          <w:lang w:val="ro-MD"/>
        </w:rPr>
      </w:pPr>
    </w:p>
    <w:p w14:paraId="0A8A5023" w14:textId="77777777" w:rsidR="009351E2" w:rsidRPr="00653E85" w:rsidRDefault="009351E2" w:rsidP="009351E2">
      <w:pPr>
        <w:spacing w:after="0" w:line="276" w:lineRule="auto"/>
        <w:rPr>
          <w:rFonts w:asciiTheme="majorHAnsi" w:hAnsiTheme="majorHAnsi" w:cstheme="majorHAnsi"/>
          <w:lang w:val="ro-MD"/>
        </w:rPr>
      </w:pPr>
    </w:p>
    <w:p w14:paraId="77310EA0" w14:textId="77777777" w:rsidR="009351E2" w:rsidRPr="00653E85" w:rsidRDefault="009351E2" w:rsidP="009351E2">
      <w:pPr>
        <w:spacing w:after="0" w:line="276" w:lineRule="auto"/>
        <w:jc w:val="center"/>
        <w:rPr>
          <w:rFonts w:asciiTheme="majorHAnsi" w:hAnsiTheme="majorHAnsi" w:cstheme="majorHAnsi"/>
          <w:b/>
          <w:sz w:val="28"/>
          <w:szCs w:val="28"/>
          <w:lang w:val="ro-MD"/>
        </w:rPr>
      </w:pPr>
    </w:p>
    <w:p w14:paraId="300B0E01" w14:textId="77777777" w:rsidR="009351E2" w:rsidRPr="00653E85" w:rsidRDefault="009351E2" w:rsidP="009351E2">
      <w:pPr>
        <w:spacing w:after="0" w:line="276" w:lineRule="auto"/>
        <w:jc w:val="center"/>
        <w:rPr>
          <w:rFonts w:asciiTheme="majorHAnsi" w:hAnsiTheme="majorHAnsi" w:cstheme="majorHAnsi"/>
          <w:b/>
          <w:sz w:val="28"/>
          <w:szCs w:val="28"/>
          <w:lang w:val="ro-MD"/>
        </w:rPr>
      </w:pPr>
      <w:r w:rsidRPr="00653E85">
        <w:rPr>
          <w:rFonts w:asciiTheme="majorHAnsi" w:hAnsiTheme="majorHAnsi" w:cstheme="majorHAnsi"/>
          <w:b/>
          <w:noProof/>
          <w:sz w:val="28"/>
          <w:szCs w:val="28"/>
          <w:lang w:val="ru-RU" w:eastAsia="ru-RU"/>
        </w:rPr>
        <w:drawing>
          <wp:inline distT="0" distB="0" distL="0" distR="0" wp14:anchorId="34056663" wp14:editId="4E35B44A">
            <wp:extent cx="1377950" cy="13836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1383665"/>
                    </a:xfrm>
                    <a:prstGeom prst="rect">
                      <a:avLst/>
                    </a:prstGeom>
                    <a:noFill/>
                  </pic:spPr>
                </pic:pic>
              </a:graphicData>
            </a:graphic>
          </wp:inline>
        </w:drawing>
      </w:r>
    </w:p>
    <w:p w14:paraId="33251C33" w14:textId="77777777" w:rsidR="009351E2" w:rsidRPr="00653E85" w:rsidRDefault="009351E2" w:rsidP="009351E2">
      <w:pPr>
        <w:spacing w:after="0" w:line="276" w:lineRule="auto"/>
        <w:rPr>
          <w:rFonts w:asciiTheme="majorHAnsi" w:hAnsiTheme="majorHAnsi" w:cstheme="majorHAnsi"/>
          <w:i/>
          <w:sz w:val="24"/>
          <w:szCs w:val="24"/>
          <w:lang w:val="ro-MD"/>
        </w:rPr>
      </w:pPr>
    </w:p>
    <w:p w14:paraId="31B79038" w14:textId="77777777" w:rsidR="009351E2" w:rsidRPr="00653E85" w:rsidRDefault="009351E2" w:rsidP="009351E2">
      <w:pPr>
        <w:spacing w:after="0" w:line="276" w:lineRule="auto"/>
        <w:rPr>
          <w:rFonts w:asciiTheme="majorHAnsi" w:hAnsiTheme="majorHAnsi" w:cstheme="majorHAnsi"/>
          <w:i/>
          <w:sz w:val="24"/>
          <w:szCs w:val="24"/>
          <w:lang w:val="ro-MD"/>
        </w:rPr>
      </w:pPr>
    </w:p>
    <w:p w14:paraId="6A2476F4" w14:textId="77777777" w:rsidR="009351E2" w:rsidRPr="00653E85" w:rsidRDefault="009351E2" w:rsidP="009351E2">
      <w:pPr>
        <w:spacing w:after="0" w:line="276" w:lineRule="auto"/>
        <w:rPr>
          <w:rFonts w:asciiTheme="majorHAnsi" w:hAnsiTheme="majorHAnsi" w:cstheme="majorHAnsi"/>
          <w:i/>
          <w:sz w:val="24"/>
          <w:szCs w:val="24"/>
          <w:lang w:val="ro-MD"/>
        </w:rPr>
      </w:pPr>
    </w:p>
    <w:p w14:paraId="13F45AD7" w14:textId="77777777" w:rsidR="009351E2" w:rsidRPr="00653E85" w:rsidRDefault="009351E2" w:rsidP="009351E2">
      <w:pPr>
        <w:spacing w:after="0" w:line="276" w:lineRule="auto"/>
        <w:rPr>
          <w:rFonts w:asciiTheme="majorHAnsi" w:hAnsiTheme="majorHAnsi" w:cstheme="majorHAnsi"/>
          <w:b/>
          <w:sz w:val="24"/>
          <w:szCs w:val="24"/>
          <w:lang w:val="ro-MD"/>
        </w:rPr>
      </w:pPr>
    </w:p>
    <w:p w14:paraId="204DA8AC" w14:textId="77777777" w:rsidR="009351E2" w:rsidRPr="00653E85" w:rsidRDefault="009351E2" w:rsidP="009351E2">
      <w:pPr>
        <w:spacing w:after="0" w:line="276" w:lineRule="auto"/>
        <w:jc w:val="center"/>
        <w:rPr>
          <w:rFonts w:asciiTheme="majorHAnsi" w:hAnsiTheme="majorHAnsi" w:cstheme="majorHAnsi"/>
          <w:b/>
          <w:sz w:val="28"/>
          <w:szCs w:val="28"/>
          <w:lang w:val="ro-MD"/>
        </w:rPr>
      </w:pPr>
      <w:r w:rsidRPr="00653E85">
        <w:rPr>
          <w:rFonts w:asciiTheme="majorHAnsi" w:hAnsiTheme="majorHAnsi" w:cstheme="majorHAnsi"/>
          <w:b/>
          <w:sz w:val="28"/>
          <w:szCs w:val="28"/>
          <w:lang w:val="ro-MD"/>
        </w:rPr>
        <w:t>CURTEA DE CONTURI A REPUBLICII MOLDOVA</w:t>
      </w:r>
    </w:p>
    <w:p w14:paraId="5E4C9BA9" w14:textId="77777777" w:rsidR="009351E2" w:rsidRPr="00653E85" w:rsidRDefault="009351E2" w:rsidP="009351E2">
      <w:pPr>
        <w:spacing w:after="0" w:line="276" w:lineRule="auto"/>
        <w:rPr>
          <w:rFonts w:asciiTheme="majorHAnsi" w:hAnsiTheme="majorHAnsi" w:cstheme="majorHAnsi"/>
          <w:sz w:val="24"/>
          <w:szCs w:val="24"/>
          <w:lang w:val="ro-MD"/>
        </w:rPr>
      </w:pPr>
    </w:p>
    <w:p w14:paraId="3BFC7FAE" w14:textId="77777777" w:rsidR="009351E2" w:rsidRPr="00653E85" w:rsidRDefault="009351E2" w:rsidP="009351E2">
      <w:pPr>
        <w:spacing w:after="0" w:line="276" w:lineRule="auto"/>
        <w:rPr>
          <w:rFonts w:asciiTheme="majorHAnsi" w:hAnsiTheme="majorHAnsi" w:cstheme="majorHAnsi"/>
          <w:sz w:val="24"/>
          <w:szCs w:val="24"/>
          <w:lang w:val="ro-MD"/>
        </w:rPr>
      </w:pPr>
    </w:p>
    <w:tbl>
      <w:tblPr>
        <w:tblW w:w="9350" w:type="dxa"/>
        <w:jc w:val="center"/>
        <w:tblBorders>
          <w:top w:val="thinThickSmallGap" w:sz="12" w:space="0" w:color="00000A"/>
          <w:bottom w:val="thickThinSmallGap" w:sz="12" w:space="0" w:color="00000A"/>
          <w:insideH w:val="thickThinSmallGap" w:sz="12" w:space="0" w:color="00000A"/>
        </w:tblBorders>
        <w:tblLook w:val="04A0" w:firstRow="1" w:lastRow="0" w:firstColumn="1" w:lastColumn="0" w:noHBand="0" w:noVBand="1"/>
      </w:tblPr>
      <w:tblGrid>
        <w:gridCol w:w="9350"/>
      </w:tblGrid>
      <w:tr w:rsidR="009351E2" w:rsidRPr="00B7675F" w14:paraId="1054F21A" w14:textId="77777777" w:rsidTr="00B050E3">
        <w:trPr>
          <w:trHeight w:val="396"/>
          <w:jc w:val="center"/>
        </w:trPr>
        <w:tc>
          <w:tcPr>
            <w:tcW w:w="9350" w:type="dxa"/>
            <w:tcBorders>
              <w:top w:val="thinThickSmallGap" w:sz="12" w:space="0" w:color="00000A"/>
              <w:bottom w:val="thickThinSmallGap" w:sz="12" w:space="0" w:color="00000A"/>
            </w:tcBorders>
            <w:shd w:val="clear" w:color="auto" w:fill="auto"/>
          </w:tcPr>
          <w:p w14:paraId="60BB1585" w14:textId="170E80ED" w:rsidR="009351E2" w:rsidRPr="00653E85" w:rsidRDefault="009351E2" w:rsidP="00426C1F">
            <w:pPr>
              <w:spacing w:after="0" w:line="276" w:lineRule="auto"/>
              <w:jc w:val="center"/>
              <w:rPr>
                <w:rFonts w:asciiTheme="majorHAnsi" w:hAnsiTheme="majorHAnsi" w:cstheme="majorHAnsi"/>
                <w:lang w:val="ro-MD"/>
              </w:rPr>
            </w:pPr>
            <w:r w:rsidRPr="00653E85">
              <w:rPr>
                <w:rFonts w:asciiTheme="majorHAnsi" w:hAnsiTheme="majorHAnsi" w:cstheme="majorHAnsi"/>
                <w:lang w:val="ro-MD"/>
              </w:rPr>
              <w:t>MD-2001, mun. Chișinău, bd. Ștefan cel Mare și Sfânt</w:t>
            </w:r>
            <w:r w:rsidR="00426C1F" w:rsidRPr="00653E85">
              <w:rPr>
                <w:rFonts w:asciiTheme="majorHAnsi" w:hAnsiTheme="majorHAnsi" w:cstheme="majorHAnsi"/>
                <w:lang w:val="ro-MD"/>
              </w:rPr>
              <w:t xml:space="preserve"> </w:t>
            </w:r>
            <w:r w:rsidRPr="00653E85">
              <w:rPr>
                <w:rFonts w:asciiTheme="majorHAnsi" w:hAnsiTheme="majorHAnsi" w:cstheme="majorHAnsi"/>
                <w:lang w:val="ro-MD"/>
              </w:rPr>
              <w:t>69, tel.: (+373) 22 26 60 02,</w:t>
            </w:r>
          </w:p>
          <w:p w14:paraId="04356AF5" w14:textId="7F60639D" w:rsidR="009351E2" w:rsidRPr="00653E85" w:rsidRDefault="009351E2" w:rsidP="00426C1F">
            <w:pPr>
              <w:spacing w:after="0" w:line="276" w:lineRule="auto"/>
              <w:jc w:val="center"/>
              <w:rPr>
                <w:rFonts w:asciiTheme="majorHAnsi" w:hAnsiTheme="majorHAnsi" w:cstheme="majorHAnsi"/>
                <w:b/>
                <w:lang w:val="ro-MD"/>
              </w:rPr>
            </w:pPr>
            <w:r w:rsidRPr="00653E85">
              <w:rPr>
                <w:rFonts w:asciiTheme="majorHAnsi" w:hAnsiTheme="majorHAnsi" w:cstheme="majorHAnsi"/>
                <w:lang w:val="ro-MD"/>
              </w:rPr>
              <w:t xml:space="preserve">fax: (+373) 22 26 61 00, </w:t>
            </w:r>
            <w:hyperlink r:id="rId9">
              <w:r w:rsidRPr="00653E85">
                <w:rPr>
                  <w:rStyle w:val="LegturInternet"/>
                  <w:rFonts w:asciiTheme="majorHAnsi" w:hAnsiTheme="majorHAnsi" w:cstheme="majorHAnsi"/>
                  <w:lang w:val="ro-MD"/>
                </w:rPr>
                <w:t>www.ccrm.md</w:t>
              </w:r>
            </w:hyperlink>
            <w:r w:rsidRPr="00653E85">
              <w:rPr>
                <w:rFonts w:asciiTheme="majorHAnsi" w:hAnsiTheme="majorHAnsi" w:cstheme="majorHAnsi"/>
                <w:u w:val="single"/>
                <w:lang w:val="ro-MD"/>
              </w:rPr>
              <w:t>;</w:t>
            </w:r>
            <w:r w:rsidRPr="00653E85">
              <w:rPr>
                <w:rFonts w:asciiTheme="majorHAnsi" w:hAnsiTheme="majorHAnsi" w:cstheme="majorHAnsi"/>
                <w:lang w:val="ro-MD"/>
              </w:rPr>
              <w:t xml:space="preserve"> e-mail: </w:t>
            </w:r>
            <w:hyperlink r:id="rId10">
              <w:r w:rsidRPr="00653E85">
                <w:rPr>
                  <w:rStyle w:val="LegturInternet"/>
                  <w:rFonts w:asciiTheme="majorHAnsi" w:hAnsiTheme="majorHAnsi" w:cstheme="majorHAnsi"/>
                  <w:lang w:val="ro-MD"/>
                </w:rPr>
                <w:t>ccrm@ccrm.md</w:t>
              </w:r>
            </w:hyperlink>
          </w:p>
        </w:tc>
      </w:tr>
    </w:tbl>
    <w:p w14:paraId="25D892A8" w14:textId="77777777" w:rsidR="009351E2" w:rsidRPr="00653E85" w:rsidRDefault="009351E2" w:rsidP="009351E2">
      <w:pPr>
        <w:spacing w:after="0" w:line="276" w:lineRule="auto"/>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br/>
      </w:r>
    </w:p>
    <w:p w14:paraId="007F0E41" w14:textId="77777777" w:rsidR="009351E2" w:rsidRPr="00653E85" w:rsidRDefault="009351E2" w:rsidP="009351E2">
      <w:pPr>
        <w:tabs>
          <w:tab w:val="left" w:pos="720"/>
        </w:tabs>
        <w:spacing w:after="0" w:line="276" w:lineRule="auto"/>
        <w:jc w:val="center"/>
        <w:rPr>
          <w:rFonts w:asciiTheme="majorHAnsi" w:eastAsia="Times New Roman" w:hAnsiTheme="majorHAnsi" w:cstheme="majorHAnsi"/>
          <w:b/>
          <w:bCs/>
          <w:sz w:val="32"/>
          <w:szCs w:val="28"/>
          <w:lang w:val="ro-MD"/>
        </w:rPr>
      </w:pPr>
      <w:r w:rsidRPr="00653E85">
        <w:rPr>
          <w:rFonts w:asciiTheme="majorHAnsi" w:eastAsia="Times New Roman" w:hAnsiTheme="majorHAnsi" w:cstheme="majorHAnsi"/>
          <w:b/>
          <w:bCs/>
          <w:sz w:val="32"/>
          <w:szCs w:val="28"/>
          <w:lang w:val="ro-MD"/>
        </w:rPr>
        <w:t>RAPORTUL</w:t>
      </w:r>
    </w:p>
    <w:p w14:paraId="25527136" w14:textId="77777777" w:rsidR="009351E2" w:rsidRPr="00653E85" w:rsidRDefault="009351E2" w:rsidP="009351E2">
      <w:pPr>
        <w:spacing w:after="0" w:line="276" w:lineRule="auto"/>
        <w:jc w:val="center"/>
        <w:rPr>
          <w:rFonts w:asciiTheme="majorHAnsi" w:hAnsiTheme="majorHAnsi" w:cstheme="majorHAnsi"/>
          <w:b/>
          <w:sz w:val="28"/>
          <w:szCs w:val="28"/>
          <w:lang w:val="ro-MD"/>
        </w:rPr>
      </w:pPr>
      <w:r w:rsidRPr="00653E85">
        <w:rPr>
          <w:rFonts w:asciiTheme="majorHAnsi" w:eastAsia="Times New Roman" w:hAnsiTheme="majorHAnsi" w:cstheme="majorHAnsi"/>
          <w:b/>
          <w:bCs/>
          <w:sz w:val="28"/>
          <w:szCs w:val="28"/>
          <w:lang w:val="ro-MD"/>
        </w:rPr>
        <w:t xml:space="preserve">auditului financiar al </w:t>
      </w:r>
      <w:r w:rsidRPr="00653E85">
        <w:rPr>
          <w:rFonts w:asciiTheme="majorHAnsi" w:hAnsiTheme="majorHAnsi" w:cstheme="majorHAnsi"/>
          <w:b/>
          <w:sz w:val="28"/>
          <w:szCs w:val="28"/>
          <w:lang w:val="ro-MD"/>
        </w:rPr>
        <w:t xml:space="preserve">Raportului Guvernului </w:t>
      </w:r>
    </w:p>
    <w:p w14:paraId="66CDF4CA" w14:textId="77777777" w:rsidR="009351E2" w:rsidRPr="00653E85" w:rsidRDefault="009351E2" w:rsidP="009351E2">
      <w:pPr>
        <w:spacing w:after="0" w:line="276" w:lineRule="auto"/>
        <w:jc w:val="center"/>
        <w:rPr>
          <w:rFonts w:asciiTheme="majorHAnsi" w:hAnsiTheme="majorHAnsi" w:cstheme="majorHAnsi"/>
          <w:b/>
          <w:sz w:val="28"/>
          <w:szCs w:val="28"/>
          <w:lang w:val="ro-MD"/>
        </w:rPr>
      </w:pPr>
      <w:r w:rsidRPr="00653E85">
        <w:rPr>
          <w:rFonts w:asciiTheme="majorHAnsi" w:hAnsiTheme="majorHAnsi" w:cstheme="majorHAnsi"/>
          <w:b/>
          <w:sz w:val="28"/>
          <w:szCs w:val="28"/>
          <w:lang w:val="ro-MD"/>
        </w:rPr>
        <w:t xml:space="preserve">privind executarea bugetului asigurărilor sociale de stat </w:t>
      </w:r>
    </w:p>
    <w:p w14:paraId="0634DC5D" w14:textId="123FCDF2" w:rsidR="009351E2" w:rsidRPr="00653E85" w:rsidRDefault="009351E2" w:rsidP="009351E2">
      <w:pPr>
        <w:spacing w:after="0" w:line="276" w:lineRule="auto"/>
        <w:jc w:val="center"/>
        <w:rPr>
          <w:rFonts w:asciiTheme="majorHAnsi" w:eastAsia="Times New Roman" w:hAnsiTheme="majorHAnsi" w:cstheme="majorHAnsi"/>
          <w:b/>
          <w:bCs/>
          <w:sz w:val="28"/>
          <w:szCs w:val="28"/>
          <w:lang w:val="ro-MD"/>
        </w:rPr>
      </w:pPr>
      <w:r w:rsidRPr="00653E85">
        <w:rPr>
          <w:rFonts w:asciiTheme="majorHAnsi" w:hAnsiTheme="majorHAnsi" w:cstheme="majorHAnsi"/>
          <w:b/>
          <w:sz w:val="28"/>
          <w:szCs w:val="28"/>
          <w:lang w:val="ro-MD"/>
        </w:rPr>
        <w:t>în anul 202</w:t>
      </w:r>
      <w:r w:rsidR="00024A31" w:rsidRPr="00653E85">
        <w:rPr>
          <w:rFonts w:asciiTheme="majorHAnsi" w:hAnsiTheme="majorHAnsi" w:cstheme="majorHAnsi"/>
          <w:b/>
          <w:sz w:val="28"/>
          <w:szCs w:val="28"/>
          <w:lang w:val="ro-MD"/>
        </w:rPr>
        <w:t>2</w:t>
      </w:r>
    </w:p>
    <w:p w14:paraId="34F69807" w14:textId="77777777" w:rsidR="009351E2" w:rsidRPr="00653E85" w:rsidRDefault="009351E2" w:rsidP="009351E2">
      <w:pPr>
        <w:spacing w:after="0" w:line="276" w:lineRule="auto"/>
        <w:rPr>
          <w:rFonts w:asciiTheme="majorHAnsi" w:hAnsiTheme="majorHAnsi" w:cstheme="majorHAnsi"/>
          <w:sz w:val="28"/>
          <w:szCs w:val="28"/>
          <w:lang w:val="ro-MD"/>
        </w:rPr>
      </w:pPr>
    </w:p>
    <w:p w14:paraId="73331FE1" w14:textId="77777777" w:rsidR="009351E2" w:rsidRPr="00653E85" w:rsidRDefault="009351E2" w:rsidP="009351E2">
      <w:pPr>
        <w:spacing w:after="0" w:line="276" w:lineRule="auto"/>
        <w:rPr>
          <w:rFonts w:asciiTheme="majorHAnsi" w:hAnsiTheme="majorHAnsi" w:cstheme="majorHAnsi"/>
          <w:lang w:val="ro-MD"/>
        </w:rPr>
      </w:pPr>
    </w:p>
    <w:p w14:paraId="0B5AE4B1" w14:textId="77777777" w:rsidR="009351E2" w:rsidRPr="00653E85" w:rsidRDefault="009351E2" w:rsidP="009351E2">
      <w:pPr>
        <w:spacing w:after="0" w:line="276" w:lineRule="auto"/>
        <w:jc w:val="center"/>
        <w:rPr>
          <w:rFonts w:asciiTheme="majorHAnsi" w:hAnsiTheme="majorHAnsi" w:cstheme="majorHAnsi"/>
          <w:lang w:val="ro-MD"/>
        </w:rPr>
      </w:pPr>
      <w:r w:rsidRPr="00653E85">
        <w:rPr>
          <w:rFonts w:asciiTheme="majorHAnsi" w:hAnsiTheme="majorHAnsi" w:cstheme="majorHAnsi"/>
          <w:lang w:val="ro-MD"/>
        </w:rPr>
        <w:br w:type="page"/>
      </w:r>
    </w:p>
    <w:p w14:paraId="390407C8" w14:textId="77777777" w:rsidR="009351E2" w:rsidRPr="00653E85" w:rsidRDefault="009351E2" w:rsidP="009351E2">
      <w:pPr>
        <w:tabs>
          <w:tab w:val="left" w:pos="720"/>
        </w:tabs>
        <w:spacing w:after="0" w:line="276" w:lineRule="auto"/>
        <w:jc w:val="center"/>
        <w:rPr>
          <w:rFonts w:asciiTheme="majorHAnsi" w:eastAsia="Times New Roman" w:hAnsiTheme="majorHAnsi" w:cs="Times New Roman"/>
          <w:b/>
          <w:bCs/>
          <w:sz w:val="28"/>
          <w:szCs w:val="28"/>
          <w:lang w:val="ro-MD"/>
        </w:rPr>
      </w:pPr>
      <w:r w:rsidRPr="00653E85">
        <w:rPr>
          <w:rFonts w:asciiTheme="majorHAnsi" w:eastAsia="Times New Roman" w:hAnsiTheme="majorHAnsi" w:cs="Times New Roman"/>
          <w:b/>
          <w:bCs/>
          <w:sz w:val="28"/>
          <w:szCs w:val="28"/>
          <w:lang w:val="ro-MD"/>
        </w:rPr>
        <w:lastRenderedPageBreak/>
        <w:t>Lista acronimelor</w:t>
      </w:r>
    </w:p>
    <w:p w14:paraId="6AAB674F" w14:textId="77777777" w:rsidR="009351E2" w:rsidRPr="00653E85" w:rsidRDefault="009351E2" w:rsidP="009351E2">
      <w:pPr>
        <w:tabs>
          <w:tab w:val="left" w:pos="720"/>
        </w:tabs>
        <w:spacing w:after="0" w:line="276" w:lineRule="auto"/>
        <w:jc w:val="center"/>
        <w:rPr>
          <w:rFonts w:asciiTheme="majorHAnsi" w:eastAsia="Times New Roman" w:hAnsiTheme="majorHAnsi" w:cs="Times New Roman"/>
          <w:b/>
          <w:bCs/>
          <w:sz w:val="28"/>
          <w:szCs w:val="28"/>
          <w:lang w:val="ro-MD"/>
        </w:rPr>
      </w:pPr>
    </w:p>
    <w:tbl>
      <w:tblPr>
        <w:tblStyle w:val="-1"/>
        <w:tblW w:w="0" w:type="auto"/>
        <w:jc w:val="center"/>
        <w:tblInd w:w="0" w:type="dxa"/>
        <w:tblLook w:val="04A0" w:firstRow="1" w:lastRow="0" w:firstColumn="1" w:lastColumn="0" w:noHBand="0" w:noVBand="1"/>
      </w:tblPr>
      <w:tblGrid>
        <w:gridCol w:w="1555"/>
        <w:gridCol w:w="7229"/>
      </w:tblGrid>
      <w:tr w:rsidR="009351E2" w:rsidRPr="00B7675F" w14:paraId="004B51A6" w14:textId="77777777" w:rsidTr="00B050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CA731DE" w14:textId="77777777" w:rsidR="009351E2" w:rsidRPr="00653E85" w:rsidRDefault="009351E2" w:rsidP="00B050E3">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Acronimul</w:t>
            </w:r>
          </w:p>
        </w:tc>
        <w:tc>
          <w:tcPr>
            <w:tcW w:w="722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4530E844" w14:textId="77777777" w:rsidR="009351E2" w:rsidRPr="00653E85" w:rsidRDefault="009351E2" w:rsidP="00B050E3">
            <w:pPr>
              <w:tabs>
                <w:tab w:val="left" w:pos="720"/>
              </w:tabs>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Termenul abreviat</w:t>
            </w:r>
          </w:p>
        </w:tc>
      </w:tr>
      <w:tr w:rsidR="009351E2" w:rsidRPr="00B7675F" w14:paraId="151FBC45"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487F1B8" w14:textId="77777777" w:rsidR="009351E2" w:rsidRPr="00653E85" w:rsidRDefault="009351E2" w:rsidP="00B050E3">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AGE</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E510453" w14:textId="77777777" w:rsidR="009351E2" w:rsidRPr="00653E85" w:rsidRDefault="009351E2" w:rsidP="00B050E3">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Agenția de Guvernare Electronică</w:t>
            </w:r>
          </w:p>
        </w:tc>
      </w:tr>
      <w:tr w:rsidR="009351E2" w:rsidRPr="00B7675F" w14:paraId="40B92D0C"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D866DEB" w14:textId="77777777" w:rsidR="009351E2" w:rsidRPr="00653E85" w:rsidRDefault="009351E2" w:rsidP="00B050E3">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ANOFM</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33BBD2" w14:textId="4FA19F67" w:rsidR="009351E2" w:rsidRPr="00653E85" w:rsidRDefault="009351E2" w:rsidP="00426C1F">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Agenția Națională pentru Ocuparea Forței de M</w:t>
            </w:r>
            <w:r w:rsidR="00426C1F" w:rsidRPr="00653E85">
              <w:rPr>
                <w:rFonts w:asciiTheme="majorHAnsi" w:eastAsia="Times New Roman" w:hAnsiTheme="majorHAnsi" w:cstheme="majorHAnsi"/>
                <w:bCs/>
                <w:sz w:val="24"/>
                <w:szCs w:val="24"/>
                <w:lang w:val="ro-MD"/>
              </w:rPr>
              <w:t>u</w:t>
            </w:r>
            <w:r w:rsidRPr="00653E85">
              <w:rPr>
                <w:rFonts w:asciiTheme="majorHAnsi" w:eastAsia="Times New Roman" w:hAnsiTheme="majorHAnsi" w:cstheme="majorHAnsi"/>
                <w:bCs/>
                <w:sz w:val="24"/>
                <w:szCs w:val="24"/>
                <w:lang w:val="ro-MD"/>
              </w:rPr>
              <w:t>ncă</w:t>
            </w:r>
          </w:p>
        </w:tc>
      </w:tr>
      <w:tr w:rsidR="00115AA0" w:rsidRPr="00B7675F" w14:paraId="1AFC52E8"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B020352" w14:textId="77777777" w:rsidR="00115AA0" w:rsidRPr="00653E85" w:rsidRDefault="00115AA0" w:rsidP="00B050E3">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AS</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7463216" w14:textId="6744A9E3" w:rsidR="00115AA0" w:rsidRPr="00653E85" w:rsidRDefault="00D90A74" w:rsidP="00B17ED6">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B7675F">
              <w:rPr>
                <w:rFonts w:asciiTheme="majorHAnsi" w:eastAsia="Times New Roman" w:hAnsiTheme="majorHAnsi" w:cstheme="majorHAnsi"/>
                <w:bCs/>
                <w:sz w:val="24"/>
                <w:szCs w:val="24"/>
                <w:lang w:val="ro-MD"/>
              </w:rPr>
              <w:t xml:space="preserve">Ajutor </w:t>
            </w:r>
            <w:r w:rsidR="00B17ED6" w:rsidRPr="0038225D">
              <w:rPr>
                <w:rFonts w:asciiTheme="majorHAnsi" w:eastAsia="Times New Roman" w:hAnsiTheme="majorHAnsi" w:cstheme="majorHAnsi"/>
                <w:bCs/>
                <w:sz w:val="24"/>
                <w:szCs w:val="24"/>
                <w:lang w:val="ro-MD"/>
              </w:rPr>
              <w:t>s</w:t>
            </w:r>
            <w:r w:rsidRPr="00B7675F">
              <w:rPr>
                <w:rFonts w:asciiTheme="majorHAnsi" w:eastAsia="Times New Roman" w:hAnsiTheme="majorHAnsi" w:cstheme="majorHAnsi"/>
                <w:bCs/>
                <w:sz w:val="24"/>
                <w:szCs w:val="24"/>
                <w:lang w:val="ro-MD"/>
              </w:rPr>
              <w:t>ocial</w:t>
            </w:r>
          </w:p>
        </w:tc>
      </w:tr>
      <w:tr w:rsidR="00115AA0" w:rsidRPr="00B7675F" w14:paraId="4B410B13"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D054ABF" w14:textId="77777777" w:rsidR="00115AA0" w:rsidRPr="00653E85" w:rsidRDefault="00115AA0" w:rsidP="00B050E3">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ASP</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F1171A1" w14:textId="77777777" w:rsidR="00115AA0" w:rsidRPr="00653E85" w:rsidRDefault="00115AA0" w:rsidP="00B050E3">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Agenția Servicii Publice</w:t>
            </w:r>
          </w:p>
        </w:tc>
      </w:tr>
      <w:tr w:rsidR="00D90A74" w:rsidRPr="00B7675F" w14:paraId="3B4FAA61"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52ACB9" w14:textId="77777777" w:rsidR="00D90A74" w:rsidRPr="00653E85" w:rsidRDefault="00D90A74" w:rsidP="00B7562C">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APRA</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3B9005D" w14:textId="77777777" w:rsidR="00D90A74" w:rsidRPr="00B7675F"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B7675F">
              <w:rPr>
                <w:rFonts w:asciiTheme="majorHAnsi" w:eastAsia="Times New Roman" w:hAnsiTheme="majorHAnsi" w:cstheme="majorHAnsi"/>
                <w:bCs/>
                <w:sz w:val="24"/>
                <w:szCs w:val="24"/>
                <w:lang w:val="ro-MD"/>
              </w:rPr>
              <w:t>Ajutor pentru perioada rece a anului</w:t>
            </w:r>
          </w:p>
        </w:tc>
      </w:tr>
      <w:tr w:rsidR="00D90A74" w:rsidRPr="00B7675F" w14:paraId="23D2872C"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A4826B9"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BASS</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D027F18"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Bugetul Asigurărilor Sociale de Stat</w:t>
            </w:r>
          </w:p>
        </w:tc>
      </w:tr>
      <w:tr w:rsidR="00D90A74" w:rsidRPr="00B7675F" w14:paraId="0DC2B877"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987973"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BPN</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A782225"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Bugetul Public Național</w:t>
            </w:r>
          </w:p>
        </w:tc>
      </w:tr>
      <w:tr w:rsidR="00D90A74" w:rsidRPr="00B7675F" w14:paraId="1CA2B58F"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22B6A9A"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BS</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6A5405B"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Bugetul de Stat</w:t>
            </w:r>
          </w:p>
        </w:tc>
      </w:tr>
      <w:tr w:rsidR="00D90A74" w:rsidRPr="00B7675F" w14:paraId="7DBAE4A7"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91BF8E8"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CIM</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289A79"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Control Intern Managerial</w:t>
            </w:r>
          </w:p>
        </w:tc>
      </w:tr>
      <w:tr w:rsidR="00D90A74" w:rsidRPr="00B7675F" w14:paraId="516107D9"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E2CC90"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CNAS</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8CE6762"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Casa Națională de Asigurări Sociale</w:t>
            </w:r>
          </w:p>
        </w:tc>
      </w:tr>
      <w:tr w:rsidR="00D90A74" w:rsidRPr="00B7675F" w14:paraId="47626E53"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276E33B"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CTAS</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5F80846"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Casa Teritorială de Asigurări Sociale</w:t>
            </w:r>
          </w:p>
        </w:tc>
      </w:tr>
      <w:tr w:rsidR="00D24673" w:rsidRPr="00B7675F" w14:paraId="64935698"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06E3D68" w14:textId="266EB798" w:rsidR="00D24673" w:rsidRPr="00653E85" w:rsidRDefault="00D24673"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CTIF</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0367781" w14:textId="4520A0E5" w:rsidR="00D24673" w:rsidRPr="00653E85" w:rsidRDefault="00D24673"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Centru</w:t>
            </w:r>
            <w:r w:rsidR="00E658AC" w:rsidRPr="00653E85">
              <w:rPr>
                <w:rFonts w:asciiTheme="majorHAnsi" w:eastAsia="Times New Roman" w:hAnsiTheme="majorHAnsi" w:cstheme="majorHAnsi"/>
                <w:bCs/>
                <w:sz w:val="24"/>
                <w:szCs w:val="24"/>
                <w:lang w:val="ro-MD"/>
              </w:rPr>
              <w:t>l</w:t>
            </w:r>
            <w:r w:rsidRPr="00653E85">
              <w:rPr>
                <w:rFonts w:asciiTheme="majorHAnsi" w:eastAsia="Times New Roman" w:hAnsiTheme="majorHAnsi" w:cstheme="majorHAnsi"/>
                <w:bCs/>
                <w:sz w:val="24"/>
                <w:szCs w:val="24"/>
                <w:lang w:val="ro-MD"/>
              </w:rPr>
              <w:t xml:space="preserve"> </w:t>
            </w:r>
            <w:r w:rsidR="0065584B" w:rsidRPr="00653E85">
              <w:rPr>
                <w:rFonts w:asciiTheme="majorHAnsi" w:eastAsia="Times New Roman" w:hAnsiTheme="majorHAnsi" w:cstheme="majorHAnsi"/>
                <w:bCs/>
                <w:sz w:val="24"/>
                <w:szCs w:val="24"/>
                <w:lang w:val="ro-MD"/>
              </w:rPr>
              <w:t xml:space="preserve">de </w:t>
            </w:r>
            <w:r w:rsidRPr="00653E85">
              <w:rPr>
                <w:rFonts w:asciiTheme="majorHAnsi" w:eastAsia="Times New Roman" w:hAnsiTheme="majorHAnsi" w:cstheme="majorHAnsi"/>
                <w:bCs/>
                <w:sz w:val="24"/>
                <w:szCs w:val="24"/>
                <w:lang w:val="ro-MD"/>
              </w:rPr>
              <w:t>T</w:t>
            </w:r>
            <w:r w:rsidR="0065584B" w:rsidRPr="00653E85">
              <w:rPr>
                <w:rFonts w:asciiTheme="majorHAnsi" w:eastAsia="Times New Roman" w:hAnsiTheme="majorHAnsi" w:cstheme="majorHAnsi"/>
                <w:bCs/>
                <w:sz w:val="24"/>
                <w:szCs w:val="24"/>
                <w:lang w:val="ro-MD"/>
              </w:rPr>
              <w:t>ehnologi</w:t>
            </w:r>
            <w:r w:rsidRPr="00653E85">
              <w:rPr>
                <w:rFonts w:asciiTheme="majorHAnsi" w:eastAsia="Times New Roman" w:hAnsiTheme="majorHAnsi" w:cstheme="majorHAnsi"/>
                <w:bCs/>
                <w:sz w:val="24"/>
                <w:szCs w:val="24"/>
                <w:lang w:val="ro-MD"/>
              </w:rPr>
              <w:t>i Informaționale în Finanțe</w:t>
            </w:r>
          </w:p>
        </w:tc>
      </w:tr>
      <w:tr w:rsidR="00D90A74" w:rsidRPr="00B7675F" w14:paraId="63E0892D"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62F3A99"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IMSP</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CE7CE41"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Instituție Medico-Sanitară Publică</w:t>
            </w:r>
          </w:p>
        </w:tc>
      </w:tr>
      <w:tr w:rsidR="00D90A74" w:rsidRPr="00B7675F" w14:paraId="4BF8C2C1"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F697567"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MMPS</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BC9E8E7"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Ministerul Muncii și Protecției Sociale</w:t>
            </w:r>
          </w:p>
        </w:tc>
      </w:tr>
      <w:tr w:rsidR="00D90A74" w:rsidRPr="00B7675F" w14:paraId="25F3685F"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DF190D7"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PIB</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474E67DD"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Produsul Intern Brut</w:t>
            </w:r>
          </w:p>
        </w:tc>
      </w:tr>
      <w:tr w:rsidR="00D90A74" w:rsidRPr="00B7675F" w14:paraId="539D196B" w14:textId="77777777" w:rsidTr="00B050E3">
        <w:trPr>
          <w:jc w:val="center"/>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5F7CB3F" w14:textId="77777777" w:rsidR="00D90A74" w:rsidRPr="00653E85" w:rsidRDefault="00D90A74" w:rsidP="00D90A74">
            <w:pPr>
              <w:tabs>
                <w:tab w:val="left" w:pos="720"/>
              </w:tabs>
              <w:spacing w:line="276" w:lineRule="auto"/>
              <w:jc w:val="center"/>
              <w:rPr>
                <w:rFonts w:asciiTheme="majorHAnsi" w:eastAsia="Times New Roman" w:hAnsiTheme="majorHAnsi" w:cstheme="majorHAnsi"/>
                <w:sz w:val="24"/>
                <w:szCs w:val="24"/>
                <w:lang w:val="ro-MD"/>
              </w:rPr>
            </w:pPr>
            <w:r w:rsidRPr="00653E85">
              <w:rPr>
                <w:rFonts w:asciiTheme="majorHAnsi" w:eastAsia="Times New Roman" w:hAnsiTheme="majorHAnsi" w:cstheme="majorHAnsi"/>
                <w:sz w:val="24"/>
                <w:szCs w:val="24"/>
                <w:lang w:val="ro-MD"/>
              </w:rPr>
              <w:t>SI</w:t>
            </w:r>
          </w:p>
        </w:tc>
        <w:tc>
          <w:tcPr>
            <w:tcW w:w="722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0E3CF559" w14:textId="77777777" w:rsidR="00D90A74" w:rsidRPr="00653E85" w:rsidRDefault="00D90A74" w:rsidP="00D90A74">
            <w:pPr>
              <w:tabs>
                <w:tab w:val="left" w:pos="720"/>
              </w:tabs>
              <w:spacing w:line="276" w:lineRule="auto"/>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ro-MD"/>
              </w:rPr>
            </w:pPr>
            <w:r w:rsidRPr="00653E85">
              <w:rPr>
                <w:rFonts w:asciiTheme="majorHAnsi" w:eastAsia="Times New Roman" w:hAnsiTheme="majorHAnsi" w:cstheme="majorHAnsi"/>
                <w:bCs/>
                <w:sz w:val="24"/>
                <w:szCs w:val="24"/>
                <w:lang w:val="ro-MD"/>
              </w:rPr>
              <w:t>Sistem Informațional</w:t>
            </w:r>
          </w:p>
        </w:tc>
      </w:tr>
    </w:tbl>
    <w:p w14:paraId="4CE4FFA7" w14:textId="77777777" w:rsidR="009351E2" w:rsidRPr="00653E85" w:rsidRDefault="009351E2" w:rsidP="009351E2">
      <w:pPr>
        <w:spacing w:after="0" w:line="276" w:lineRule="auto"/>
        <w:jc w:val="center"/>
        <w:rPr>
          <w:rFonts w:asciiTheme="majorHAnsi" w:hAnsiTheme="majorHAnsi" w:cstheme="majorHAnsi"/>
          <w:lang w:val="ro-MD"/>
        </w:rPr>
      </w:pPr>
    </w:p>
    <w:p w14:paraId="08308516" w14:textId="77777777" w:rsidR="009351E2" w:rsidRPr="00653E85" w:rsidRDefault="009351E2" w:rsidP="009351E2">
      <w:pPr>
        <w:spacing w:after="0" w:line="276" w:lineRule="auto"/>
        <w:rPr>
          <w:rFonts w:asciiTheme="majorHAnsi" w:hAnsiTheme="majorHAnsi" w:cstheme="majorHAnsi"/>
          <w:lang w:val="ro-MD"/>
        </w:rPr>
      </w:pPr>
    </w:p>
    <w:p w14:paraId="486E412F" w14:textId="77777777" w:rsidR="009351E2" w:rsidRPr="00653E85" w:rsidRDefault="009351E2" w:rsidP="009351E2">
      <w:pPr>
        <w:spacing w:after="0" w:line="276" w:lineRule="auto"/>
        <w:rPr>
          <w:rFonts w:asciiTheme="majorHAnsi" w:hAnsiTheme="majorHAnsi" w:cstheme="majorHAnsi"/>
          <w:lang w:val="ro-MD"/>
        </w:rPr>
      </w:pPr>
    </w:p>
    <w:p w14:paraId="48C777A6" w14:textId="77777777" w:rsidR="009351E2" w:rsidRPr="00653E85" w:rsidRDefault="009351E2" w:rsidP="009351E2">
      <w:pPr>
        <w:spacing w:after="0" w:line="276" w:lineRule="auto"/>
        <w:rPr>
          <w:rFonts w:asciiTheme="majorHAnsi" w:hAnsiTheme="majorHAnsi" w:cstheme="majorHAnsi"/>
          <w:lang w:val="ro-MD"/>
        </w:rPr>
      </w:pPr>
    </w:p>
    <w:p w14:paraId="2745F166" w14:textId="77777777" w:rsidR="009351E2" w:rsidRPr="00653E85" w:rsidRDefault="009351E2" w:rsidP="009351E2">
      <w:pPr>
        <w:pStyle w:val="1"/>
        <w:numPr>
          <w:ilvl w:val="0"/>
          <w:numId w:val="0"/>
        </w:numPr>
        <w:spacing w:before="0"/>
        <w:jc w:val="left"/>
        <w:rPr>
          <w:rFonts w:asciiTheme="majorHAnsi" w:hAnsiTheme="majorHAnsi" w:cstheme="majorHAnsi"/>
          <w:sz w:val="28"/>
          <w:szCs w:val="28"/>
        </w:rPr>
      </w:pPr>
      <w:bookmarkStart w:id="2" w:name="_Toc35000680"/>
      <w:bookmarkEnd w:id="0"/>
      <w:r w:rsidRPr="00653E85">
        <w:rPr>
          <w:rFonts w:asciiTheme="majorHAnsi" w:hAnsiTheme="majorHAnsi" w:cstheme="majorHAnsi"/>
          <w:sz w:val="28"/>
          <w:szCs w:val="28"/>
        </w:rPr>
        <w:br w:type="page"/>
      </w:r>
    </w:p>
    <w:p w14:paraId="414AA494" w14:textId="77777777" w:rsidR="009351E2" w:rsidRPr="00653E85" w:rsidRDefault="009351E2" w:rsidP="00437B23">
      <w:pPr>
        <w:pStyle w:val="1"/>
        <w:numPr>
          <w:ilvl w:val="0"/>
          <w:numId w:val="2"/>
        </w:numPr>
        <w:spacing w:before="0"/>
        <w:ind w:left="0" w:firstLine="0"/>
        <w:jc w:val="left"/>
        <w:rPr>
          <w:rFonts w:asciiTheme="majorHAnsi" w:hAnsiTheme="majorHAnsi" w:cstheme="majorHAnsi"/>
          <w:sz w:val="28"/>
          <w:szCs w:val="28"/>
        </w:rPr>
      </w:pPr>
      <w:r w:rsidRPr="00653E85">
        <w:rPr>
          <w:rFonts w:asciiTheme="majorHAnsi" w:hAnsiTheme="majorHAnsi" w:cstheme="majorHAnsi"/>
          <w:sz w:val="28"/>
          <w:szCs w:val="28"/>
        </w:rPr>
        <w:t>OPINI</w:t>
      </w:r>
      <w:bookmarkEnd w:id="2"/>
      <w:r w:rsidR="00B6255F" w:rsidRPr="00653E85">
        <w:rPr>
          <w:rFonts w:asciiTheme="majorHAnsi" w:hAnsiTheme="majorHAnsi" w:cstheme="majorHAnsi"/>
          <w:sz w:val="28"/>
          <w:szCs w:val="28"/>
        </w:rPr>
        <w:t>E</w:t>
      </w:r>
      <w:r w:rsidR="004428A8" w:rsidRPr="00653E85">
        <w:rPr>
          <w:rFonts w:asciiTheme="majorHAnsi" w:hAnsiTheme="majorHAnsi" w:cstheme="majorHAnsi"/>
          <w:sz w:val="28"/>
          <w:szCs w:val="28"/>
        </w:rPr>
        <w:t xml:space="preserve"> </w:t>
      </w:r>
    </w:p>
    <w:p w14:paraId="6798A964" w14:textId="4EDB4432" w:rsidR="009351E2" w:rsidRPr="00653E85" w:rsidRDefault="009351E2" w:rsidP="009351E2">
      <w:pPr>
        <w:pStyle w:val="a6"/>
        <w:spacing w:line="276" w:lineRule="auto"/>
        <w:ind w:firstLine="0"/>
        <w:rPr>
          <w:rFonts w:asciiTheme="majorHAnsi" w:hAnsiTheme="majorHAnsi" w:cstheme="majorHAnsi"/>
          <w:lang w:val="ro-MD"/>
        </w:rPr>
      </w:pPr>
      <w:r w:rsidRPr="00653E85">
        <w:rPr>
          <w:rFonts w:asciiTheme="majorHAnsi" w:hAnsiTheme="majorHAnsi" w:cstheme="majorHAnsi"/>
          <w:lang w:val="ro-MD"/>
        </w:rPr>
        <w:t>Am auditat Raportul Guvernului privind executarea bugetului asigurărilor sociale de stat în anul 202</w:t>
      </w:r>
      <w:r w:rsidR="00024A31" w:rsidRPr="00653E85">
        <w:rPr>
          <w:rFonts w:asciiTheme="majorHAnsi" w:hAnsiTheme="majorHAnsi" w:cstheme="majorHAnsi"/>
          <w:lang w:val="ro-MD"/>
        </w:rPr>
        <w:t>2</w:t>
      </w:r>
      <w:r w:rsidRPr="00653E85">
        <w:rPr>
          <w:rFonts w:asciiTheme="majorHAnsi" w:hAnsiTheme="majorHAnsi" w:cstheme="majorHAnsi"/>
          <w:lang w:val="ro-MD"/>
        </w:rPr>
        <w:t>, întocmit de Casa Naţională de Asigurări Sociale, care cuprinde: Formularul nr.1 CNAS, Formularul nr.2 CNAS, Formularul nr.4 CNAS, Formularul nr.4.1 CNAS</w:t>
      </w:r>
      <w:r w:rsidR="004863FE" w:rsidRPr="00653E85">
        <w:rPr>
          <w:rFonts w:asciiTheme="majorHAnsi" w:hAnsiTheme="majorHAnsi" w:cstheme="majorHAnsi"/>
          <w:lang w:val="ro-MD"/>
        </w:rPr>
        <w:t>, Formularul nr.4.2 CNAS</w:t>
      </w:r>
      <w:r w:rsidRPr="00653E85">
        <w:rPr>
          <w:rFonts w:asciiTheme="majorHAnsi" w:hAnsiTheme="majorHAnsi" w:cstheme="majorHAnsi"/>
          <w:lang w:val="ro-MD"/>
        </w:rPr>
        <w:t xml:space="preserve"> şi descrierea narativă</w:t>
      </w:r>
      <w:r w:rsidRPr="00653E85">
        <w:rPr>
          <w:rStyle w:val="a5"/>
          <w:rFonts w:asciiTheme="majorHAnsi" w:hAnsiTheme="majorHAnsi" w:cstheme="majorHAnsi"/>
          <w:lang w:val="ro-MD"/>
        </w:rPr>
        <w:footnoteReference w:id="1"/>
      </w:r>
      <w:r w:rsidRPr="00653E85">
        <w:rPr>
          <w:rFonts w:asciiTheme="majorHAnsi" w:hAnsiTheme="majorHAnsi" w:cstheme="majorHAnsi"/>
          <w:lang w:val="ro-MD"/>
        </w:rPr>
        <w:t>, inclusiv un sumar al politicilor contabile semnificative.</w:t>
      </w:r>
    </w:p>
    <w:p w14:paraId="66A7432F" w14:textId="3415CE41" w:rsidR="009351E2" w:rsidRPr="00653E85" w:rsidRDefault="009351E2" w:rsidP="009351E2">
      <w:pPr>
        <w:pStyle w:val="a6"/>
        <w:spacing w:line="276" w:lineRule="auto"/>
        <w:ind w:firstLine="0"/>
        <w:rPr>
          <w:rFonts w:asciiTheme="majorHAnsi" w:hAnsiTheme="majorHAnsi" w:cstheme="majorHAnsi"/>
          <w:lang w:val="ro-MD"/>
        </w:rPr>
      </w:pPr>
      <w:r w:rsidRPr="00653E85">
        <w:rPr>
          <w:rFonts w:asciiTheme="majorHAnsi" w:hAnsiTheme="majorHAnsi" w:cstheme="majorHAnsi"/>
          <w:lang w:val="ro-MD"/>
        </w:rPr>
        <w:t>În opinia noastră, Raportul Guvernului privind executarea bugetului asigurărilor sociale de stat oferă, sub toate aspectele semnificative, o imagine corectă şi fidelă, în conformitate cu cadrul</w:t>
      </w:r>
      <w:r w:rsidR="00C13672" w:rsidRPr="00653E85">
        <w:rPr>
          <w:rFonts w:asciiTheme="majorHAnsi" w:hAnsiTheme="majorHAnsi" w:cstheme="majorHAnsi"/>
          <w:lang w:val="ro-MD"/>
        </w:rPr>
        <w:t xml:space="preserve"> de </w:t>
      </w:r>
      <w:r w:rsidRPr="00653E85">
        <w:rPr>
          <w:rFonts w:asciiTheme="majorHAnsi" w:hAnsiTheme="majorHAnsi" w:cstheme="majorHAnsi"/>
          <w:lang w:val="ro-MD"/>
        </w:rPr>
        <w:t xml:space="preserve">raportare </w:t>
      </w:r>
      <w:r w:rsidR="00C13672" w:rsidRPr="00653E85">
        <w:rPr>
          <w:rFonts w:asciiTheme="majorHAnsi" w:hAnsiTheme="majorHAnsi" w:cstheme="majorHAnsi"/>
          <w:lang w:val="ro-MD"/>
        </w:rPr>
        <w:t>financiar</w:t>
      </w:r>
      <w:r w:rsidR="00B17ED6" w:rsidRPr="00653E85">
        <w:rPr>
          <w:rFonts w:asciiTheme="majorHAnsi" w:hAnsiTheme="majorHAnsi" w:cstheme="majorHAnsi"/>
          <w:lang w:val="ro-MD"/>
        </w:rPr>
        <w:t>ă</w:t>
      </w:r>
      <w:r w:rsidR="00C13672" w:rsidRPr="00653E85">
        <w:rPr>
          <w:rFonts w:asciiTheme="majorHAnsi" w:hAnsiTheme="majorHAnsi" w:cstheme="majorHAnsi"/>
          <w:lang w:val="ro-MD"/>
        </w:rPr>
        <w:t xml:space="preserve"> </w:t>
      </w:r>
      <w:r w:rsidRPr="00653E85">
        <w:rPr>
          <w:rFonts w:asciiTheme="majorHAnsi" w:hAnsiTheme="majorHAnsi" w:cstheme="majorHAnsi"/>
          <w:lang w:val="ro-MD"/>
        </w:rPr>
        <w:t>aplicabil</w:t>
      </w:r>
      <w:r w:rsidRPr="00653E85">
        <w:rPr>
          <w:rStyle w:val="a5"/>
          <w:rFonts w:asciiTheme="majorHAnsi" w:hAnsiTheme="majorHAnsi" w:cstheme="majorHAnsi"/>
          <w:lang w:val="ro-MD"/>
        </w:rPr>
        <w:footnoteReference w:id="2"/>
      </w:r>
      <w:r w:rsidRPr="00653E85">
        <w:rPr>
          <w:rFonts w:asciiTheme="majorHAnsi" w:hAnsiTheme="majorHAnsi" w:cstheme="majorHAnsi"/>
          <w:lang w:val="ro-MD"/>
        </w:rPr>
        <w:t>.</w:t>
      </w:r>
    </w:p>
    <w:p w14:paraId="39C94475" w14:textId="77777777" w:rsidR="00504112" w:rsidRPr="00653E85" w:rsidRDefault="00504112" w:rsidP="00437B23">
      <w:pPr>
        <w:pStyle w:val="1"/>
        <w:numPr>
          <w:ilvl w:val="0"/>
          <w:numId w:val="2"/>
        </w:numPr>
        <w:tabs>
          <w:tab w:val="left" w:pos="720"/>
        </w:tabs>
        <w:spacing w:line="240" w:lineRule="auto"/>
        <w:ind w:left="0" w:firstLine="0"/>
        <w:jc w:val="both"/>
        <w:rPr>
          <w:rFonts w:asciiTheme="majorHAnsi" w:hAnsiTheme="majorHAnsi" w:cstheme="minorHAnsi"/>
          <w:bCs/>
          <w:sz w:val="28"/>
          <w:szCs w:val="24"/>
        </w:rPr>
      </w:pPr>
      <w:r w:rsidRPr="00653E85">
        <w:rPr>
          <w:rFonts w:asciiTheme="majorHAnsi" w:hAnsiTheme="majorHAnsi" w:cstheme="minorHAnsi"/>
          <w:bCs/>
          <w:sz w:val="28"/>
          <w:szCs w:val="24"/>
        </w:rPr>
        <w:t xml:space="preserve">BAZA PENTRU OPINIE </w:t>
      </w:r>
    </w:p>
    <w:p w14:paraId="795402EF" w14:textId="77777777" w:rsidR="00504112" w:rsidRPr="00653E85" w:rsidRDefault="00504112" w:rsidP="00504112">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Am realizat misiunea de audit în conformitate cu Standardele Internaționale ale Instituțiilor Supreme de Audit</w:t>
      </w:r>
      <w:r w:rsidRPr="00653E85">
        <w:rPr>
          <w:rFonts w:asciiTheme="majorHAnsi" w:hAnsiTheme="majorHAnsi" w:cstheme="majorHAnsi"/>
          <w:sz w:val="24"/>
          <w:szCs w:val="24"/>
          <w:vertAlign w:val="superscript"/>
          <w:lang w:val="ro-MD"/>
        </w:rPr>
        <w:footnoteReference w:id="3"/>
      </w:r>
      <w:r w:rsidRPr="00653E85">
        <w:rPr>
          <w:rFonts w:asciiTheme="majorHAnsi" w:hAnsiTheme="majorHAnsi" w:cstheme="majorHAnsi"/>
          <w:sz w:val="24"/>
          <w:szCs w:val="24"/>
          <w:lang w:val="ro-MD"/>
        </w:rPr>
        <w:t xml:space="preserve">. Responsabilitățile noastre, potrivit standardelor respective, sunt expuse în secțiunea </w:t>
      </w:r>
      <w:r w:rsidRPr="00653E85">
        <w:rPr>
          <w:rFonts w:asciiTheme="majorHAnsi" w:hAnsiTheme="majorHAnsi" w:cstheme="majorHAnsi"/>
          <w:i/>
          <w:sz w:val="24"/>
          <w:szCs w:val="24"/>
          <w:lang w:val="ro-MD"/>
        </w:rPr>
        <w:t>Responsabilitățile auditorului într-un audit al situațiilor financiare</w:t>
      </w:r>
      <w:r w:rsidRPr="00653E85">
        <w:rPr>
          <w:rFonts w:asciiTheme="majorHAnsi" w:hAnsiTheme="majorHAnsi" w:cstheme="majorHAnsi"/>
          <w:sz w:val="24"/>
          <w:szCs w:val="24"/>
          <w:lang w:val="ro-MD"/>
        </w:rPr>
        <w:t xml:space="preserve"> din prezentul Raport. Suntem independenți față de entitatea auditată și am îndeplinit responsabilitățile de etică, conform cerințelor Codului etic al Curții de Conturi. Considerăm că probele de audit pe care le-am obținut sunt suficiente și adecvate pentru a furniza o bază pentru opinia noastră.</w:t>
      </w:r>
    </w:p>
    <w:p w14:paraId="0A818CA3" w14:textId="66DD5A8E" w:rsidR="00FD0E76" w:rsidRPr="00653E85" w:rsidRDefault="00FD0E76" w:rsidP="00437B23">
      <w:pPr>
        <w:pStyle w:val="1"/>
        <w:numPr>
          <w:ilvl w:val="0"/>
          <w:numId w:val="2"/>
        </w:numPr>
        <w:tabs>
          <w:tab w:val="left" w:pos="709"/>
        </w:tabs>
        <w:spacing w:before="120" w:after="120"/>
        <w:ind w:left="0" w:firstLine="0"/>
        <w:jc w:val="left"/>
        <w:rPr>
          <w:rFonts w:asciiTheme="majorHAnsi" w:hAnsiTheme="majorHAnsi" w:cstheme="majorHAnsi"/>
          <w:sz w:val="28"/>
          <w:szCs w:val="28"/>
        </w:rPr>
      </w:pPr>
      <w:bookmarkStart w:id="3" w:name="_Toc35000683"/>
      <w:r w:rsidRPr="00653E85">
        <w:rPr>
          <w:rFonts w:asciiTheme="majorHAnsi" w:hAnsiTheme="majorHAnsi" w:cstheme="majorHAnsi"/>
          <w:sz w:val="28"/>
          <w:szCs w:val="28"/>
        </w:rPr>
        <w:t>PARAGRAF DE EVIDENȚIERE</w:t>
      </w:r>
    </w:p>
    <w:p w14:paraId="14D660CD" w14:textId="0057ADE4" w:rsidR="00E1762E" w:rsidRPr="00653E85" w:rsidRDefault="00E1762E" w:rsidP="00E1762E">
      <w:pPr>
        <w:pStyle w:val="aa"/>
        <w:numPr>
          <w:ilvl w:val="1"/>
          <w:numId w:val="2"/>
        </w:numPr>
        <w:ind w:left="0" w:firstLine="0"/>
        <w:jc w:val="both"/>
        <w:rPr>
          <w:rFonts w:asciiTheme="majorHAnsi" w:hAnsiTheme="majorHAnsi" w:cstheme="majorHAnsi"/>
          <w:b/>
          <w:sz w:val="24"/>
          <w:szCs w:val="24"/>
          <w:lang w:val="ro-MD"/>
        </w:rPr>
      </w:pPr>
      <w:r w:rsidRPr="00653E85">
        <w:rPr>
          <w:rFonts w:asciiTheme="majorHAnsi" w:hAnsiTheme="majorHAnsi" w:cstheme="majorHAnsi"/>
          <w:b/>
          <w:sz w:val="24"/>
          <w:szCs w:val="24"/>
          <w:lang w:val="ro-MD"/>
        </w:rPr>
        <w:t>Auditul semnalează că normele de raportare actuale</w:t>
      </w:r>
      <w:r w:rsidR="002A764D" w:rsidRPr="00653E85">
        <w:rPr>
          <w:rFonts w:asciiTheme="majorHAnsi" w:hAnsiTheme="majorHAnsi" w:cstheme="majorHAnsi"/>
          <w:b/>
          <w:sz w:val="24"/>
          <w:szCs w:val="24"/>
          <w:lang w:val="ro-MD"/>
        </w:rPr>
        <w:t>,</w:t>
      </w:r>
      <w:r w:rsidRPr="00653E85">
        <w:rPr>
          <w:rFonts w:asciiTheme="majorHAnsi" w:hAnsiTheme="majorHAnsi" w:cstheme="majorHAnsi"/>
          <w:b/>
          <w:sz w:val="24"/>
          <w:szCs w:val="24"/>
          <w:lang w:val="ro-MD"/>
        </w:rPr>
        <w:t xml:space="preserve"> </w:t>
      </w:r>
      <w:r w:rsidR="00612B26" w:rsidRPr="00653E85">
        <w:rPr>
          <w:rFonts w:asciiTheme="majorHAnsi" w:hAnsiTheme="majorHAnsi" w:cstheme="majorHAnsi"/>
          <w:b/>
          <w:sz w:val="24"/>
          <w:szCs w:val="24"/>
          <w:lang w:val="ro-MD"/>
        </w:rPr>
        <w:t xml:space="preserve">coordonate cu </w:t>
      </w:r>
      <w:r w:rsidRPr="00653E85">
        <w:rPr>
          <w:rFonts w:asciiTheme="majorHAnsi" w:hAnsiTheme="majorHAnsi" w:cstheme="majorHAnsi"/>
          <w:b/>
          <w:sz w:val="24"/>
          <w:szCs w:val="24"/>
          <w:lang w:val="ro-MD"/>
        </w:rPr>
        <w:t>Ministerul Finanțelor pentru executarea BASS</w:t>
      </w:r>
      <w:r w:rsidR="002A764D" w:rsidRPr="00653E85">
        <w:rPr>
          <w:rFonts w:asciiTheme="majorHAnsi" w:hAnsiTheme="majorHAnsi" w:cstheme="majorHAnsi"/>
          <w:b/>
          <w:sz w:val="24"/>
          <w:szCs w:val="24"/>
          <w:lang w:val="ro-MD"/>
        </w:rPr>
        <w:t>,</w:t>
      </w:r>
      <w:r w:rsidRPr="00653E85">
        <w:rPr>
          <w:rFonts w:asciiTheme="majorHAnsi" w:hAnsiTheme="majorHAnsi" w:cstheme="majorHAnsi"/>
          <w:b/>
          <w:sz w:val="24"/>
          <w:szCs w:val="24"/>
          <w:lang w:val="ro-MD"/>
        </w:rPr>
        <w:t xml:space="preserve"> </w:t>
      </w:r>
      <w:r w:rsidR="00030364" w:rsidRPr="00653E85">
        <w:rPr>
          <w:rFonts w:asciiTheme="majorHAnsi" w:hAnsiTheme="majorHAnsi" w:cstheme="majorHAnsi"/>
          <w:b/>
          <w:sz w:val="24"/>
          <w:szCs w:val="24"/>
          <w:lang w:val="ro-MD"/>
        </w:rPr>
        <w:t xml:space="preserve">nu sunt în concordanță cu evidența </w:t>
      </w:r>
      <w:r w:rsidRPr="00653E85">
        <w:rPr>
          <w:rFonts w:asciiTheme="majorHAnsi" w:hAnsiTheme="majorHAnsi" w:cstheme="majorHAnsi"/>
          <w:b/>
          <w:sz w:val="24"/>
          <w:szCs w:val="24"/>
          <w:lang w:val="ro-MD"/>
        </w:rPr>
        <w:t xml:space="preserve">patrimoniului și datoriilor </w:t>
      </w:r>
      <w:r w:rsidR="00612B26" w:rsidRPr="00653E85">
        <w:rPr>
          <w:rFonts w:asciiTheme="majorHAnsi" w:hAnsiTheme="majorHAnsi" w:cstheme="majorHAnsi"/>
          <w:b/>
          <w:sz w:val="24"/>
          <w:szCs w:val="24"/>
          <w:lang w:val="ro-MD"/>
        </w:rPr>
        <w:t>aferente instituțiilor bugetare finanțate din bugetul de stat</w:t>
      </w:r>
      <w:r w:rsidR="00E658AC" w:rsidRPr="00653E85">
        <w:rPr>
          <w:rFonts w:asciiTheme="majorHAnsi" w:hAnsiTheme="majorHAnsi" w:cstheme="majorHAnsi"/>
          <w:b/>
          <w:sz w:val="24"/>
          <w:szCs w:val="24"/>
          <w:lang w:val="ro-MD"/>
        </w:rPr>
        <w:t>.</w:t>
      </w:r>
    </w:p>
    <w:p w14:paraId="7F4C65A5" w14:textId="41E085A5" w:rsidR="00E1762E" w:rsidRPr="00653E85" w:rsidRDefault="00BE5D31" w:rsidP="00E1762E">
      <w:pPr>
        <w:pStyle w:val="a6"/>
        <w:spacing w:after="240" w:line="276" w:lineRule="auto"/>
        <w:ind w:firstLine="0"/>
        <w:rPr>
          <w:rFonts w:asciiTheme="majorHAnsi" w:eastAsiaTheme="minorHAnsi" w:hAnsiTheme="majorHAnsi" w:cstheme="majorHAnsi"/>
          <w:lang w:val="ro-MD"/>
        </w:rPr>
      </w:pPr>
      <w:r w:rsidRPr="00653E85">
        <w:rPr>
          <w:rFonts w:asciiTheme="majorHAnsi" w:eastAsiaTheme="minorHAnsi" w:hAnsiTheme="majorHAnsi" w:cstheme="majorHAnsi"/>
          <w:lang w:val="ro-MD"/>
        </w:rPr>
        <w:t xml:space="preserve">Atragem atenția asupra normelor care prevăd modul de raportare </w:t>
      </w:r>
      <w:r w:rsidR="002A764D" w:rsidRPr="00653E85">
        <w:rPr>
          <w:rFonts w:asciiTheme="majorHAnsi" w:eastAsiaTheme="minorHAnsi" w:hAnsiTheme="majorHAnsi" w:cstheme="majorHAnsi"/>
          <w:lang w:val="ro-MD"/>
        </w:rPr>
        <w:t xml:space="preserve">la </w:t>
      </w:r>
      <w:r w:rsidRPr="00653E85">
        <w:rPr>
          <w:rFonts w:asciiTheme="majorHAnsi" w:eastAsiaTheme="minorHAnsi" w:hAnsiTheme="majorHAnsi" w:cstheme="majorHAnsi"/>
          <w:lang w:val="ro-MD"/>
        </w:rPr>
        <w:t xml:space="preserve">BASS, care este un buget specific, </w:t>
      </w:r>
      <w:r w:rsidR="002B259D" w:rsidRPr="00653E85">
        <w:rPr>
          <w:rFonts w:asciiTheme="majorHAnsi" w:eastAsiaTheme="minorHAnsi" w:hAnsiTheme="majorHAnsi" w:cstheme="majorHAnsi"/>
          <w:lang w:val="ro-MD"/>
        </w:rPr>
        <w:t>iar evidența</w:t>
      </w:r>
      <w:r w:rsidR="002B259D" w:rsidRPr="00653E85">
        <w:rPr>
          <w:lang w:val="ro-MD"/>
        </w:rPr>
        <w:t xml:space="preserve"> </w:t>
      </w:r>
      <w:r w:rsidR="002B259D" w:rsidRPr="00653E85">
        <w:rPr>
          <w:rFonts w:asciiTheme="majorHAnsi" w:eastAsiaTheme="minorHAnsi" w:hAnsiTheme="majorHAnsi" w:cstheme="majorHAnsi"/>
          <w:lang w:val="ro-MD"/>
        </w:rPr>
        <w:t>se asigură în baza planurilor de conturi proprii cu utilizarea sistemelor informaționale specifice domeniilor de activitate</w:t>
      </w:r>
      <w:r w:rsidRPr="00653E85">
        <w:rPr>
          <w:rFonts w:asciiTheme="majorHAnsi" w:eastAsiaTheme="minorHAnsi" w:hAnsiTheme="majorHAnsi" w:cstheme="majorHAnsi"/>
          <w:lang w:val="ro-MD"/>
        </w:rPr>
        <w:t xml:space="preserve">. Astfel, </w:t>
      </w:r>
      <w:r w:rsidR="00E1762E" w:rsidRPr="00653E85">
        <w:rPr>
          <w:rFonts w:asciiTheme="majorHAnsi" w:eastAsiaTheme="minorHAnsi" w:hAnsiTheme="majorHAnsi" w:cstheme="majorHAnsi"/>
          <w:lang w:val="ro-MD"/>
        </w:rPr>
        <w:t>Ordinul ministrului Finanțelor nr.38 din 17.02.2017 „Cu privire la aprobarea formularelor Rapoartelor privind executarea bugetului asigurărilor sociale de stat şi Normelor metodologice privind modul de întocmire a acestora” dezvăluie modul de prezentare a rapoartelor financiare. Casa Națională de Asigurări Sociale ține evidența contabilă în baza prevederilor Legii contabilităţii, în conformitate cu planul de conturi contabile</w:t>
      </w:r>
      <w:r w:rsidR="00BE1992" w:rsidRPr="00653E85">
        <w:rPr>
          <w:rFonts w:asciiTheme="majorHAnsi" w:eastAsiaTheme="minorHAnsi" w:hAnsiTheme="majorHAnsi" w:cstheme="majorHAnsi"/>
          <w:lang w:val="ro-MD"/>
        </w:rPr>
        <w:t xml:space="preserve"> proprii</w:t>
      </w:r>
      <w:r w:rsidR="00E1762E" w:rsidRPr="00653E85">
        <w:rPr>
          <w:rFonts w:asciiTheme="majorHAnsi" w:eastAsiaTheme="minorHAnsi" w:hAnsiTheme="majorHAnsi" w:cstheme="majorHAnsi"/>
          <w:lang w:val="ro-MD"/>
        </w:rPr>
        <w:t xml:space="preserve"> şi cu metodologia </w:t>
      </w:r>
      <w:r w:rsidR="0055675F" w:rsidRPr="00653E85">
        <w:rPr>
          <w:rFonts w:asciiTheme="majorHAnsi" w:eastAsiaTheme="minorHAnsi" w:hAnsiTheme="majorHAnsi" w:cstheme="majorHAnsi"/>
          <w:lang w:val="ro-MD"/>
        </w:rPr>
        <w:t>coordonat</w:t>
      </w:r>
      <w:r w:rsidR="0055675F" w:rsidRPr="00B7675F">
        <w:rPr>
          <w:rFonts w:asciiTheme="majorHAnsi" w:eastAsiaTheme="minorHAnsi" w:hAnsiTheme="majorHAnsi" w:cstheme="majorHAnsi"/>
          <w:lang w:val="ro-MD"/>
        </w:rPr>
        <w:t>ă</w:t>
      </w:r>
      <w:r w:rsidR="00E1762E" w:rsidRPr="00653E85">
        <w:rPr>
          <w:rFonts w:asciiTheme="majorHAnsi" w:eastAsiaTheme="minorHAnsi" w:hAnsiTheme="majorHAnsi" w:cstheme="majorHAnsi"/>
          <w:lang w:val="ro-MD"/>
        </w:rPr>
        <w:t xml:space="preserve"> </w:t>
      </w:r>
      <w:r w:rsidR="0055675F" w:rsidRPr="00653E85">
        <w:rPr>
          <w:rFonts w:asciiTheme="majorHAnsi" w:eastAsiaTheme="minorHAnsi" w:hAnsiTheme="majorHAnsi" w:cstheme="majorHAnsi"/>
          <w:lang w:val="ro-MD"/>
        </w:rPr>
        <w:t>cu</w:t>
      </w:r>
      <w:r w:rsidR="00E1762E" w:rsidRPr="00653E85">
        <w:rPr>
          <w:rFonts w:asciiTheme="majorHAnsi" w:eastAsiaTheme="minorHAnsi" w:hAnsiTheme="majorHAnsi" w:cstheme="majorHAnsi"/>
          <w:lang w:val="ro-MD"/>
        </w:rPr>
        <w:t xml:space="preserve"> Ministerul Finanţelor. Totodată, formatul bilanțului contabil întocmit de CNAS este aprobat prin ordinul  CNAS</w:t>
      </w:r>
      <w:r w:rsidR="00E1762E" w:rsidRPr="00653E85">
        <w:rPr>
          <w:rStyle w:val="a5"/>
          <w:rFonts w:asciiTheme="majorHAnsi" w:eastAsiaTheme="minorHAnsi" w:hAnsiTheme="majorHAnsi" w:cstheme="majorHAnsi"/>
          <w:lang w:val="ro-MD"/>
        </w:rPr>
        <w:footnoteReference w:id="4"/>
      </w:r>
      <w:r w:rsidR="00E1762E" w:rsidRPr="00653E85">
        <w:rPr>
          <w:rFonts w:asciiTheme="majorHAnsi" w:eastAsiaTheme="minorHAnsi" w:hAnsiTheme="majorHAnsi" w:cstheme="majorHAnsi"/>
          <w:lang w:val="ro-MD"/>
        </w:rPr>
        <w:t>, iar acesta se prezint</w:t>
      </w:r>
      <w:r w:rsidR="00E1762E" w:rsidRPr="00B7675F">
        <w:rPr>
          <w:rFonts w:asciiTheme="majorHAnsi" w:eastAsiaTheme="minorHAnsi" w:hAnsiTheme="majorHAnsi" w:cstheme="majorHAnsi"/>
          <w:lang w:val="ro-MD"/>
        </w:rPr>
        <w:t xml:space="preserve">ă anual Guvernului și Ministerului Finanțelor. În </w:t>
      </w:r>
      <w:r w:rsidR="002A764D" w:rsidRPr="0038225D">
        <w:rPr>
          <w:rFonts w:asciiTheme="majorHAnsi" w:eastAsiaTheme="minorHAnsi" w:hAnsiTheme="majorHAnsi" w:cstheme="majorHAnsi"/>
          <w:lang w:val="ro-MD"/>
        </w:rPr>
        <w:t xml:space="preserve">acest </w:t>
      </w:r>
      <w:r w:rsidR="00E1762E" w:rsidRPr="00B7675F">
        <w:rPr>
          <w:rFonts w:asciiTheme="majorHAnsi" w:eastAsiaTheme="minorHAnsi" w:hAnsiTheme="majorHAnsi" w:cstheme="majorHAnsi"/>
          <w:lang w:val="ro-MD"/>
        </w:rPr>
        <w:t xml:space="preserve">context, se </w:t>
      </w:r>
      <w:r w:rsidR="00E1762E" w:rsidRPr="00653E85">
        <w:rPr>
          <w:rFonts w:asciiTheme="majorHAnsi" w:eastAsiaTheme="minorHAnsi" w:hAnsiTheme="majorHAnsi" w:cstheme="majorHAnsi"/>
          <w:lang w:val="ro-MD"/>
        </w:rPr>
        <w:t xml:space="preserve">constată că bilanțul contabil este întocmit după un format diferit, care nu corespunde bilanțului contabil pentru instituțiile bugetare finanțate din bugetul de stat și </w:t>
      </w:r>
      <w:r w:rsidR="002A764D" w:rsidRPr="00653E85">
        <w:rPr>
          <w:rFonts w:asciiTheme="majorHAnsi" w:eastAsiaTheme="minorHAnsi" w:hAnsiTheme="majorHAnsi" w:cstheme="majorHAnsi"/>
          <w:lang w:val="ro-MD"/>
        </w:rPr>
        <w:t xml:space="preserve">din </w:t>
      </w:r>
      <w:r w:rsidR="00E1762E" w:rsidRPr="00653E85">
        <w:rPr>
          <w:rFonts w:asciiTheme="majorHAnsi" w:eastAsiaTheme="minorHAnsi" w:hAnsiTheme="majorHAnsi" w:cstheme="majorHAnsi"/>
          <w:lang w:val="ro-MD"/>
        </w:rPr>
        <w:t xml:space="preserve">bugetele locale (Ordinul ministrului Finanțelor nr.216/2015). </w:t>
      </w:r>
    </w:p>
    <w:p w14:paraId="30E46E97" w14:textId="5B623050" w:rsidR="00E1762E" w:rsidRPr="00653E85" w:rsidRDefault="00E1762E" w:rsidP="00E1762E">
      <w:pPr>
        <w:pStyle w:val="a6"/>
        <w:spacing w:after="240" w:line="276" w:lineRule="auto"/>
        <w:ind w:firstLine="0"/>
        <w:rPr>
          <w:rFonts w:asciiTheme="majorHAnsi" w:hAnsiTheme="majorHAnsi" w:cstheme="majorHAnsi"/>
          <w:lang w:val="ro-MD"/>
        </w:rPr>
      </w:pPr>
      <w:r w:rsidRPr="00653E85">
        <w:rPr>
          <w:rFonts w:asciiTheme="majorHAnsi" w:hAnsiTheme="majorHAnsi" w:cstheme="majorHAnsi"/>
          <w:lang w:val="ro-MD"/>
        </w:rPr>
        <w:t xml:space="preserve">Principiile de bază şi caracteristicile calitative presupun ținerea evidenței în baza contabilității pe angajamente și separării patrimoniului şi </w:t>
      </w:r>
      <w:r w:rsidR="00832BCC" w:rsidRPr="00653E85">
        <w:rPr>
          <w:rFonts w:asciiTheme="majorHAnsi" w:hAnsiTheme="majorHAnsi" w:cstheme="majorHAnsi"/>
          <w:lang w:val="ro-MD"/>
        </w:rPr>
        <w:t xml:space="preserve">a </w:t>
      </w:r>
      <w:r w:rsidRPr="00653E85">
        <w:rPr>
          <w:rFonts w:asciiTheme="majorHAnsi" w:hAnsiTheme="majorHAnsi" w:cstheme="majorHAnsi"/>
          <w:lang w:val="ro-MD"/>
        </w:rPr>
        <w:t>datoriilor. Totodată, „entitatea care aplică sistemul contabil în partidă dublă este obligată să ţină evidenţa activelor, capitalului propriu, datoriilor, consumurilor, cheltuielilor şi veniturilor în baza conturilor contabile”</w:t>
      </w:r>
      <w:r w:rsidRPr="00653E85">
        <w:rPr>
          <w:rStyle w:val="a5"/>
          <w:rFonts w:asciiTheme="majorHAnsi" w:hAnsiTheme="majorHAnsi" w:cstheme="majorHAnsi"/>
          <w:lang w:val="ro-MD"/>
        </w:rPr>
        <w:footnoteReference w:id="5"/>
      </w:r>
      <w:r w:rsidRPr="00653E85">
        <w:rPr>
          <w:rFonts w:asciiTheme="majorHAnsi" w:hAnsiTheme="majorHAnsi" w:cstheme="majorHAnsi"/>
          <w:lang w:val="ro-MD"/>
        </w:rPr>
        <w:t xml:space="preserve">.  Astfel, normele de raportare </w:t>
      </w:r>
      <w:r w:rsidR="00BE1992" w:rsidRPr="00653E85">
        <w:rPr>
          <w:rFonts w:asciiTheme="majorHAnsi" w:hAnsiTheme="majorHAnsi" w:cstheme="majorHAnsi"/>
          <w:lang w:val="ro-MD"/>
        </w:rPr>
        <w:t>coordonate</w:t>
      </w:r>
      <w:r w:rsidRPr="00653E85">
        <w:rPr>
          <w:rFonts w:asciiTheme="majorHAnsi" w:hAnsiTheme="majorHAnsi" w:cstheme="majorHAnsi"/>
          <w:lang w:val="ro-MD"/>
        </w:rPr>
        <w:t xml:space="preserve"> de către Ministerul Finanțelor nu includ un cadru de raportare unic al bilanțului contabil al CNAS</w:t>
      </w:r>
      <w:r w:rsidR="00A479DA" w:rsidRPr="00653E85">
        <w:rPr>
          <w:rFonts w:asciiTheme="majorHAnsi" w:hAnsiTheme="majorHAnsi" w:cstheme="majorHAnsi"/>
          <w:lang w:val="ro-MD"/>
        </w:rPr>
        <w:t>,</w:t>
      </w:r>
      <w:r w:rsidRPr="00653E85">
        <w:rPr>
          <w:rFonts w:asciiTheme="majorHAnsi" w:hAnsiTheme="majorHAnsi" w:cstheme="majorHAnsi"/>
          <w:lang w:val="ro-MD"/>
        </w:rPr>
        <w:t xml:space="preserve"> în contextul existenței și aprobării unui format diferit pentru acesta. </w:t>
      </w:r>
      <w:r w:rsidR="00030364" w:rsidRPr="00653E85">
        <w:rPr>
          <w:rFonts w:asciiTheme="majorHAnsi" w:hAnsiTheme="majorHAnsi" w:cstheme="majorHAnsi"/>
          <w:lang w:val="ro-MD"/>
        </w:rPr>
        <w:t>MF efectuează consolidarea Bilanțului Guvernului prin intermediul tabelelor de transpunere a conturilor bilanțiere a</w:t>
      </w:r>
      <w:r w:rsidR="00A479DA" w:rsidRPr="00653E85">
        <w:rPr>
          <w:rFonts w:asciiTheme="majorHAnsi" w:hAnsiTheme="majorHAnsi" w:cstheme="majorHAnsi"/>
          <w:lang w:val="ro-MD"/>
        </w:rPr>
        <w:t>le</w:t>
      </w:r>
      <w:r w:rsidR="00030364" w:rsidRPr="00653E85">
        <w:rPr>
          <w:rFonts w:asciiTheme="majorHAnsi" w:hAnsiTheme="majorHAnsi" w:cstheme="majorHAnsi"/>
          <w:lang w:val="ro-MD"/>
        </w:rPr>
        <w:t xml:space="preserve"> CNAS în conturile bilanțiere a</w:t>
      </w:r>
      <w:r w:rsidR="00A479DA" w:rsidRPr="00653E85">
        <w:rPr>
          <w:rFonts w:asciiTheme="majorHAnsi" w:hAnsiTheme="majorHAnsi" w:cstheme="majorHAnsi"/>
          <w:lang w:val="ro-MD"/>
        </w:rPr>
        <w:t>le</w:t>
      </w:r>
      <w:r w:rsidR="00030364" w:rsidRPr="00653E85">
        <w:rPr>
          <w:rFonts w:asciiTheme="majorHAnsi" w:hAnsiTheme="majorHAnsi" w:cstheme="majorHAnsi"/>
          <w:lang w:val="ro-MD"/>
        </w:rPr>
        <w:t xml:space="preserve"> instituțiilor bugetare. </w:t>
      </w:r>
      <w:r w:rsidRPr="00653E85">
        <w:rPr>
          <w:rFonts w:asciiTheme="majorHAnsi" w:hAnsiTheme="majorHAnsi" w:cstheme="majorHAnsi"/>
          <w:lang w:val="ro-MD"/>
        </w:rPr>
        <w:t xml:space="preserve">Prin urmare, normele de raportare actuale </w:t>
      </w:r>
      <w:r w:rsidR="00030364" w:rsidRPr="00653E85">
        <w:rPr>
          <w:rFonts w:asciiTheme="majorHAnsi" w:hAnsiTheme="majorHAnsi" w:cstheme="majorHAnsi"/>
          <w:lang w:val="ro-MD"/>
        </w:rPr>
        <w:t>complică</w:t>
      </w:r>
      <w:r w:rsidR="00BE1992" w:rsidRPr="00653E85">
        <w:rPr>
          <w:rFonts w:asciiTheme="majorHAnsi" w:hAnsiTheme="majorHAnsi" w:cstheme="majorHAnsi"/>
          <w:lang w:val="ro-MD"/>
        </w:rPr>
        <w:t xml:space="preserve"> </w:t>
      </w:r>
      <w:r w:rsidRPr="00653E85">
        <w:rPr>
          <w:rFonts w:asciiTheme="majorHAnsi" w:hAnsiTheme="majorHAnsi" w:cstheme="majorHAnsi"/>
          <w:lang w:val="ro-MD"/>
        </w:rPr>
        <w:t xml:space="preserve">consolidarea patrimoniului și </w:t>
      </w:r>
      <w:r w:rsidR="00A479DA" w:rsidRPr="00653E85">
        <w:rPr>
          <w:rFonts w:asciiTheme="majorHAnsi" w:hAnsiTheme="majorHAnsi" w:cstheme="majorHAnsi"/>
          <w:lang w:val="ro-MD"/>
        </w:rPr>
        <w:t xml:space="preserve">a </w:t>
      </w:r>
      <w:r w:rsidRPr="00653E85">
        <w:rPr>
          <w:rFonts w:asciiTheme="majorHAnsi" w:hAnsiTheme="majorHAnsi" w:cstheme="majorHAnsi"/>
          <w:lang w:val="ro-MD"/>
        </w:rPr>
        <w:t xml:space="preserve">datoriilor Guvernului într-un raport financiar unic.  </w:t>
      </w:r>
    </w:p>
    <w:p w14:paraId="4673763D" w14:textId="24EE1294" w:rsidR="00E1762E" w:rsidRPr="00FB7074" w:rsidRDefault="00E1762E" w:rsidP="00AC20C5">
      <w:pPr>
        <w:pStyle w:val="a6"/>
        <w:spacing w:line="276" w:lineRule="auto"/>
        <w:ind w:right="-23" w:firstLine="0"/>
        <w:rPr>
          <w:rFonts w:asciiTheme="majorHAnsi" w:eastAsiaTheme="minorHAnsi" w:hAnsiTheme="majorHAnsi" w:cstheme="majorHAnsi"/>
          <w:i/>
          <w:lang w:val="ro-MD"/>
        </w:rPr>
      </w:pPr>
      <w:r w:rsidRPr="00653E85">
        <w:rPr>
          <w:rFonts w:asciiTheme="majorHAnsi" w:eastAsiaTheme="minorHAnsi" w:hAnsiTheme="majorHAnsi" w:cstheme="majorHAnsi"/>
          <w:lang w:val="ro-MD"/>
        </w:rPr>
        <w:t>Auditul menționează că</w:t>
      </w:r>
      <w:r w:rsidR="00A479DA" w:rsidRPr="00653E85">
        <w:rPr>
          <w:rFonts w:asciiTheme="majorHAnsi" w:eastAsiaTheme="minorHAnsi" w:hAnsiTheme="majorHAnsi" w:cstheme="majorHAnsi"/>
          <w:lang w:val="ro-MD"/>
        </w:rPr>
        <w:t>,</w:t>
      </w:r>
      <w:r w:rsidRPr="00653E85">
        <w:rPr>
          <w:rFonts w:asciiTheme="majorHAnsi" w:eastAsiaTheme="minorHAnsi" w:hAnsiTheme="majorHAnsi" w:cstheme="majorHAnsi"/>
          <w:lang w:val="ro-MD"/>
        </w:rPr>
        <w:t xml:space="preserve"> în contextul politicilor strategice aprobate</w:t>
      </w:r>
      <w:r w:rsidR="00A479DA" w:rsidRPr="00653E85">
        <w:rPr>
          <w:rFonts w:asciiTheme="majorHAnsi" w:eastAsiaTheme="minorHAnsi" w:hAnsiTheme="majorHAnsi" w:cstheme="majorHAnsi"/>
          <w:lang w:val="ro-MD"/>
        </w:rPr>
        <w:t>,</w:t>
      </w:r>
      <w:r w:rsidRPr="00653E85">
        <w:rPr>
          <w:rFonts w:asciiTheme="majorHAnsi" w:eastAsiaTheme="minorHAnsi" w:hAnsiTheme="majorHAnsi" w:cstheme="majorHAnsi"/>
          <w:lang w:val="ro-MD"/>
        </w:rPr>
        <w:t xml:space="preserve"> aferente dezvoltării managementului finanțelor publice</w:t>
      </w:r>
      <w:r w:rsidRPr="00653E85">
        <w:rPr>
          <w:rFonts w:asciiTheme="majorHAnsi" w:eastAsiaTheme="minorHAnsi" w:hAnsiTheme="majorHAnsi" w:cstheme="majorHAnsi"/>
          <w:vertAlign w:val="superscript"/>
          <w:lang w:val="ro-MD"/>
        </w:rPr>
        <w:footnoteReference w:id="6"/>
      </w:r>
      <w:r w:rsidR="00A479DA" w:rsidRPr="00653E85">
        <w:rPr>
          <w:rFonts w:asciiTheme="majorHAnsi" w:eastAsiaTheme="minorHAnsi" w:hAnsiTheme="majorHAnsi" w:cstheme="majorHAnsi"/>
          <w:lang w:val="ro-MD"/>
        </w:rPr>
        <w:t>,</w:t>
      </w:r>
      <w:r w:rsidRPr="00653E85">
        <w:rPr>
          <w:rFonts w:asciiTheme="majorHAnsi" w:eastAsiaTheme="minorHAnsi" w:hAnsiTheme="majorHAnsi" w:cstheme="majorHAnsi"/>
          <w:lang w:val="ro-MD"/>
        </w:rPr>
        <w:t xml:space="preserve"> perspectiva includerii BASS în realizarea obiectivelor Componentei 3 </w:t>
      </w:r>
      <w:r w:rsidR="00A479DA" w:rsidRPr="00653E85">
        <w:rPr>
          <w:rFonts w:asciiTheme="majorHAnsi" w:eastAsiaTheme="minorHAnsi" w:hAnsiTheme="majorHAnsi" w:cstheme="majorHAnsi"/>
          <w:lang w:val="ro-MD"/>
        </w:rPr>
        <w:t>„</w:t>
      </w:r>
      <w:r w:rsidRPr="00653E85">
        <w:rPr>
          <w:rFonts w:asciiTheme="majorHAnsi" w:eastAsiaTheme="minorHAnsi" w:hAnsiTheme="majorHAnsi" w:cstheme="majorHAnsi"/>
          <w:lang w:val="ro-MD"/>
        </w:rPr>
        <w:t xml:space="preserve">Executarea bugetului, contabilitatea și raportarea” și Componentei 7 </w:t>
      </w:r>
      <w:r w:rsidR="00A479DA" w:rsidRPr="00653E85">
        <w:rPr>
          <w:rFonts w:asciiTheme="majorHAnsi" w:eastAsiaTheme="minorHAnsi" w:hAnsiTheme="majorHAnsi" w:cstheme="majorHAnsi"/>
          <w:lang w:val="ro-MD"/>
        </w:rPr>
        <w:t>„</w:t>
      </w:r>
      <w:r w:rsidRPr="00653E85">
        <w:rPr>
          <w:rFonts w:asciiTheme="majorHAnsi" w:eastAsiaTheme="minorHAnsi" w:hAnsiTheme="majorHAnsi" w:cstheme="majorHAnsi"/>
          <w:lang w:val="ro-MD"/>
        </w:rPr>
        <w:t>Transparența finanțelor publice” este necesară</w:t>
      </w:r>
      <w:r w:rsidR="00A479DA" w:rsidRPr="00653E85">
        <w:rPr>
          <w:rFonts w:asciiTheme="majorHAnsi" w:eastAsiaTheme="minorHAnsi" w:hAnsiTheme="majorHAnsi" w:cstheme="majorHAnsi"/>
          <w:lang w:val="ro-MD"/>
        </w:rPr>
        <w:t>,</w:t>
      </w:r>
      <w:r w:rsidRPr="00653E85">
        <w:rPr>
          <w:rFonts w:asciiTheme="majorHAnsi" w:eastAsiaTheme="minorHAnsi" w:hAnsiTheme="majorHAnsi" w:cstheme="majorHAnsi"/>
          <w:lang w:val="ro-MD"/>
        </w:rPr>
        <w:t xml:space="preserve"> inclusiv prin: perfecționarea analizei bugetare și a perspectivelor în domeniul finanțelor publice prin extinderea Raportului privind executarea bugetului cu informații referitoare la fluxurile de numerar prezentate în rapoartele financiare; elaborarea standardelor de contabilitate în sectorul public bazate pe standardele internaționale IPSAS (International Public Sector Accounting Standards); consolidarea capacităților de implementare a Standardelor naționale de contabilitate în sectorul public; implementarea și ajustarea continuă și conformă cu standardele aprobate a Sistemului informațional „Contabilitate unică bugetară” în mod obligatoriu pentru toate autoritățile/instituțiile bugetare; dezvoltarea capacităților și perfecționarea formatului de prezentare a bugetului pentru cetățeni, în scopul îmbunătățirii accesului publicului la informațiile bugetare </w:t>
      </w:r>
      <w:r w:rsidRPr="00FB7074">
        <w:rPr>
          <w:rFonts w:asciiTheme="majorHAnsi" w:eastAsiaTheme="minorHAnsi" w:hAnsiTheme="majorHAnsi" w:cstheme="majorHAnsi"/>
          <w:lang w:val="ro-MD"/>
        </w:rPr>
        <w:t>etc.</w:t>
      </w:r>
      <w:r w:rsidR="00202093" w:rsidRPr="00FB7074">
        <w:rPr>
          <w:rFonts w:asciiTheme="majorHAnsi" w:eastAsiaTheme="minorHAnsi" w:hAnsiTheme="majorHAnsi" w:cstheme="majorHAnsi"/>
          <w:lang w:val="ro-MD"/>
        </w:rPr>
        <w:t xml:space="preserve"> Precizăm că </w:t>
      </w:r>
      <w:r w:rsidR="00C322EA" w:rsidRPr="00FB7074">
        <w:rPr>
          <w:rFonts w:asciiTheme="majorHAnsi" w:eastAsiaTheme="minorHAnsi" w:hAnsiTheme="majorHAnsi" w:cstheme="majorHAnsi"/>
          <w:lang w:val="ro-MD"/>
        </w:rPr>
        <w:t>Ministerul F</w:t>
      </w:r>
      <w:r w:rsidR="00202093" w:rsidRPr="00FB7074">
        <w:rPr>
          <w:rFonts w:asciiTheme="majorHAnsi" w:eastAsiaTheme="minorHAnsi" w:hAnsiTheme="majorHAnsi" w:cstheme="majorHAnsi"/>
          <w:lang w:val="ro-MD"/>
        </w:rPr>
        <w:t xml:space="preserve">inanțelor a comunicat că </w:t>
      </w:r>
      <w:r w:rsidR="00202093" w:rsidRPr="00FB7074">
        <w:rPr>
          <w:rFonts w:asciiTheme="majorHAnsi" w:eastAsiaTheme="minorHAnsi" w:hAnsiTheme="majorHAnsi" w:cstheme="majorHAnsi"/>
          <w:i/>
          <w:lang w:val="ro-MD"/>
        </w:rPr>
        <w:t>„realizarea obiectivelor enunțate aferente dezvoltării man</w:t>
      </w:r>
      <w:r w:rsidR="0077416B" w:rsidRPr="00FB7074">
        <w:rPr>
          <w:rFonts w:asciiTheme="majorHAnsi" w:eastAsiaTheme="minorHAnsi" w:hAnsiTheme="majorHAnsi" w:cstheme="majorHAnsi"/>
          <w:i/>
          <w:lang w:val="ro-MD"/>
        </w:rPr>
        <w:t xml:space="preserve">agementului finanțelor publice, </w:t>
      </w:r>
      <w:r w:rsidR="00202093" w:rsidRPr="00FB7074">
        <w:rPr>
          <w:rFonts w:asciiTheme="majorHAnsi" w:eastAsiaTheme="minorHAnsi" w:hAnsiTheme="majorHAnsi" w:cstheme="majorHAnsi"/>
          <w:i/>
          <w:lang w:val="ro-MD"/>
        </w:rPr>
        <w:t>sunt valabile pentru autorități/instituții bugetare și, la moment, Ministerul Finanțelor nu are temei pentru includerea CNAS în realizarea acestora”.</w:t>
      </w:r>
    </w:p>
    <w:p w14:paraId="685E19CE" w14:textId="218D660C" w:rsidR="008F1D5E" w:rsidRPr="00FB7074" w:rsidRDefault="008F1D5E" w:rsidP="008F1D5E">
      <w:pPr>
        <w:spacing w:line="276" w:lineRule="auto"/>
        <w:jc w:val="both"/>
        <w:rPr>
          <w:rFonts w:asciiTheme="majorHAnsi" w:hAnsiTheme="majorHAnsi" w:cstheme="majorHAnsi"/>
          <w:sz w:val="24"/>
          <w:szCs w:val="24"/>
          <w:lang w:val="ro-MD"/>
        </w:rPr>
      </w:pPr>
      <w:r w:rsidRPr="00FB7074">
        <w:rPr>
          <w:rFonts w:asciiTheme="majorHAnsi" w:hAnsiTheme="majorHAnsi" w:cstheme="majorHAnsi"/>
          <w:sz w:val="24"/>
          <w:szCs w:val="24"/>
          <w:lang w:val="ro-MD"/>
        </w:rPr>
        <w:t xml:space="preserve">În </w:t>
      </w:r>
      <w:r w:rsidR="00141BA2" w:rsidRPr="00FB7074">
        <w:rPr>
          <w:rFonts w:asciiTheme="majorHAnsi" w:hAnsiTheme="majorHAnsi" w:cstheme="majorHAnsi"/>
          <w:sz w:val="24"/>
          <w:szCs w:val="24"/>
          <w:lang w:val="ro-MD"/>
        </w:rPr>
        <w:t xml:space="preserve">acest </w:t>
      </w:r>
      <w:r w:rsidRPr="00FB7074">
        <w:rPr>
          <w:rFonts w:asciiTheme="majorHAnsi" w:hAnsiTheme="majorHAnsi" w:cstheme="majorHAnsi"/>
          <w:sz w:val="24"/>
          <w:szCs w:val="24"/>
          <w:lang w:val="ro-MD"/>
        </w:rPr>
        <w:t>context, se consideră oportună includer</w:t>
      </w:r>
      <w:r w:rsidR="00AC21BC" w:rsidRPr="00FB7074">
        <w:rPr>
          <w:rFonts w:asciiTheme="majorHAnsi" w:hAnsiTheme="majorHAnsi" w:cstheme="majorHAnsi"/>
          <w:sz w:val="24"/>
          <w:szCs w:val="24"/>
          <w:lang w:val="ro-MD"/>
        </w:rPr>
        <w:t>ea</w:t>
      </w:r>
      <w:r w:rsidRPr="00FB7074">
        <w:rPr>
          <w:rFonts w:asciiTheme="majorHAnsi" w:hAnsiTheme="majorHAnsi" w:cstheme="majorHAnsi"/>
          <w:sz w:val="24"/>
          <w:szCs w:val="24"/>
          <w:lang w:val="ro-MD"/>
        </w:rPr>
        <w:t xml:space="preserve"> BASS în realizarea Strategiei de dezvoltare a managementului finanțelor publice, care are scopul să integreze cadrul existent strategic specific componentelor managementului finanțelor publice</w:t>
      </w:r>
      <w:r w:rsidR="00141BA2" w:rsidRPr="00FB7074">
        <w:rPr>
          <w:rFonts w:asciiTheme="majorHAnsi" w:hAnsiTheme="majorHAnsi" w:cstheme="majorHAnsi"/>
          <w:sz w:val="24"/>
          <w:szCs w:val="24"/>
          <w:lang w:val="ro-MD"/>
        </w:rPr>
        <w:t>,</w:t>
      </w:r>
      <w:r w:rsidRPr="00FB7074">
        <w:rPr>
          <w:rFonts w:asciiTheme="majorHAnsi" w:hAnsiTheme="majorHAnsi" w:cstheme="majorHAnsi"/>
          <w:sz w:val="24"/>
          <w:szCs w:val="24"/>
          <w:lang w:val="ro-MD"/>
        </w:rPr>
        <w:t xml:space="preserve"> în scopul continuării lanțului logic al reformelor implementate sau inițiate în ultima perioadă.</w:t>
      </w:r>
    </w:p>
    <w:p w14:paraId="0C89325F" w14:textId="5147693D" w:rsidR="00946669" w:rsidRPr="00FB7074" w:rsidRDefault="00EB62C0" w:rsidP="008944FF">
      <w:pPr>
        <w:pStyle w:val="aa"/>
        <w:numPr>
          <w:ilvl w:val="0"/>
          <w:numId w:val="37"/>
        </w:numPr>
        <w:spacing w:line="276" w:lineRule="auto"/>
        <w:ind w:left="0" w:firstLine="360"/>
        <w:jc w:val="both"/>
        <w:rPr>
          <w:rFonts w:asciiTheme="majorHAnsi" w:hAnsiTheme="majorHAnsi" w:cstheme="majorHAnsi"/>
          <w:sz w:val="24"/>
          <w:szCs w:val="24"/>
          <w:lang w:val="ro-MD"/>
        </w:rPr>
      </w:pPr>
      <w:r w:rsidRPr="00FB7074">
        <w:rPr>
          <w:rFonts w:asciiTheme="majorHAnsi" w:hAnsiTheme="majorHAnsi" w:cstheme="majorHAnsi"/>
          <w:b/>
          <w:sz w:val="24"/>
          <w:szCs w:val="24"/>
          <w:lang w:val="ro-MD"/>
        </w:rPr>
        <w:t xml:space="preserve">CNAS și SFS dispun de modalități diferite de evidență a creanțelor și </w:t>
      </w:r>
      <w:r w:rsidR="00A479DA" w:rsidRPr="00FB7074">
        <w:rPr>
          <w:rFonts w:asciiTheme="majorHAnsi" w:hAnsiTheme="majorHAnsi" w:cstheme="majorHAnsi"/>
          <w:b/>
          <w:sz w:val="24"/>
          <w:szCs w:val="24"/>
          <w:lang w:val="ro-MD"/>
        </w:rPr>
        <w:t xml:space="preserve">a </w:t>
      </w:r>
      <w:r w:rsidRPr="00FB7074">
        <w:rPr>
          <w:rFonts w:asciiTheme="majorHAnsi" w:hAnsiTheme="majorHAnsi" w:cstheme="majorHAnsi"/>
          <w:b/>
          <w:sz w:val="24"/>
          <w:szCs w:val="24"/>
          <w:lang w:val="ro-MD"/>
        </w:rPr>
        <w:t xml:space="preserve">datoriilor aferente contribuțiilor de asigurări sociale de stat, ceea ce poate determina raportarea neunivocă a acestora. </w:t>
      </w:r>
      <w:r w:rsidR="00AC20C5" w:rsidRPr="00FB7074">
        <w:rPr>
          <w:rFonts w:asciiTheme="majorHAnsi" w:hAnsiTheme="majorHAnsi" w:cstheme="majorHAnsi"/>
          <w:sz w:val="24"/>
          <w:szCs w:val="24"/>
          <w:lang w:val="ro-MD"/>
        </w:rPr>
        <w:t xml:space="preserve">Astfel, în Formularul 4.2 sunt prezentate creanțe în sumă de </w:t>
      </w:r>
      <w:r w:rsidR="000D57E3" w:rsidRPr="00FB7074">
        <w:rPr>
          <w:rFonts w:asciiTheme="majorHAnsi" w:hAnsiTheme="majorHAnsi" w:cstheme="majorHAnsi"/>
          <w:sz w:val="24"/>
          <w:szCs w:val="24"/>
          <w:lang w:val="ro-MD"/>
        </w:rPr>
        <w:t>2</w:t>
      </w:r>
      <w:r w:rsidR="008944FF" w:rsidRPr="00FB7074">
        <w:rPr>
          <w:rFonts w:asciiTheme="majorHAnsi" w:hAnsiTheme="majorHAnsi" w:cstheme="majorHAnsi"/>
          <w:sz w:val="24"/>
          <w:szCs w:val="24"/>
          <w:lang w:val="ro-MD"/>
        </w:rPr>
        <w:t xml:space="preserve"> </w:t>
      </w:r>
      <w:r w:rsidR="000D57E3" w:rsidRPr="00FB7074">
        <w:rPr>
          <w:rFonts w:asciiTheme="majorHAnsi" w:hAnsiTheme="majorHAnsi" w:cstheme="majorHAnsi"/>
          <w:sz w:val="24"/>
          <w:szCs w:val="24"/>
          <w:lang w:val="ro-MD"/>
        </w:rPr>
        <w:t>169</w:t>
      </w:r>
      <w:r w:rsidR="008944FF" w:rsidRPr="00FB7074">
        <w:rPr>
          <w:rFonts w:asciiTheme="majorHAnsi" w:hAnsiTheme="majorHAnsi" w:cstheme="majorHAnsi"/>
          <w:sz w:val="24"/>
          <w:szCs w:val="24"/>
          <w:lang w:val="ro-MD"/>
        </w:rPr>
        <w:t xml:space="preserve"> </w:t>
      </w:r>
      <w:r w:rsidR="000D57E3" w:rsidRPr="00FB7074">
        <w:rPr>
          <w:rFonts w:asciiTheme="majorHAnsi" w:hAnsiTheme="majorHAnsi" w:cstheme="majorHAnsi"/>
          <w:sz w:val="24"/>
          <w:szCs w:val="24"/>
          <w:lang w:val="ro-MD"/>
        </w:rPr>
        <w:t>011,80</w:t>
      </w:r>
      <w:r w:rsidR="00AC20C5" w:rsidRPr="00FB7074">
        <w:rPr>
          <w:rFonts w:asciiTheme="majorHAnsi" w:hAnsiTheme="majorHAnsi" w:cstheme="majorHAnsi"/>
          <w:sz w:val="24"/>
          <w:szCs w:val="24"/>
          <w:lang w:val="ro-MD"/>
        </w:rPr>
        <w:t xml:space="preserve"> mii lei și datorii în sumă de </w:t>
      </w:r>
      <w:r w:rsidR="000D57E3" w:rsidRPr="00FB7074">
        <w:rPr>
          <w:rFonts w:asciiTheme="majorHAnsi" w:hAnsiTheme="majorHAnsi" w:cstheme="majorHAnsi"/>
          <w:sz w:val="24"/>
          <w:szCs w:val="24"/>
          <w:lang w:val="ro-MD"/>
        </w:rPr>
        <w:t>139.467,60</w:t>
      </w:r>
      <w:r w:rsidR="00AC20C5" w:rsidRPr="00FB7074">
        <w:rPr>
          <w:rFonts w:asciiTheme="majorHAnsi" w:hAnsiTheme="majorHAnsi" w:cstheme="majorHAnsi"/>
          <w:sz w:val="24"/>
          <w:szCs w:val="24"/>
          <w:lang w:val="ro-MD"/>
        </w:rPr>
        <w:t xml:space="preserve"> mii lei. </w:t>
      </w:r>
      <w:r w:rsidR="00910351" w:rsidRPr="00FB7074">
        <w:rPr>
          <w:rFonts w:asciiTheme="majorHAnsi" w:hAnsiTheme="majorHAnsi" w:cstheme="majorHAnsi"/>
          <w:sz w:val="24"/>
          <w:szCs w:val="24"/>
          <w:lang w:val="ro-MD"/>
        </w:rPr>
        <w:t>Concomitent, conform informațiilor prezentate de SFS, la situația din 31.12.202</w:t>
      </w:r>
      <w:r w:rsidR="0055675F" w:rsidRPr="00FB7074">
        <w:rPr>
          <w:rFonts w:asciiTheme="majorHAnsi" w:hAnsiTheme="majorHAnsi" w:cstheme="majorHAnsi"/>
          <w:sz w:val="24"/>
          <w:szCs w:val="24"/>
          <w:lang w:val="ro-MD"/>
        </w:rPr>
        <w:t>2</w:t>
      </w:r>
      <w:r w:rsidR="00910351" w:rsidRPr="00FB7074">
        <w:rPr>
          <w:rFonts w:asciiTheme="majorHAnsi" w:hAnsiTheme="majorHAnsi" w:cstheme="majorHAnsi"/>
          <w:sz w:val="24"/>
          <w:szCs w:val="24"/>
          <w:lang w:val="ro-MD"/>
        </w:rPr>
        <w:t>,</w:t>
      </w:r>
      <w:r w:rsidR="00C33E25" w:rsidRPr="00FB7074">
        <w:t xml:space="preserve"> </w:t>
      </w:r>
      <w:r w:rsidR="00C33E25" w:rsidRPr="00FB7074">
        <w:rPr>
          <w:rFonts w:asciiTheme="majorHAnsi" w:hAnsiTheme="majorHAnsi" w:cstheme="majorHAnsi"/>
          <w:sz w:val="24"/>
          <w:szCs w:val="24"/>
          <w:lang w:val="ro-MD"/>
        </w:rPr>
        <w:t xml:space="preserve">creanțele (restanțele) </w:t>
      </w:r>
      <w:r w:rsidR="00AC21BC" w:rsidRPr="00FB7074">
        <w:rPr>
          <w:rFonts w:asciiTheme="majorHAnsi" w:hAnsiTheme="majorHAnsi" w:cstheme="majorHAnsi"/>
          <w:sz w:val="24"/>
          <w:szCs w:val="24"/>
          <w:lang w:val="ro-MD"/>
        </w:rPr>
        <w:t xml:space="preserve">contribuabililor </w:t>
      </w:r>
      <w:r w:rsidR="00C33E25" w:rsidRPr="00FB7074">
        <w:rPr>
          <w:rFonts w:asciiTheme="majorHAnsi" w:hAnsiTheme="majorHAnsi" w:cstheme="majorHAnsi"/>
          <w:sz w:val="24"/>
          <w:szCs w:val="24"/>
          <w:lang w:val="ro-MD"/>
        </w:rPr>
        <w:t>constitui</w:t>
      </w:r>
      <w:r w:rsidR="00141BA2" w:rsidRPr="00FB7074">
        <w:rPr>
          <w:rFonts w:asciiTheme="majorHAnsi" w:hAnsiTheme="majorHAnsi" w:cstheme="majorHAnsi"/>
          <w:sz w:val="24"/>
          <w:szCs w:val="24"/>
          <w:lang w:val="ro-MD"/>
        </w:rPr>
        <w:t>au</w:t>
      </w:r>
      <w:r w:rsidR="00C33E25" w:rsidRPr="00FB7074">
        <w:rPr>
          <w:rFonts w:asciiTheme="majorHAnsi" w:hAnsiTheme="majorHAnsi" w:cstheme="majorHAnsi"/>
          <w:sz w:val="24"/>
          <w:szCs w:val="24"/>
          <w:lang w:val="ro-MD"/>
        </w:rPr>
        <w:t xml:space="preserve"> 356</w:t>
      </w:r>
      <w:r w:rsidR="008944FF" w:rsidRPr="00FB7074">
        <w:rPr>
          <w:rFonts w:asciiTheme="majorHAnsi" w:hAnsiTheme="majorHAnsi" w:cstheme="majorHAnsi"/>
          <w:sz w:val="24"/>
          <w:szCs w:val="24"/>
          <w:lang w:val="ro-MD"/>
        </w:rPr>
        <w:t xml:space="preserve"> </w:t>
      </w:r>
      <w:r w:rsidR="00C33E25" w:rsidRPr="00FB7074">
        <w:rPr>
          <w:rFonts w:asciiTheme="majorHAnsi" w:hAnsiTheme="majorHAnsi" w:cstheme="majorHAnsi"/>
          <w:sz w:val="24"/>
          <w:szCs w:val="24"/>
          <w:lang w:val="ro-MD"/>
        </w:rPr>
        <w:t xml:space="preserve">397,26 mii lei, iar plățile în avans </w:t>
      </w:r>
      <w:r w:rsidR="00141BA2" w:rsidRPr="00FB7074">
        <w:rPr>
          <w:rFonts w:asciiTheme="majorHAnsi" w:hAnsiTheme="majorHAnsi" w:cstheme="majorHAnsi"/>
          <w:sz w:val="24"/>
          <w:szCs w:val="24"/>
          <w:lang w:val="ro-MD"/>
        </w:rPr>
        <w:t xml:space="preserve">– </w:t>
      </w:r>
      <w:r w:rsidR="00C33E25" w:rsidRPr="00FB7074">
        <w:rPr>
          <w:rFonts w:asciiTheme="majorHAnsi" w:hAnsiTheme="majorHAnsi" w:cstheme="majorHAnsi"/>
          <w:sz w:val="24"/>
          <w:szCs w:val="24"/>
          <w:lang w:val="ro-MD"/>
        </w:rPr>
        <w:t>796</w:t>
      </w:r>
      <w:r w:rsidR="008944FF" w:rsidRPr="00FB7074">
        <w:rPr>
          <w:rFonts w:asciiTheme="majorHAnsi" w:hAnsiTheme="majorHAnsi" w:cstheme="majorHAnsi"/>
          <w:sz w:val="24"/>
          <w:szCs w:val="24"/>
          <w:lang w:val="ro-MD"/>
        </w:rPr>
        <w:t xml:space="preserve"> </w:t>
      </w:r>
      <w:r w:rsidR="00C33E25" w:rsidRPr="00FB7074">
        <w:rPr>
          <w:rFonts w:asciiTheme="majorHAnsi" w:hAnsiTheme="majorHAnsi" w:cstheme="majorHAnsi"/>
          <w:sz w:val="24"/>
          <w:szCs w:val="24"/>
          <w:lang w:val="ro-MD"/>
        </w:rPr>
        <w:t>172,4 mii lei.</w:t>
      </w:r>
      <w:r w:rsidR="00910351" w:rsidRPr="00FB7074">
        <w:rPr>
          <w:rFonts w:asciiTheme="majorHAnsi" w:hAnsiTheme="majorHAnsi" w:cstheme="majorHAnsi"/>
          <w:sz w:val="24"/>
          <w:szCs w:val="24"/>
          <w:lang w:val="ro-MD"/>
        </w:rPr>
        <w:t xml:space="preserve"> </w:t>
      </w:r>
      <w:r w:rsidR="003B063E" w:rsidRPr="00FB7074">
        <w:rPr>
          <w:rFonts w:asciiTheme="majorHAnsi" w:hAnsiTheme="majorHAnsi" w:cstheme="majorHAnsi"/>
          <w:sz w:val="24"/>
          <w:szCs w:val="24"/>
          <w:lang w:val="ro-MD"/>
        </w:rPr>
        <w:t>Totodată, persistența diferențelor se datorează</w:t>
      </w:r>
      <w:r w:rsidR="00946669" w:rsidRPr="00FB7074">
        <w:rPr>
          <w:rFonts w:asciiTheme="majorHAnsi" w:hAnsiTheme="majorHAnsi" w:cstheme="majorHAnsi"/>
          <w:sz w:val="24"/>
          <w:szCs w:val="24"/>
          <w:lang w:val="ro-MD"/>
        </w:rPr>
        <w:t xml:space="preserve"> restanțelor istorice a</w:t>
      </w:r>
      <w:r w:rsidR="00672F87" w:rsidRPr="00FB7074">
        <w:rPr>
          <w:rFonts w:asciiTheme="majorHAnsi" w:hAnsiTheme="majorHAnsi" w:cstheme="majorHAnsi"/>
          <w:sz w:val="24"/>
          <w:szCs w:val="24"/>
          <w:lang w:val="ro-MD"/>
        </w:rPr>
        <w:t>le</w:t>
      </w:r>
      <w:r w:rsidR="00946669" w:rsidRPr="00FB7074">
        <w:rPr>
          <w:rFonts w:asciiTheme="majorHAnsi" w:hAnsiTheme="majorHAnsi" w:cstheme="majorHAnsi"/>
          <w:sz w:val="24"/>
          <w:szCs w:val="24"/>
          <w:lang w:val="ro-MD"/>
        </w:rPr>
        <w:t xml:space="preserve"> întreprinderilor insolvabile</w:t>
      </w:r>
      <w:r w:rsidR="00946669" w:rsidRPr="008944FF">
        <w:rPr>
          <w:rFonts w:asciiTheme="majorHAnsi" w:hAnsiTheme="majorHAnsi" w:cstheme="majorHAnsi"/>
          <w:sz w:val="24"/>
          <w:szCs w:val="24"/>
          <w:lang w:val="ro-MD"/>
        </w:rPr>
        <w:t xml:space="preserve"> (aflate </w:t>
      </w:r>
      <w:r w:rsidR="00672F87" w:rsidRPr="008944FF">
        <w:rPr>
          <w:rFonts w:asciiTheme="majorHAnsi" w:hAnsiTheme="majorHAnsi" w:cstheme="majorHAnsi"/>
          <w:sz w:val="24"/>
          <w:szCs w:val="24"/>
          <w:lang w:val="ro-MD"/>
        </w:rPr>
        <w:t>în</w:t>
      </w:r>
      <w:r w:rsidR="00946669" w:rsidRPr="008944FF">
        <w:rPr>
          <w:rFonts w:asciiTheme="majorHAnsi" w:hAnsiTheme="majorHAnsi" w:cstheme="majorHAnsi"/>
          <w:sz w:val="24"/>
          <w:szCs w:val="24"/>
          <w:lang w:val="ro-MD"/>
        </w:rPr>
        <w:t xml:space="preserve"> evidenț</w:t>
      </w:r>
      <w:r w:rsidR="00672F87" w:rsidRPr="008944FF">
        <w:rPr>
          <w:rFonts w:asciiTheme="majorHAnsi" w:hAnsiTheme="majorHAnsi" w:cstheme="majorHAnsi"/>
          <w:sz w:val="24"/>
          <w:szCs w:val="24"/>
          <w:lang w:val="ro-MD"/>
        </w:rPr>
        <w:t>ă</w:t>
      </w:r>
      <w:r w:rsidR="00946669" w:rsidRPr="008944FF">
        <w:rPr>
          <w:rFonts w:asciiTheme="majorHAnsi" w:hAnsiTheme="majorHAnsi" w:cstheme="majorHAnsi"/>
          <w:sz w:val="24"/>
          <w:szCs w:val="24"/>
          <w:lang w:val="ro-MD"/>
        </w:rPr>
        <w:t xml:space="preserve"> specială)</w:t>
      </w:r>
      <w:r w:rsidR="00672F87" w:rsidRPr="008944FF">
        <w:rPr>
          <w:rFonts w:asciiTheme="majorHAnsi" w:hAnsiTheme="majorHAnsi" w:cstheme="majorHAnsi"/>
          <w:sz w:val="24"/>
          <w:szCs w:val="24"/>
          <w:lang w:val="ro-MD"/>
        </w:rPr>
        <w:t>,</w:t>
      </w:r>
      <w:r w:rsidR="00946669" w:rsidRPr="008944FF">
        <w:rPr>
          <w:rFonts w:asciiTheme="majorHAnsi" w:hAnsiTheme="majorHAnsi" w:cstheme="majorHAnsi"/>
          <w:sz w:val="24"/>
          <w:szCs w:val="24"/>
          <w:lang w:val="ro-MD"/>
        </w:rPr>
        <w:t xml:space="preserve"> care la CNAS</w:t>
      </w:r>
      <w:r w:rsidR="002B043F" w:rsidRPr="008944FF">
        <w:rPr>
          <w:rFonts w:asciiTheme="majorHAnsi" w:hAnsiTheme="majorHAnsi" w:cstheme="majorHAnsi"/>
          <w:sz w:val="24"/>
          <w:szCs w:val="24"/>
          <w:lang w:val="ro-MD"/>
        </w:rPr>
        <w:t xml:space="preserve"> </w:t>
      </w:r>
      <w:r w:rsidR="00141BA2">
        <w:rPr>
          <w:rFonts w:asciiTheme="majorHAnsi" w:hAnsiTheme="majorHAnsi" w:cstheme="majorHAnsi"/>
          <w:sz w:val="24"/>
          <w:szCs w:val="24"/>
          <w:lang w:val="ro-MD"/>
        </w:rPr>
        <w:t>erau de</w:t>
      </w:r>
      <w:r w:rsidR="002B043F" w:rsidRPr="008944FF">
        <w:rPr>
          <w:rFonts w:asciiTheme="majorHAnsi" w:hAnsiTheme="majorHAnsi" w:cstheme="majorHAnsi"/>
          <w:sz w:val="24"/>
          <w:szCs w:val="24"/>
          <w:lang w:val="ro-MD"/>
        </w:rPr>
        <w:t xml:space="preserve"> 475,3 </w:t>
      </w:r>
      <w:r w:rsidR="00946669" w:rsidRPr="008944FF">
        <w:rPr>
          <w:rFonts w:asciiTheme="majorHAnsi" w:hAnsiTheme="majorHAnsi" w:cstheme="majorHAnsi"/>
          <w:sz w:val="24"/>
          <w:szCs w:val="24"/>
          <w:lang w:val="ro-MD"/>
        </w:rPr>
        <w:t>mil</w:t>
      </w:r>
      <w:r w:rsidR="002B043F" w:rsidRPr="008944FF">
        <w:rPr>
          <w:rFonts w:asciiTheme="majorHAnsi" w:hAnsiTheme="majorHAnsi" w:cstheme="majorHAnsi"/>
          <w:sz w:val="24"/>
          <w:szCs w:val="24"/>
          <w:lang w:val="ro-MD"/>
        </w:rPr>
        <w:t>.</w:t>
      </w:r>
      <w:r w:rsidR="00946669" w:rsidRPr="008944FF">
        <w:rPr>
          <w:rFonts w:asciiTheme="majorHAnsi" w:hAnsiTheme="majorHAnsi" w:cstheme="majorHAnsi"/>
          <w:sz w:val="24"/>
          <w:szCs w:val="24"/>
          <w:lang w:val="ro-MD"/>
        </w:rPr>
        <w:t xml:space="preserve"> lei</w:t>
      </w:r>
      <w:r w:rsidR="002B043F" w:rsidRPr="008944FF">
        <w:rPr>
          <w:rFonts w:asciiTheme="majorHAnsi" w:hAnsiTheme="majorHAnsi" w:cstheme="majorHAnsi"/>
          <w:sz w:val="24"/>
          <w:szCs w:val="24"/>
          <w:lang w:val="ro-MD"/>
        </w:rPr>
        <w:t>,</w:t>
      </w:r>
      <w:r w:rsidR="00946669" w:rsidRPr="008944FF">
        <w:rPr>
          <w:rFonts w:asciiTheme="majorHAnsi" w:hAnsiTheme="majorHAnsi" w:cstheme="majorHAnsi"/>
          <w:sz w:val="24"/>
          <w:szCs w:val="24"/>
          <w:lang w:val="ro-MD"/>
        </w:rPr>
        <w:t xml:space="preserve"> iar conform informațiilor prezentate de SFS</w:t>
      </w:r>
      <w:r w:rsidR="00672F87" w:rsidRPr="00C634F5">
        <w:rPr>
          <w:rFonts w:asciiTheme="majorHAnsi" w:hAnsiTheme="majorHAnsi" w:cstheme="majorHAnsi"/>
          <w:sz w:val="24"/>
          <w:szCs w:val="24"/>
          <w:lang w:val="ro-MD"/>
        </w:rPr>
        <w:t>, acestea</w:t>
      </w:r>
      <w:r w:rsidR="00946669" w:rsidRPr="00C634F5">
        <w:rPr>
          <w:rFonts w:asciiTheme="majorHAnsi" w:hAnsiTheme="majorHAnsi" w:cstheme="majorHAnsi"/>
          <w:sz w:val="24"/>
          <w:szCs w:val="24"/>
          <w:lang w:val="ro-MD"/>
        </w:rPr>
        <w:t xml:space="preserve"> constitui</w:t>
      </w:r>
      <w:r w:rsidR="00672F87" w:rsidRPr="00703636">
        <w:rPr>
          <w:rFonts w:asciiTheme="majorHAnsi" w:hAnsiTheme="majorHAnsi" w:cstheme="majorHAnsi"/>
          <w:sz w:val="24"/>
          <w:szCs w:val="24"/>
          <w:lang w:val="ro-MD"/>
        </w:rPr>
        <w:t>au,</w:t>
      </w:r>
      <w:r w:rsidR="00946669" w:rsidRPr="00A55063">
        <w:rPr>
          <w:rFonts w:asciiTheme="majorHAnsi" w:hAnsiTheme="majorHAnsi" w:cstheme="majorHAnsi"/>
          <w:sz w:val="24"/>
          <w:szCs w:val="24"/>
          <w:lang w:val="ro-MD"/>
        </w:rPr>
        <w:t xml:space="preserve"> la </w:t>
      </w:r>
      <w:r w:rsidR="00672F87" w:rsidRPr="00141BA2">
        <w:rPr>
          <w:rFonts w:asciiTheme="majorHAnsi" w:hAnsiTheme="majorHAnsi" w:cstheme="majorHAnsi"/>
          <w:sz w:val="24"/>
          <w:szCs w:val="24"/>
          <w:lang w:val="ro-MD"/>
        </w:rPr>
        <w:t xml:space="preserve">situația din </w:t>
      </w:r>
      <w:r w:rsidR="00946669" w:rsidRPr="00141BA2">
        <w:rPr>
          <w:rFonts w:asciiTheme="majorHAnsi" w:hAnsiTheme="majorHAnsi" w:cstheme="majorHAnsi"/>
          <w:sz w:val="24"/>
          <w:szCs w:val="24"/>
          <w:lang w:val="ro-MD"/>
        </w:rPr>
        <w:t>31.12.2022</w:t>
      </w:r>
      <w:r w:rsidR="00672F87" w:rsidRPr="00FB7074">
        <w:rPr>
          <w:rFonts w:asciiTheme="majorHAnsi" w:hAnsiTheme="majorHAnsi" w:cstheme="majorHAnsi"/>
          <w:sz w:val="24"/>
          <w:szCs w:val="24"/>
          <w:lang w:val="ro-MD"/>
        </w:rPr>
        <w:t>, suma de</w:t>
      </w:r>
      <w:r w:rsidR="00946669" w:rsidRPr="00FB7074">
        <w:rPr>
          <w:rFonts w:asciiTheme="majorHAnsi" w:hAnsiTheme="majorHAnsi" w:cstheme="majorHAnsi"/>
          <w:sz w:val="24"/>
          <w:szCs w:val="24"/>
          <w:lang w:val="ro-MD"/>
        </w:rPr>
        <w:t xml:space="preserve"> 73,4 mil</w:t>
      </w:r>
      <w:r w:rsidR="002B043F" w:rsidRPr="00FB7074">
        <w:rPr>
          <w:rFonts w:asciiTheme="majorHAnsi" w:hAnsiTheme="majorHAnsi" w:cstheme="majorHAnsi"/>
          <w:sz w:val="24"/>
          <w:szCs w:val="24"/>
          <w:lang w:val="ro-MD"/>
        </w:rPr>
        <w:t>.</w:t>
      </w:r>
      <w:r w:rsidR="00946669" w:rsidRPr="00FB7074">
        <w:rPr>
          <w:rFonts w:asciiTheme="majorHAnsi" w:hAnsiTheme="majorHAnsi" w:cstheme="majorHAnsi"/>
          <w:sz w:val="24"/>
          <w:szCs w:val="24"/>
          <w:lang w:val="ro-MD"/>
        </w:rPr>
        <w:t xml:space="preserve"> lei. </w:t>
      </w:r>
    </w:p>
    <w:p w14:paraId="5AA36063" w14:textId="19B5C1BF" w:rsidR="009B62BE" w:rsidRPr="00FB7074" w:rsidRDefault="003B063E" w:rsidP="009B62BE">
      <w:pPr>
        <w:spacing w:line="276" w:lineRule="auto"/>
        <w:jc w:val="both"/>
        <w:rPr>
          <w:rFonts w:asciiTheme="majorHAnsi" w:hAnsiTheme="majorHAnsi" w:cstheme="majorHAnsi"/>
          <w:sz w:val="24"/>
          <w:szCs w:val="24"/>
          <w:lang w:val="ro-MD"/>
        </w:rPr>
      </w:pPr>
      <w:r w:rsidRPr="00FB7074">
        <w:rPr>
          <w:rFonts w:asciiTheme="majorHAnsi" w:hAnsiTheme="majorHAnsi" w:cstheme="majorHAnsi"/>
          <w:sz w:val="24"/>
          <w:szCs w:val="24"/>
          <w:lang w:val="ro-MD"/>
        </w:rPr>
        <w:t>Concomitent,</w:t>
      </w:r>
      <w:r w:rsidR="006226D0" w:rsidRPr="00FB7074">
        <w:rPr>
          <w:rFonts w:asciiTheme="majorHAnsi" w:hAnsiTheme="majorHAnsi" w:cstheme="majorHAnsi"/>
          <w:sz w:val="24"/>
          <w:szCs w:val="24"/>
          <w:lang w:val="ro-MD"/>
        </w:rPr>
        <w:t xml:space="preserve"> </w:t>
      </w:r>
      <w:r w:rsidR="00910351" w:rsidRPr="00FB7074">
        <w:rPr>
          <w:rFonts w:asciiTheme="majorHAnsi" w:hAnsiTheme="majorHAnsi" w:cstheme="majorHAnsi"/>
          <w:sz w:val="24"/>
          <w:szCs w:val="24"/>
          <w:lang w:val="ro-MD"/>
        </w:rPr>
        <w:t>SFS a informat că „</w:t>
      </w:r>
      <w:r w:rsidR="009B62BE" w:rsidRPr="00FB7074">
        <w:rPr>
          <w:rFonts w:asciiTheme="majorHAnsi" w:hAnsiTheme="majorHAnsi" w:cstheme="majorHAnsi"/>
          <w:sz w:val="24"/>
          <w:szCs w:val="24"/>
          <w:lang w:val="ro-MD"/>
        </w:rPr>
        <w:t>diferența dintre sumele restanțelor la BASS prezentate de SFS în raport cu sumele prezentate de CNAS apare din cauza metodei de ținere a evidenței obligațiilor de către fiecare instituție: CNAS ține evidenţa obligațiilor după metoda de calcul, iar SFS ține evidenţa obligațiilor după metoda de casă. Drept urmare, suma restanţelor la BASS, la situaţia d</w:t>
      </w:r>
      <w:r w:rsidR="0091680F" w:rsidRPr="00FB7074">
        <w:rPr>
          <w:rFonts w:asciiTheme="majorHAnsi" w:hAnsiTheme="majorHAnsi" w:cstheme="majorHAnsi"/>
          <w:sz w:val="24"/>
          <w:szCs w:val="24"/>
          <w:lang w:val="ro-MD"/>
        </w:rPr>
        <w:t>in</w:t>
      </w:r>
      <w:r w:rsidR="009B62BE" w:rsidRPr="00FB7074">
        <w:rPr>
          <w:rFonts w:asciiTheme="majorHAnsi" w:hAnsiTheme="majorHAnsi" w:cstheme="majorHAnsi"/>
          <w:sz w:val="24"/>
          <w:szCs w:val="24"/>
          <w:lang w:val="ro-MD"/>
        </w:rPr>
        <w:t xml:space="preserve"> 31.12.2022, din datele CNAS includ obligațiile (sumele calculate) aferente perioadei ianuarie-decembrie 202</w:t>
      </w:r>
      <w:r w:rsidR="006226D0" w:rsidRPr="00FB7074">
        <w:rPr>
          <w:rFonts w:asciiTheme="majorHAnsi" w:hAnsiTheme="majorHAnsi" w:cstheme="majorHAnsi"/>
          <w:sz w:val="24"/>
          <w:szCs w:val="24"/>
          <w:lang w:val="ro-MD"/>
        </w:rPr>
        <w:t>2”.</w:t>
      </w:r>
      <w:r w:rsidR="006363C8" w:rsidRPr="00FB7074">
        <w:t xml:space="preserve"> </w:t>
      </w:r>
      <w:r w:rsidR="006363C8" w:rsidRPr="00FB7074">
        <w:rPr>
          <w:rFonts w:asciiTheme="majorHAnsi" w:hAnsiTheme="majorHAnsi" w:cstheme="majorHAnsi"/>
          <w:sz w:val="24"/>
          <w:szCs w:val="24"/>
          <w:lang w:val="ro-MD"/>
        </w:rPr>
        <w:t>Totodată, după încheierea anului 2022, SFS</w:t>
      </w:r>
      <w:r w:rsidR="00141BA2" w:rsidRPr="00FB7074">
        <w:rPr>
          <w:rFonts w:asciiTheme="majorHAnsi" w:hAnsiTheme="majorHAnsi" w:cstheme="majorHAnsi"/>
          <w:sz w:val="24"/>
          <w:szCs w:val="24"/>
          <w:lang w:val="ro-MD"/>
        </w:rPr>
        <w:t>,</w:t>
      </w:r>
      <w:r w:rsidR="006363C8" w:rsidRPr="00FB7074">
        <w:rPr>
          <w:rFonts w:asciiTheme="majorHAnsi" w:hAnsiTheme="majorHAnsi" w:cstheme="majorHAnsi"/>
          <w:sz w:val="24"/>
          <w:szCs w:val="24"/>
          <w:lang w:val="ro-MD"/>
        </w:rPr>
        <w:t xml:space="preserve"> de comun cu CNAS</w:t>
      </w:r>
      <w:r w:rsidR="00141BA2" w:rsidRPr="00FB7074">
        <w:rPr>
          <w:rFonts w:asciiTheme="majorHAnsi" w:hAnsiTheme="majorHAnsi" w:cstheme="majorHAnsi"/>
          <w:sz w:val="24"/>
          <w:szCs w:val="24"/>
          <w:lang w:val="ro-MD"/>
        </w:rPr>
        <w:t>,</w:t>
      </w:r>
      <w:r w:rsidR="006363C8" w:rsidRPr="00FB7074">
        <w:rPr>
          <w:rFonts w:asciiTheme="majorHAnsi" w:hAnsiTheme="majorHAnsi" w:cstheme="majorHAnsi"/>
          <w:sz w:val="24"/>
          <w:szCs w:val="24"/>
          <w:lang w:val="ro-MD"/>
        </w:rPr>
        <w:t xml:space="preserve"> a efectuat verificarea informații</w:t>
      </w:r>
      <w:r w:rsidR="00141BA2" w:rsidRPr="00FB7074">
        <w:rPr>
          <w:rFonts w:asciiTheme="majorHAnsi" w:hAnsiTheme="majorHAnsi" w:cstheme="majorHAnsi"/>
          <w:sz w:val="24"/>
          <w:szCs w:val="24"/>
          <w:lang w:val="ro-MD"/>
        </w:rPr>
        <w:t>lor</w:t>
      </w:r>
      <w:r w:rsidR="006363C8" w:rsidRPr="00FB7074">
        <w:rPr>
          <w:rFonts w:asciiTheme="majorHAnsi" w:hAnsiTheme="majorHAnsi" w:cstheme="majorHAnsi"/>
          <w:sz w:val="24"/>
          <w:szCs w:val="24"/>
          <w:lang w:val="ro-MD"/>
        </w:rPr>
        <w:t xml:space="preserve"> totalizate pe clasificații economice și tranzacții la nivel de solduri. Astfel, divergențe între suma tranzacțiilor prezentate de CNAS pe parcursul anului 2022 și datele înregistrate în SI</w:t>
      </w:r>
      <w:r w:rsidR="00AC21BC" w:rsidRPr="00FB7074">
        <w:rPr>
          <w:rFonts w:asciiTheme="majorHAnsi" w:hAnsiTheme="majorHAnsi" w:cstheme="majorHAnsi"/>
          <w:sz w:val="24"/>
          <w:szCs w:val="24"/>
          <w:lang w:val="ro-MD"/>
        </w:rPr>
        <w:t xml:space="preserve"> </w:t>
      </w:r>
      <w:r w:rsidR="00141BA2" w:rsidRPr="00FB7074">
        <w:rPr>
          <w:rFonts w:asciiTheme="majorHAnsi" w:hAnsiTheme="majorHAnsi" w:cstheme="majorHAnsi"/>
          <w:sz w:val="24"/>
          <w:szCs w:val="24"/>
          <w:lang w:val="ro-MD"/>
        </w:rPr>
        <w:t xml:space="preserve">al </w:t>
      </w:r>
      <w:r w:rsidR="006363C8" w:rsidRPr="00FB7074">
        <w:rPr>
          <w:rFonts w:asciiTheme="majorHAnsi" w:hAnsiTheme="majorHAnsi" w:cstheme="majorHAnsi"/>
          <w:sz w:val="24"/>
          <w:szCs w:val="24"/>
          <w:lang w:val="ro-MD"/>
        </w:rPr>
        <w:t>SFS nu au fost constatate, fiind semnat de ambele părți actul corespunzător.</w:t>
      </w:r>
    </w:p>
    <w:p w14:paraId="75EDE3C4" w14:textId="77777777" w:rsidR="0077416B" w:rsidRPr="00B7675F" w:rsidRDefault="0077416B" w:rsidP="00E1762E">
      <w:pPr>
        <w:pStyle w:val="a6"/>
        <w:spacing w:line="276" w:lineRule="auto"/>
        <w:ind w:right="-23" w:firstLine="0"/>
        <w:rPr>
          <w:rFonts w:asciiTheme="majorHAnsi" w:eastAsiaTheme="minorHAnsi" w:hAnsiTheme="majorHAnsi" w:cstheme="majorHAnsi"/>
          <w:lang w:val="ro-MD"/>
        </w:rPr>
      </w:pPr>
    </w:p>
    <w:p w14:paraId="5D1AE621" w14:textId="77777777" w:rsidR="00F77382" w:rsidRPr="00B7675F" w:rsidRDefault="00F77382" w:rsidP="00F77382">
      <w:pPr>
        <w:pStyle w:val="aa"/>
        <w:numPr>
          <w:ilvl w:val="0"/>
          <w:numId w:val="2"/>
        </w:numPr>
        <w:shd w:val="clear" w:color="auto" w:fill="FFFFFF"/>
        <w:spacing w:after="0" w:line="276" w:lineRule="auto"/>
        <w:jc w:val="both"/>
        <w:outlineLvl w:val="0"/>
        <w:rPr>
          <w:rFonts w:asciiTheme="majorHAnsi" w:eastAsia="Times New Roman" w:hAnsiTheme="majorHAnsi" w:cstheme="majorHAnsi"/>
          <w:b/>
          <w:color w:val="000000"/>
          <w:spacing w:val="8"/>
          <w:sz w:val="24"/>
          <w:szCs w:val="24"/>
          <w:lang w:val="ro-MD"/>
        </w:rPr>
      </w:pPr>
      <w:r w:rsidRPr="00653E85">
        <w:rPr>
          <w:rFonts w:asciiTheme="majorHAnsi" w:eastAsia="Times New Roman" w:hAnsiTheme="majorHAnsi" w:cstheme="majorHAnsi"/>
          <w:b/>
          <w:bCs/>
          <w:sz w:val="24"/>
          <w:szCs w:val="24"/>
          <w:lang w:val="ro-MD"/>
        </w:rPr>
        <w:t>PREZENTAREA BUGETULUI</w:t>
      </w:r>
    </w:p>
    <w:p w14:paraId="6BFB74A6" w14:textId="36AB8EA0" w:rsidR="00F77382" w:rsidRPr="00653E85" w:rsidRDefault="00F77382" w:rsidP="00F7738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eastAsia="ru-RU"/>
        </w:rPr>
        <w:t xml:space="preserve">Bugetul asigurărilor sociale de stat reprezintă </w:t>
      </w:r>
      <w:r w:rsidRPr="00653E85">
        <w:rPr>
          <w:rFonts w:asciiTheme="majorHAnsi" w:hAnsiTheme="majorHAnsi" w:cstheme="majorHAnsi"/>
          <w:color w:val="333333"/>
          <w:sz w:val="24"/>
          <w:szCs w:val="24"/>
          <w:shd w:val="clear" w:color="auto" w:fill="FFFFFF"/>
          <w:lang w:val="ro-MD"/>
        </w:rPr>
        <w:t xml:space="preserve">totalitatea veniturilor, </w:t>
      </w:r>
      <w:r w:rsidR="00B540E2" w:rsidRPr="00653E85">
        <w:rPr>
          <w:rFonts w:asciiTheme="majorHAnsi" w:hAnsiTheme="majorHAnsi" w:cstheme="majorHAnsi"/>
          <w:color w:val="333333"/>
          <w:sz w:val="24"/>
          <w:szCs w:val="24"/>
          <w:shd w:val="clear" w:color="auto" w:fill="FFFFFF"/>
          <w:lang w:val="ro-MD"/>
        </w:rPr>
        <w:t xml:space="preserve">a </w:t>
      </w:r>
      <w:r w:rsidRPr="00653E85">
        <w:rPr>
          <w:rFonts w:asciiTheme="majorHAnsi" w:hAnsiTheme="majorHAnsi" w:cstheme="majorHAnsi"/>
          <w:color w:val="333333"/>
          <w:sz w:val="24"/>
          <w:szCs w:val="24"/>
          <w:shd w:val="clear" w:color="auto" w:fill="FFFFFF"/>
          <w:lang w:val="ro-MD"/>
        </w:rPr>
        <w:t>cheltuielilor şi a surselor de finanțare destinate pentru realizarea funcțiilor şi gestionarea sistemului public de asigurări sociale</w:t>
      </w:r>
      <w:r w:rsidRPr="00653E85">
        <w:rPr>
          <w:rFonts w:asciiTheme="majorHAnsi" w:hAnsiTheme="majorHAnsi" w:cstheme="majorHAnsi"/>
          <w:color w:val="333333"/>
          <w:sz w:val="24"/>
          <w:szCs w:val="24"/>
          <w:shd w:val="clear" w:color="auto" w:fill="FFFFFF"/>
          <w:vertAlign w:val="superscript"/>
          <w:lang w:val="ro-MD"/>
        </w:rPr>
        <w:footnoteReference w:id="7"/>
      </w:r>
      <w:r w:rsidRPr="00653E85">
        <w:rPr>
          <w:rFonts w:asciiTheme="majorHAnsi" w:hAnsiTheme="majorHAnsi" w:cstheme="majorHAnsi"/>
          <w:sz w:val="24"/>
          <w:szCs w:val="24"/>
          <w:lang w:val="ro-MD"/>
        </w:rPr>
        <w:t>. Acesta face parte din bugetul public național și se administrează independent de alte bugete componente ale bugetului public național</w:t>
      </w:r>
      <w:r w:rsidRPr="00653E85">
        <w:rPr>
          <w:rFonts w:asciiTheme="majorHAnsi" w:hAnsiTheme="majorHAnsi" w:cstheme="majorHAnsi"/>
          <w:sz w:val="24"/>
          <w:szCs w:val="24"/>
          <w:vertAlign w:val="superscript"/>
          <w:lang w:val="ro-MD"/>
        </w:rPr>
        <w:footnoteReference w:id="8"/>
      </w:r>
      <w:r w:rsidRPr="00653E85">
        <w:rPr>
          <w:rFonts w:asciiTheme="majorHAnsi" w:hAnsiTheme="majorHAnsi" w:cstheme="majorHAnsi"/>
          <w:sz w:val="24"/>
          <w:szCs w:val="24"/>
          <w:lang w:val="ro-MD"/>
        </w:rPr>
        <w:t>. Administrarea bugetului asigurărilor sociale de stat și implementarea programelor în conformitate cu obiectivele și indicatorii de performanță asumați i-au revenit Casei Naționale de Asigurări Sociale</w:t>
      </w:r>
      <w:r w:rsidRPr="00653E85">
        <w:rPr>
          <w:rFonts w:asciiTheme="majorHAnsi" w:hAnsiTheme="majorHAnsi" w:cstheme="majorHAnsi"/>
          <w:sz w:val="24"/>
          <w:szCs w:val="24"/>
          <w:vertAlign w:val="superscript"/>
          <w:lang w:val="ro-MD"/>
        </w:rPr>
        <w:footnoteReference w:id="9"/>
      </w:r>
      <w:r w:rsidRPr="00653E85">
        <w:rPr>
          <w:rFonts w:asciiTheme="majorHAnsi" w:hAnsiTheme="majorHAnsi" w:cstheme="majorHAnsi"/>
          <w:sz w:val="24"/>
          <w:szCs w:val="24"/>
          <w:lang w:val="ro-MD"/>
        </w:rPr>
        <w:t>. Astfel, această entitate are misiunea de a realiza politicile statului orientate spre garantarea drepturilor sociale ale cetățenilor</w:t>
      </w:r>
      <w:r w:rsidR="00B540E2"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prin administrarea sistemului public de asigurări sociale și gestionarea bugetului asigurărilor sociale de stat.</w:t>
      </w:r>
    </w:p>
    <w:p w14:paraId="28B6FD64" w14:textId="3E906B50" w:rsidR="00F77382" w:rsidRPr="00653E85" w:rsidRDefault="00F77382" w:rsidP="00F7738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Bugetul asigurărilor sociale de stat este planul financiar anual care reflectă constituirea, repartizarea și utilizarea fondurilor bănești necesare ocrotirii pensionarilor, salariaților și membrilor lor de familie. Prin intermediul sistemului public de asigurări sociale, statul garantează cetățenilor dreptul la protecție socială în cazurile de bătrânețe, șomaj, boală, invaliditate, de pierdere a întreținătorului prin plăți sociale – pensii, indemnizații și alte prestații de asigurări sociale. Totodată, prin intermediul CNAS se acordă unor anumite categorii de cetățeni, prestații de asistență socială, a căror finanțare se efectuează din mijloacele bugetului de stat.</w:t>
      </w:r>
    </w:p>
    <w:p w14:paraId="0F23AD30" w14:textId="77777777" w:rsidR="00F77382" w:rsidRPr="00653E85" w:rsidRDefault="00F77382" w:rsidP="00F7738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 acest context, se relevă importanța semnificativă/calitativă a acestui buget, deoarece este orientat spre cetățeni în vederea asigurării riscurilor survenite pe parcursul vieții (boală, bătrânețe etc.). BASS are în administrarea lui peste 2,31 milioane de beneficiari de prestații, care pe parcursul anului 2022 au avut tangență cu acest buget și au beneficiat cel puțin de o prestație.</w:t>
      </w:r>
    </w:p>
    <w:p w14:paraId="66B7C554" w14:textId="252F0086" w:rsidR="00F77382" w:rsidRPr="00653E85" w:rsidRDefault="00F77382" w:rsidP="00F7738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Bugetul asigurărilor sociale de stat pe anul 2022 a fost aprobat inițial la venituri și cheltuieli în sume egale</w:t>
      </w:r>
      <w:r w:rsidR="00832BCC"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de 31 224,2 mil.lei. Ca rezultat al operării modificărilor și completărilor, parametrii BASS au fost precizați p</w:t>
      </w:r>
      <w:r w:rsidRPr="00B7675F">
        <w:rPr>
          <w:rFonts w:asciiTheme="majorHAnsi" w:hAnsiTheme="majorHAnsi" w:cstheme="majorHAnsi"/>
          <w:sz w:val="24"/>
          <w:szCs w:val="24"/>
          <w:lang w:val="ro-MD"/>
        </w:rPr>
        <w:t>â</w:t>
      </w:r>
      <w:r w:rsidRPr="00653E85">
        <w:rPr>
          <w:rFonts w:asciiTheme="majorHAnsi" w:hAnsiTheme="majorHAnsi" w:cstheme="majorHAnsi"/>
          <w:sz w:val="24"/>
          <w:szCs w:val="24"/>
          <w:lang w:val="ro-MD"/>
        </w:rPr>
        <w:t>nă la 34 200,6 mil.lei, cu 2 976,4 mil. lei mai mult.</w:t>
      </w:r>
    </w:p>
    <w:p w14:paraId="331A1EE1" w14:textId="172CBE5A" w:rsidR="00F77382" w:rsidRPr="00653E85" w:rsidRDefault="00F77382" w:rsidP="00F77382">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Cu referire la ponderea cheltuielilor totale executate ale bugetului asigurărilor sociale de stat în BPN, se denotă că acestea au constituit 33,6%, şi ca pondere în PIB – 12,2%. Față de anul 2021, ponderea cheltuielilor bugetului asigurărilor sociale de stat în BPN s-a majorat cu 0,5 puncte procentuale, iar ponderea în PIB s-a m</w:t>
      </w:r>
      <w:r w:rsidR="00296844" w:rsidRPr="00653E85">
        <w:rPr>
          <w:rFonts w:asciiTheme="majorHAnsi" w:hAnsiTheme="majorHAnsi" w:cstheme="majorHAnsi"/>
          <w:sz w:val="24"/>
          <w:szCs w:val="24"/>
          <w:lang w:val="ro-MD"/>
        </w:rPr>
        <w:t>ajorat</w:t>
      </w:r>
      <w:r w:rsidRPr="00653E85">
        <w:rPr>
          <w:rFonts w:asciiTheme="majorHAnsi" w:hAnsiTheme="majorHAnsi" w:cstheme="majorHAnsi"/>
          <w:sz w:val="24"/>
          <w:szCs w:val="24"/>
          <w:lang w:val="ro-MD"/>
        </w:rPr>
        <w:t xml:space="preserve"> cu </w:t>
      </w:r>
      <w:r w:rsidR="000232E5" w:rsidRPr="00653E85">
        <w:rPr>
          <w:rFonts w:asciiTheme="majorHAnsi" w:hAnsiTheme="majorHAnsi" w:cstheme="majorHAnsi"/>
          <w:sz w:val="24"/>
          <w:szCs w:val="24"/>
          <w:lang w:val="ro-MD"/>
        </w:rPr>
        <w:t>un punct</w:t>
      </w:r>
      <w:r w:rsidRPr="00653E85">
        <w:rPr>
          <w:rFonts w:asciiTheme="majorHAnsi" w:hAnsiTheme="majorHAnsi" w:cstheme="majorHAnsi"/>
          <w:sz w:val="24"/>
          <w:szCs w:val="24"/>
          <w:lang w:val="ro-MD"/>
        </w:rPr>
        <w:t xml:space="preserve"> procentual, situație prezentată în tabelul de mai jos.</w:t>
      </w:r>
    </w:p>
    <w:p w14:paraId="3E4A53FF" w14:textId="77777777" w:rsidR="00902A0E" w:rsidRPr="00653E85" w:rsidRDefault="00902A0E" w:rsidP="00F77382">
      <w:pPr>
        <w:tabs>
          <w:tab w:val="left" w:pos="162"/>
        </w:tabs>
        <w:spacing w:after="0" w:line="276" w:lineRule="auto"/>
        <w:jc w:val="right"/>
        <w:rPr>
          <w:rFonts w:asciiTheme="majorHAnsi" w:eastAsia="Times New Roman" w:hAnsiTheme="majorHAnsi" w:cstheme="majorHAnsi"/>
          <w:b/>
          <w:sz w:val="24"/>
          <w:szCs w:val="24"/>
          <w:lang w:val="ro-MD"/>
        </w:rPr>
      </w:pPr>
    </w:p>
    <w:p w14:paraId="0C1F5EC8" w14:textId="7097106F" w:rsidR="00F77382" w:rsidRPr="00653E85" w:rsidRDefault="00F77382" w:rsidP="00F77382">
      <w:pPr>
        <w:tabs>
          <w:tab w:val="left" w:pos="162"/>
        </w:tabs>
        <w:spacing w:after="0" w:line="276" w:lineRule="auto"/>
        <w:jc w:val="right"/>
        <w:rPr>
          <w:rFonts w:asciiTheme="majorHAnsi" w:eastAsia="Times New Roman" w:hAnsiTheme="majorHAnsi" w:cstheme="majorHAnsi"/>
          <w:b/>
          <w:sz w:val="24"/>
          <w:szCs w:val="24"/>
          <w:lang w:val="ro-MD"/>
        </w:rPr>
      </w:pPr>
      <w:r w:rsidRPr="00653E85">
        <w:rPr>
          <w:rFonts w:asciiTheme="majorHAnsi" w:eastAsia="Times New Roman" w:hAnsiTheme="majorHAnsi" w:cstheme="majorHAnsi"/>
          <w:b/>
          <w:sz w:val="24"/>
          <w:szCs w:val="24"/>
          <w:lang w:val="ro-MD"/>
        </w:rPr>
        <w:t>Tabel</w:t>
      </w:r>
      <w:r w:rsidR="00832BCC" w:rsidRPr="00653E85">
        <w:rPr>
          <w:rFonts w:asciiTheme="majorHAnsi" w:eastAsia="Times New Roman" w:hAnsiTheme="majorHAnsi" w:cstheme="majorHAnsi"/>
          <w:b/>
          <w:sz w:val="24"/>
          <w:szCs w:val="24"/>
          <w:lang w:val="ro-MD"/>
        </w:rPr>
        <w:t>ul</w:t>
      </w:r>
      <w:r w:rsidRPr="00653E85">
        <w:rPr>
          <w:rFonts w:asciiTheme="majorHAnsi" w:eastAsia="Times New Roman" w:hAnsiTheme="majorHAnsi" w:cstheme="majorHAnsi"/>
          <w:b/>
          <w:sz w:val="24"/>
          <w:szCs w:val="24"/>
          <w:lang w:val="ro-MD"/>
        </w:rPr>
        <w:t xml:space="preserve"> nr. 1</w:t>
      </w:r>
    </w:p>
    <w:p w14:paraId="2A83C53F" w14:textId="77777777" w:rsidR="00F77382" w:rsidRPr="00653E85" w:rsidRDefault="00F77382" w:rsidP="00F77382">
      <w:pPr>
        <w:pStyle w:val="a6"/>
        <w:tabs>
          <w:tab w:val="left" w:pos="162"/>
        </w:tabs>
        <w:spacing w:line="276" w:lineRule="auto"/>
        <w:ind w:firstLine="0"/>
        <w:jc w:val="center"/>
        <w:rPr>
          <w:rFonts w:asciiTheme="majorHAnsi" w:hAnsiTheme="majorHAnsi" w:cstheme="majorHAnsi"/>
          <w:b/>
          <w:lang w:val="ro-MD"/>
        </w:rPr>
      </w:pPr>
      <w:r w:rsidRPr="00653E85">
        <w:rPr>
          <w:rFonts w:asciiTheme="majorHAnsi" w:hAnsiTheme="majorHAnsi" w:cstheme="majorHAnsi"/>
          <w:b/>
          <w:lang w:val="ro-MD"/>
        </w:rPr>
        <w:t xml:space="preserve">Evoluția executării bugetului asigurărilor sociale de stat în perioada 2018-2022 </w:t>
      </w:r>
    </w:p>
    <w:tbl>
      <w:tblPr>
        <w:tblStyle w:val="af1"/>
        <w:tblW w:w="10258" w:type="dxa"/>
        <w:tblLayout w:type="fixed"/>
        <w:tblLook w:val="04A0" w:firstRow="1" w:lastRow="0" w:firstColumn="1" w:lastColumn="0" w:noHBand="0" w:noVBand="1"/>
      </w:tblPr>
      <w:tblGrid>
        <w:gridCol w:w="2196"/>
        <w:gridCol w:w="1099"/>
        <w:gridCol w:w="1572"/>
        <w:gridCol w:w="1355"/>
        <w:gridCol w:w="1428"/>
        <w:gridCol w:w="1305"/>
        <w:gridCol w:w="1303"/>
      </w:tblGrid>
      <w:tr w:rsidR="00F77382" w:rsidRPr="00B7675F" w14:paraId="70ADD6FC" w14:textId="77777777" w:rsidTr="000F6BFE">
        <w:trPr>
          <w:trHeight w:val="17"/>
        </w:trPr>
        <w:tc>
          <w:tcPr>
            <w:tcW w:w="2196" w:type="dxa"/>
            <w:vMerge w:val="restart"/>
            <w:hideMark/>
          </w:tcPr>
          <w:p w14:paraId="1C32CA45"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 </w:t>
            </w:r>
          </w:p>
        </w:tc>
        <w:tc>
          <w:tcPr>
            <w:tcW w:w="1099" w:type="dxa"/>
            <w:vMerge w:val="restart"/>
            <w:vAlign w:val="center"/>
            <w:hideMark/>
          </w:tcPr>
          <w:p w14:paraId="63867E60"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Unitatea de măsură</w:t>
            </w:r>
          </w:p>
        </w:tc>
        <w:tc>
          <w:tcPr>
            <w:tcW w:w="6963" w:type="dxa"/>
            <w:gridSpan w:val="5"/>
            <w:hideMark/>
          </w:tcPr>
          <w:p w14:paraId="39AB0364"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Executat</w:t>
            </w:r>
          </w:p>
        </w:tc>
      </w:tr>
      <w:tr w:rsidR="00F77382" w:rsidRPr="00B7675F" w14:paraId="0C7DAF5C" w14:textId="77777777" w:rsidTr="000F6BFE">
        <w:trPr>
          <w:trHeight w:val="17"/>
        </w:trPr>
        <w:tc>
          <w:tcPr>
            <w:tcW w:w="2196" w:type="dxa"/>
            <w:vMerge/>
            <w:hideMark/>
          </w:tcPr>
          <w:p w14:paraId="581D8292" w14:textId="77777777" w:rsidR="00F77382" w:rsidRPr="00653E85" w:rsidRDefault="00F77382" w:rsidP="000F6BFE">
            <w:pPr>
              <w:spacing w:line="276" w:lineRule="auto"/>
              <w:jc w:val="both"/>
              <w:rPr>
                <w:rFonts w:asciiTheme="majorHAnsi" w:hAnsiTheme="majorHAnsi" w:cstheme="majorHAnsi"/>
                <w:b/>
                <w:i/>
                <w:szCs w:val="24"/>
                <w:lang w:val="ro-MD"/>
              </w:rPr>
            </w:pPr>
          </w:p>
        </w:tc>
        <w:tc>
          <w:tcPr>
            <w:tcW w:w="1099" w:type="dxa"/>
            <w:vMerge/>
            <w:hideMark/>
          </w:tcPr>
          <w:p w14:paraId="7F271325" w14:textId="77777777" w:rsidR="00F77382" w:rsidRPr="00653E85" w:rsidRDefault="00F77382" w:rsidP="000F6BFE">
            <w:pPr>
              <w:spacing w:line="276" w:lineRule="auto"/>
              <w:jc w:val="both"/>
              <w:rPr>
                <w:rFonts w:asciiTheme="majorHAnsi" w:hAnsiTheme="majorHAnsi" w:cstheme="majorHAnsi"/>
                <w:b/>
                <w:bCs/>
                <w:i/>
                <w:szCs w:val="24"/>
                <w:lang w:val="ro-MD"/>
              </w:rPr>
            </w:pPr>
          </w:p>
        </w:tc>
        <w:tc>
          <w:tcPr>
            <w:tcW w:w="1572" w:type="dxa"/>
            <w:vAlign w:val="center"/>
            <w:hideMark/>
          </w:tcPr>
          <w:p w14:paraId="1916792A"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2018</w:t>
            </w:r>
          </w:p>
        </w:tc>
        <w:tc>
          <w:tcPr>
            <w:tcW w:w="1355" w:type="dxa"/>
            <w:vAlign w:val="center"/>
            <w:hideMark/>
          </w:tcPr>
          <w:p w14:paraId="0E330A84"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2019</w:t>
            </w:r>
          </w:p>
        </w:tc>
        <w:tc>
          <w:tcPr>
            <w:tcW w:w="1428" w:type="dxa"/>
            <w:vAlign w:val="center"/>
            <w:hideMark/>
          </w:tcPr>
          <w:p w14:paraId="57271DA7"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2020</w:t>
            </w:r>
          </w:p>
        </w:tc>
        <w:tc>
          <w:tcPr>
            <w:tcW w:w="1305" w:type="dxa"/>
            <w:vAlign w:val="center"/>
            <w:hideMark/>
          </w:tcPr>
          <w:p w14:paraId="12A9763F"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2021</w:t>
            </w:r>
          </w:p>
        </w:tc>
        <w:tc>
          <w:tcPr>
            <w:tcW w:w="1303" w:type="dxa"/>
            <w:vAlign w:val="center"/>
          </w:tcPr>
          <w:p w14:paraId="0A2A1BEB" w14:textId="77777777" w:rsidR="00F77382" w:rsidRPr="00653E85" w:rsidRDefault="00F77382" w:rsidP="000F6BFE">
            <w:pPr>
              <w:spacing w:line="276" w:lineRule="auto"/>
              <w:jc w:val="center"/>
              <w:rPr>
                <w:rFonts w:asciiTheme="majorHAnsi" w:hAnsiTheme="majorHAnsi" w:cstheme="majorHAnsi"/>
                <w:b/>
                <w:bCs/>
                <w:i/>
                <w:szCs w:val="24"/>
                <w:lang w:val="ro-MD"/>
              </w:rPr>
            </w:pPr>
            <w:r w:rsidRPr="00653E85">
              <w:rPr>
                <w:rFonts w:asciiTheme="majorHAnsi" w:hAnsiTheme="majorHAnsi" w:cstheme="majorHAnsi"/>
                <w:b/>
                <w:bCs/>
                <w:i/>
                <w:szCs w:val="24"/>
                <w:lang w:val="ro-MD"/>
              </w:rPr>
              <w:t>2022</w:t>
            </w:r>
          </w:p>
        </w:tc>
      </w:tr>
      <w:tr w:rsidR="00F77382" w:rsidRPr="00B7675F" w14:paraId="6E8F1233" w14:textId="77777777" w:rsidTr="000F6BFE">
        <w:trPr>
          <w:trHeight w:val="17"/>
        </w:trPr>
        <w:tc>
          <w:tcPr>
            <w:tcW w:w="2196" w:type="dxa"/>
            <w:hideMark/>
          </w:tcPr>
          <w:p w14:paraId="4CBD1D9C" w14:textId="77777777" w:rsidR="00F77382" w:rsidRPr="00653E85" w:rsidRDefault="00F77382" w:rsidP="000F6BFE">
            <w:pPr>
              <w:spacing w:line="276" w:lineRule="auto"/>
              <w:jc w:val="both"/>
              <w:rPr>
                <w:rFonts w:asciiTheme="majorHAnsi" w:hAnsiTheme="majorHAnsi" w:cstheme="majorHAnsi"/>
                <w:b/>
                <w:bCs/>
                <w:i/>
                <w:iCs/>
                <w:szCs w:val="24"/>
                <w:lang w:val="ro-MD"/>
              </w:rPr>
            </w:pPr>
            <w:r w:rsidRPr="00653E85">
              <w:rPr>
                <w:rFonts w:asciiTheme="majorHAnsi" w:hAnsiTheme="majorHAnsi" w:cstheme="majorHAnsi"/>
                <w:b/>
                <w:bCs/>
                <w:i/>
                <w:iCs/>
                <w:szCs w:val="24"/>
                <w:lang w:val="ro-MD"/>
              </w:rPr>
              <w:t>PIB</w:t>
            </w:r>
          </w:p>
        </w:tc>
        <w:tc>
          <w:tcPr>
            <w:tcW w:w="1099" w:type="dxa"/>
            <w:vAlign w:val="center"/>
            <w:hideMark/>
          </w:tcPr>
          <w:p w14:paraId="0E25C490" w14:textId="77777777" w:rsidR="00F77382" w:rsidRPr="00653E85" w:rsidRDefault="00F77382" w:rsidP="000F6BFE">
            <w:pPr>
              <w:spacing w:line="276" w:lineRule="auto"/>
              <w:jc w:val="center"/>
              <w:rPr>
                <w:rFonts w:asciiTheme="majorHAnsi" w:hAnsiTheme="majorHAnsi" w:cstheme="majorHAnsi"/>
                <w:bCs/>
                <w:i/>
                <w:iCs/>
                <w:szCs w:val="24"/>
                <w:lang w:val="ro-MD"/>
              </w:rPr>
            </w:pPr>
            <w:r w:rsidRPr="00653E85">
              <w:rPr>
                <w:rFonts w:asciiTheme="majorHAnsi" w:hAnsiTheme="majorHAnsi" w:cstheme="majorHAnsi"/>
                <w:bCs/>
                <w:i/>
                <w:iCs/>
                <w:szCs w:val="24"/>
                <w:lang w:val="ro-MD"/>
              </w:rPr>
              <w:t>mil.lei</w:t>
            </w:r>
          </w:p>
        </w:tc>
        <w:tc>
          <w:tcPr>
            <w:tcW w:w="1572" w:type="dxa"/>
            <w:noWrap/>
            <w:vAlign w:val="bottom"/>
            <w:hideMark/>
          </w:tcPr>
          <w:p w14:paraId="59F28873"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192 508,50</w:t>
            </w:r>
          </w:p>
        </w:tc>
        <w:tc>
          <w:tcPr>
            <w:tcW w:w="1355" w:type="dxa"/>
            <w:noWrap/>
            <w:vAlign w:val="bottom"/>
            <w:hideMark/>
          </w:tcPr>
          <w:p w14:paraId="48699033"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210 378,00</w:t>
            </w:r>
          </w:p>
        </w:tc>
        <w:tc>
          <w:tcPr>
            <w:tcW w:w="1428" w:type="dxa"/>
            <w:noWrap/>
            <w:vAlign w:val="bottom"/>
            <w:hideMark/>
          </w:tcPr>
          <w:p w14:paraId="14CDC800"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205 432,30</w:t>
            </w:r>
          </w:p>
        </w:tc>
        <w:tc>
          <w:tcPr>
            <w:tcW w:w="1305" w:type="dxa"/>
            <w:vAlign w:val="bottom"/>
            <w:hideMark/>
          </w:tcPr>
          <w:p w14:paraId="357E68D0"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241 871,00</w:t>
            </w:r>
          </w:p>
        </w:tc>
        <w:tc>
          <w:tcPr>
            <w:tcW w:w="1303" w:type="dxa"/>
            <w:vAlign w:val="bottom"/>
          </w:tcPr>
          <w:p w14:paraId="4D87D1F9"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272 555,90</w:t>
            </w:r>
          </w:p>
        </w:tc>
      </w:tr>
      <w:tr w:rsidR="00F77382" w:rsidRPr="00B7675F" w14:paraId="6F7B47A2" w14:textId="77777777" w:rsidTr="000F6BFE">
        <w:trPr>
          <w:trHeight w:val="17"/>
        </w:trPr>
        <w:tc>
          <w:tcPr>
            <w:tcW w:w="2196" w:type="dxa"/>
            <w:hideMark/>
          </w:tcPr>
          <w:p w14:paraId="01BA1914" w14:textId="77777777" w:rsidR="00F77382" w:rsidRPr="00653E85" w:rsidRDefault="00F77382" w:rsidP="000F6BFE">
            <w:pPr>
              <w:spacing w:line="276" w:lineRule="auto"/>
              <w:jc w:val="both"/>
              <w:rPr>
                <w:rFonts w:asciiTheme="majorHAnsi" w:hAnsiTheme="majorHAnsi" w:cstheme="majorHAnsi"/>
                <w:b/>
                <w:bCs/>
                <w:i/>
                <w:iCs/>
                <w:szCs w:val="24"/>
                <w:lang w:val="ro-MD"/>
              </w:rPr>
            </w:pPr>
            <w:r w:rsidRPr="00653E85">
              <w:rPr>
                <w:rFonts w:asciiTheme="majorHAnsi" w:hAnsiTheme="majorHAnsi" w:cstheme="majorHAnsi"/>
                <w:b/>
                <w:bCs/>
                <w:i/>
                <w:iCs/>
                <w:szCs w:val="24"/>
                <w:lang w:val="ro-MD"/>
              </w:rPr>
              <w:t>BPN, venituri</w:t>
            </w:r>
          </w:p>
        </w:tc>
        <w:tc>
          <w:tcPr>
            <w:tcW w:w="1099" w:type="dxa"/>
            <w:vAlign w:val="center"/>
            <w:hideMark/>
          </w:tcPr>
          <w:p w14:paraId="5B60D321" w14:textId="77777777" w:rsidR="00F77382" w:rsidRPr="00653E85" w:rsidRDefault="00F77382" w:rsidP="000F6BFE">
            <w:pPr>
              <w:spacing w:line="276" w:lineRule="auto"/>
              <w:jc w:val="center"/>
              <w:rPr>
                <w:rFonts w:asciiTheme="majorHAnsi" w:hAnsiTheme="majorHAnsi" w:cstheme="majorHAnsi"/>
                <w:bCs/>
                <w:i/>
                <w:iCs/>
                <w:szCs w:val="24"/>
                <w:lang w:val="ro-MD"/>
              </w:rPr>
            </w:pPr>
            <w:r w:rsidRPr="00653E85">
              <w:rPr>
                <w:rFonts w:asciiTheme="majorHAnsi" w:hAnsiTheme="majorHAnsi" w:cstheme="majorHAnsi"/>
                <w:bCs/>
                <w:i/>
                <w:iCs/>
                <w:szCs w:val="24"/>
                <w:lang w:val="ro-MD"/>
              </w:rPr>
              <w:t>mil.lei</w:t>
            </w:r>
          </w:p>
        </w:tc>
        <w:tc>
          <w:tcPr>
            <w:tcW w:w="1572" w:type="dxa"/>
            <w:vAlign w:val="bottom"/>
            <w:hideMark/>
          </w:tcPr>
          <w:p w14:paraId="2C90820B"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57 964,90</w:t>
            </w:r>
          </w:p>
        </w:tc>
        <w:tc>
          <w:tcPr>
            <w:tcW w:w="1355" w:type="dxa"/>
            <w:vAlign w:val="bottom"/>
            <w:hideMark/>
          </w:tcPr>
          <w:p w14:paraId="3ED99D70"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62 949,20</w:t>
            </w:r>
          </w:p>
        </w:tc>
        <w:tc>
          <w:tcPr>
            <w:tcW w:w="1428" w:type="dxa"/>
            <w:noWrap/>
            <w:vAlign w:val="bottom"/>
            <w:hideMark/>
          </w:tcPr>
          <w:p w14:paraId="3D79A96E"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62 650,00</w:t>
            </w:r>
          </w:p>
        </w:tc>
        <w:tc>
          <w:tcPr>
            <w:tcW w:w="1305" w:type="dxa"/>
            <w:vAlign w:val="bottom"/>
            <w:hideMark/>
          </w:tcPr>
          <w:p w14:paraId="7F65AF55"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77 373,10</w:t>
            </w:r>
          </w:p>
        </w:tc>
        <w:tc>
          <w:tcPr>
            <w:tcW w:w="1303" w:type="dxa"/>
            <w:vAlign w:val="bottom"/>
          </w:tcPr>
          <w:p w14:paraId="7B044FEE"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91 505,40</w:t>
            </w:r>
          </w:p>
        </w:tc>
      </w:tr>
      <w:tr w:rsidR="00F77382" w:rsidRPr="00B7675F" w14:paraId="4D7A27EA" w14:textId="77777777" w:rsidTr="000F6BFE">
        <w:trPr>
          <w:trHeight w:val="17"/>
        </w:trPr>
        <w:tc>
          <w:tcPr>
            <w:tcW w:w="2196" w:type="dxa"/>
            <w:hideMark/>
          </w:tcPr>
          <w:p w14:paraId="6777FA86" w14:textId="77777777" w:rsidR="00F77382" w:rsidRPr="00653E85" w:rsidRDefault="00F77382" w:rsidP="000F6BFE">
            <w:pPr>
              <w:spacing w:line="276" w:lineRule="auto"/>
              <w:jc w:val="both"/>
              <w:rPr>
                <w:rFonts w:asciiTheme="majorHAnsi" w:hAnsiTheme="majorHAnsi" w:cstheme="majorHAnsi"/>
                <w:b/>
                <w:bCs/>
                <w:i/>
                <w:iCs/>
                <w:szCs w:val="24"/>
                <w:lang w:val="ro-MD"/>
              </w:rPr>
            </w:pPr>
            <w:r w:rsidRPr="00653E85">
              <w:rPr>
                <w:rFonts w:asciiTheme="majorHAnsi" w:hAnsiTheme="majorHAnsi" w:cstheme="majorHAnsi"/>
                <w:b/>
                <w:bCs/>
                <w:i/>
                <w:iCs/>
                <w:szCs w:val="24"/>
                <w:lang w:val="ro-MD"/>
              </w:rPr>
              <w:t>Venituri, total</w:t>
            </w:r>
          </w:p>
        </w:tc>
        <w:tc>
          <w:tcPr>
            <w:tcW w:w="1099" w:type="dxa"/>
            <w:vAlign w:val="center"/>
            <w:hideMark/>
          </w:tcPr>
          <w:p w14:paraId="00D2DD72" w14:textId="77777777" w:rsidR="00F77382" w:rsidRPr="00653E85" w:rsidRDefault="00F77382" w:rsidP="000F6BFE">
            <w:pPr>
              <w:spacing w:line="276" w:lineRule="auto"/>
              <w:jc w:val="center"/>
              <w:rPr>
                <w:rFonts w:asciiTheme="majorHAnsi" w:hAnsiTheme="majorHAnsi" w:cstheme="majorHAnsi"/>
                <w:bCs/>
                <w:i/>
                <w:iCs/>
                <w:szCs w:val="24"/>
                <w:lang w:val="ro-MD"/>
              </w:rPr>
            </w:pPr>
            <w:r w:rsidRPr="00653E85">
              <w:rPr>
                <w:rFonts w:asciiTheme="majorHAnsi" w:hAnsiTheme="majorHAnsi" w:cstheme="majorHAnsi"/>
                <w:bCs/>
                <w:i/>
                <w:iCs/>
                <w:szCs w:val="24"/>
                <w:lang w:val="ro-MD"/>
              </w:rPr>
              <w:t>mil. lei</w:t>
            </w:r>
          </w:p>
        </w:tc>
        <w:tc>
          <w:tcPr>
            <w:tcW w:w="1572" w:type="dxa"/>
            <w:vAlign w:val="bottom"/>
            <w:hideMark/>
          </w:tcPr>
          <w:p w14:paraId="34860E12"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19 790,30</w:t>
            </w:r>
          </w:p>
        </w:tc>
        <w:tc>
          <w:tcPr>
            <w:tcW w:w="1355" w:type="dxa"/>
            <w:vAlign w:val="bottom"/>
            <w:hideMark/>
          </w:tcPr>
          <w:p w14:paraId="15D6901A"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21 748,30</w:t>
            </w:r>
          </w:p>
        </w:tc>
        <w:tc>
          <w:tcPr>
            <w:tcW w:w="1428" w:type="dxa"/>
            <w:vAlign w:val="bottom"/>
            <w:hideMark/>
          </w:tcPr>
          <w:p w14:paraId="6362DFF7"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24 285,50</w:t>
            </w:r>
          </w:p>
        </w:tc>
        <w:tc>
          <w:tcPr>
            <w:tcW w:w="1305" w:type="dxa"/>
            <w:vAlign w:val="bottom"/>
            <w:hideMark/>
          </w:tcPr>
          <w:p w14:paraId="6336F6DC"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27 246,80</w:t>
            </w:r>
          </w:p>
        </w:tc>
        <w:tc>
          <w:tcPr>
            <w:tcW w:w="1303" w:type="dxa"/>
            <w:vAlign w:val="bottom"/>
          </w:tcPr>
          <w:p w14:paraId="4EA93C46"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33 796,07</w:t>
            </w:r>
          </w:p>
        </w:tc>
      </w:tr>
      <w:tr w:rsidR="00F77382" w:rsidRPr="00B7675F" w14:paraId="3A19D249" w14:textId="77777777" w:rsidTr="000F6BFE">
        <w:trPr>
          <w:trHeight w:val="17"/>
        </w:trPr>
        <w:tc>
          <w:tcPr>
            <w:tcW w:w="2196" w:type="dxa"/>
            <w:hideMark/>
          </w:tcPr>
          <w:p w14:paraId="625A17B8"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Devieri +/- față de anul precedent</w:t>
            </w:r>
          </w:p>
        </w:tc>
        <w:tc>
          <w:tcPr>
            <w:tcW w:w="1099" w:type="dxa"/>
            <w:vAlign w:val="center"/>
            <w:hideMark/>
          </w:tcPr>
          <w:p w14:paraId="354CD446"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mil. lei</w:t>
            </w:r>
          </w:p>
        </w:tc>
        <w:tc>
          <w:tcPr>
            <w:tcW w:w="1572" w:type="dxa"/>
            <w:vAlign w:val="bottom"/>
            <w:hideMark/>
          </w:tcPr>
          <w:p w14:paraId="5F784085"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1 971,60</w:t>
            </w:r>
          </w:p>
        </w:tc>
        <w:tc>
          <w:tcPr>
            <w:tcW w:w="1355" w:type="dxa"/>
            <w:vAlign w:val="bottom"/>
            <w:hideMark/>
          </w:tcPr>
          <w:p w14:paraId="235005E9"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1 958,00</w:t>
            </w:r>
          </w:p>
        </w:tc>
        <w:tc>
          <w:tcPr>
            <w:tcW w:w="1428" w:type="dxa"/>
            <w:vAlign w:val="bottom"/>
            <w:hideMark/>
          </w:tcPr>
          <w:p w14:paraId="4FFF7C15"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2 537,20</w:t>
            </w:r>
          </w:p>
        </w:tc>
        <w:tc>
          <w:tcPr>
            <w:tcW w:w="1305" w:type="dxa"/>
            <w:vAlign w:val="bottom"/>
            <w:hideMark/>
          </w:tcPr>
          <w:p w14:paraId="17481390"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2 961,30</w:t>
            </w:r>
          </w:p>
        </w:tc>
        <w:tc>
          <w:tcPr>
            <w:tcW w:w="1303" w:type="dxa"/>
            <w:vAlign w:val="bottom"/>
          </w:tcPr>
          <w:p w14:paraId="43233E4C"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6 549,20</w:t>
            </w:r>
          </w:p>
        </w:tc>
      </w:tr>
      <w:tr w:rsidR="00F77382" w:rsidRPr="00B7675F" w14:paraId="6CFC73B7" w14:textId="77777777" w:rsidTr="000F6BFE">
        <w:trPr>
          <w:trHeight w:val="17"/>
        </w:trPr>
        <w:tc>
          <w:tcPr>
            <w:tcW w:w="2196" w:type="dxa"/>
            <w:hideMark/>
          </w:tcPr>
          <w:p w14:paraId="0BA50AD9"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Ponderea în BPN</w:t>
            </w:r>
          </w:p>
        </w:tc>
        <w:tc>
          <w:tcPr>
            <w:tcW w:w="1099" w:type="dxa"/>
            <w:vAlign w:val="center"/>
            <w:hideMark/>
          </w:tcPr>
          <w:p w14:paraId="559DCF84"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w:t>
            </w:r>
          </w:p>
        </w:tc>
        <w:tc>
          <w:tcPr>
            <w:tcW w:w="1572" w:type="dxa"/>
            <w:vAlign w:val="bottom"/>
            <w:hideMark/>
          </w:tcPr>
          <w:p w14:paraId="222EECFF"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34,10</w:t>
            </w:r>
          </w:p>
        </w:tc>
        <w:tc>
          <w:tcPr>
            <w:tcW w:w="1355" w:type="dxa"/>
            <w:vAlign w:val="bottom"/>
            <w:hideMark/>
          </w:tcPr>
          <w:p w14:paraId="7D46B7A4"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34,50</w:t>
            </w:r>
          </w:p>
        </w:tc>
        <w:tc>
          <w:tcPr>
            <w:tcW w:w="1428" w:type="dxa"/>
            <w:vAlign w:val="bottom"/>
            <w:hideMark/>
          </w:tcPr>
          <w:p w14:paraId="1D0019F2"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38,80</w:t>
            </w:r>
          </w:p>
        </w:tc>
        <w:tc>
          <w:tcPr>
            <w:tcW w:w="1305" w:type="dxa"/>
            <w:vAlign w:val="bottom"/>
            <w:hideMark/>
          </w:tcPr>
          <w:p w14:paraId="27F02D0F"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35,20</w:t>
            </w:r>
          </w:p>
        </w:tc>
        <w:tc>
          <w:tcPr>
            <w:tcW w:w="1303" w:type="dxa"/>
            <w:vAlign w:val="bottom"/>
          </w:tcPr>
          <w:p w14:paraId="43FD719D"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36,90</w:t>
            </w:r>
          </w:p>
        </w:tc>
      </w:tr>
      <w:tr w:rsidR="00F77382" w:rsidRPr="00B7675F" w14:paraId="34AEE2AE" w14:textId="77777777" w:rsidTr="000F6BFE">
        <w:trPr>
          <w:trHeight w:val="17"/>
        </w:trPr>
        <w:tc>
          <w:tcPr>
            <w:tcW w:w="2196" w:type="dxa"/>
            <w:hideMark/>
          </w:tcPr>
          <w:p w14:paraId="2BF031F6"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Ponderea în PIB</w:t>
            </w:r>
          </w:p>
        </w:tc>
        <w:tc>
          <w:tcPr>
            <w:tcW w:w="1099" w:type="dxa"/>
            <w:vAlign w:val="center"/>
            <w:hideMark/>
          </w:tcPr>
          <w:p w14:paraId="38B97539"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w:t>
            </w:r>
          </w:p>
        </w:tc>
        <w:tc>
          <w:tcPr>
            <w:tcW w:w="1572" w:type="dxa"/>
            <w:vAlign w:val="bottom"/>
            <w:hideMark/>
          </w:tcPr>
          <w:p w14:paraId="3DD2D0CB"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10,30</w:t>
            </w:r>
          </w:p>
        </w:tc>
        <w:tc>
          <w:tcPr>
            <w:tcW w:w="1355" w:type="dxa"/>
            <w:vAlign w:val="bottom"/>
            <w:hideMark/>
          </w:tcPr>
          <w:p w14:paraId="5BA0C15A"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10,40</w:t>
            </w:r>
          </w:p>
        </w:tc>
        <w:tc>
          <w:tcPr>
            <w:tcW w:w="1428" w:type="dxa"/>
            <w:vAlign w:val="bottom"/>
            <w:hideMark/>
          </w:tcPr>
          <w:p w14:paraId="41269015"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11,80</w:t>
            </w:r>
          </w:p>
        </w:tc>
        <w:tc>
          <w:tcPr>
            <w:tcW w:w="1305" w:type="dxa"/>
            <w:vAlign w:val="bottom"/>
            <w:hideMark/>
          </w:tcPr>
          <w:p w14:paraId="7F724F2A"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11,70</w:t>
            </w:r>
          </w:p>
        </w:tc>
        <w:tc>
          <w:tcPr>
            <w:tcW w:w="1303" w:type="dxa"/>
            <w:vAlign w:val="bottom"/>
          </w:tcPr>
          <w:p w14:paraId="5F5400C8" w14:textId="042F831F" w:rsidR="00F77382" w:rsidRPr="00653E85" w:rsidRDefault="00F77382" w:rsidP="006378F5">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12,</w:t>
            </w:r>
            <w:r w:rsidR="006378F5" w:rsidRPr="00653E85">
              <w:rPr>
                <w:rFonts w:asciiTheme="majorHAnsi" w:hAnsiTheme="majorHAnsi" w:cstheme="majorHAnsi"/>
                <w:i/>
                <w:szCs w:val="24"/>
                <w:lang w:val="ro-MD"/>
              </w:rPr>
              <w:t>4</w:t>
            </w:r>
            <w:r w:rsidRPr="00653E85">
              <w:rPr>
                <w:rFonts w:asciiTheme="majorHAnsi" w:hAnsiTheme="majorHAnsi" w:cstheme="majorHAnsi"/>
                <w:i/>
                <w:szCs w:val="24"/>
                <w:lang w:val="ro-MD"/>
              </w:rPr>
              <w:t>0</w:t>
            </w:r>
          </w:p>
        </w:tc>
      </w:tr>
      <w:tr w:rsidR="00F77382" w:rsidRPr="00B7675F" w14:paraId="2F241280" w14:textId="77777777" w:rsidTr="000F6BFE">
        <w:trPr>
          <w:trHeight w:val="17"/>
        </w:trPr>
        <w:tc>
          <w:tcPr>
            <w:tcW w:w="2196" w:type="dxa"/>
            <w:hideMark/>
          </w:tcPr>
          <w:p w14:paraId="343B07E0" w14:textId="77777777" w:rsidR="00F77382" w:rsidRPr="00653E85" w:rsidRDefault="00F77382" w:rsidP="000F6BFE">
            <w:pPr>
              <w:spacing w:line="276" w:lineRule="auto"/>
              <w:jc w:val="both"/>
              <w:rPr>
                <w:rFonts w:asciiTheme="majorHAnsi" w:hAnsiTheme="majorHAnsi" w:cstheme="majorHAnsi"/>
                <w:b/>
                <w:bCs/>
                <w:i/>
                <w:iCs/>
                <w:szCs w:val="24"/>
                <w:lang w:val="ro-MD"/>
              </w:rPr>
            </w:pPr>
            <w:r w:rsidRPr="00653E85">
              <w:rPr>
                <w:rFonts w:asciiTheme="majorHAnsi" w:hAnsiTheme="majorHAnsi" w:cstheme="majorHAnsi"/>
                <w:b/>
                <w:bCs/>
                <w:i/>
                <w:iCs/>
                <w:szCs w:val="24"/>
                <w:lang w:val="ro-MD"/>
              </w:rPr>
              <w:t>BPN, cheltuieli</w:t>
            </w:r>
          </w:p>
        </w:tc>
        <w:tc>
          <w:tcPr>
            <w:tcW w:w="1099" w:type="dxa"/>
            <w:vAlign w:val="center"/>
            <w:hideMark/>
          </w:tcPr>
          <w:p w14:paraId="57A9EDF9" w14:textId="77777777" w:rsidR="00F77382" w:rsidRPr="00653E85" w:rsidRDefault="00F77382" w:rsidP="000F6BFE">
            <w:pPr>
              <w:spacing w:line="276" w:lineRule="auto"/>
              <w:jc w:val="center"/>
              <w:rPr>
                <w:rFonts w:asciiTheme="majorHAnsi" w:hAnsiTheme="majorHAnsi" w:cstheme="majorHAnsi"/>
                <w:bCs/>
                <w:i/>
                <w:iCs/>
                <w:szCs w:val="24"/>
                <w:lang w:val="ro-MD"/>
              </w:rPr>
            </w:pPr>
            <w:r w:rsidRPr="00653E85">
              <w:rPr>
                <w:rFonts w:asciiTheme="majorHAnsi" w:hAnsiTheme="majorHAnsi" w:cstheme="majorHAnsi"/>
                <w:bCs/>
                <w:i/>
                <w:iCs/>
                <w:szCs w:val="24"/>
                <w:lang w:val="ro-MD"/>
              </w:rPr>
              <w:t>mil.lei</w:t>
            </w:r>
          </w:p>
        </w:tc>
        <w:tc>
          <w:tcPr>
            <w:tcW w:w="1572" w:type="dxa"/>
            <w:vAlign w:val="bottom"/>
            <w:hideMark/>
          </w:tcPr>
          <w:p w14:paraId="2D1B3BE1"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59 576,90</w:t>
            </w:r>
          </w:p>
        </w:tc>
        <w:tc>
          <w:tcPr>
            <w:tcW w:w="1355" w:type="dxa"/>
            <w:vAlign w:val="bottom"/>
            <w:hideMark/>
          </w:tcPr>
          <w:p w14:paraId="08D4F917"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65 975,60</w:t>
            </w:r>
          </w:p>
        </w:tc>
        <w:tc>
          <w:tcPr>
            <w:tcW w:w="1428" w:type="dxa"/>
            <w:noWrap/>
            <w:vAlign w:val="bottom"/>
            <w:hideMark/>
          </w:tcPr>
          <w:p w14:paraId="6D648C5E"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73 269,80</w:t>
            </w:r>
          </w:p>
        </w:tc>
        <w:tc>
          <w:tcPr>
            <w:tcW w:w="1305" w:type="dxa"/>
            <w:noWrap/>
            <w:vAlign w:val="bottom"/>
            <w:hideMark/>
          </w:tcPr>
          <w:p w14:paraId="4569E803"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82 013,60</w:t>
            </w:r>
          </w:p>
        </w:tc>
        <w:tc>
          <w:tcPr>
            <w:tcW w:w="1303" w:type="dxa"/>
            <w:vAlign w:val="bottom"/>
          </w:tcPr>
          <w:p w14:paraId="0AF68A4B"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100 374,00</w:t>
            </w:r>
          </w:p>
        </w:tc>
      </w:tr>
      <w:tr w:rsidR="00F77382" w:rsidRPr="00B7675F" w14:paraId="42F7FFA9" w14:textId="77777777" w:rsidTr="000F6BFE">
        <w:trPr>
          <w:trHeight w:val="17"/>
        </w:trPr>
        <w:tc>
          <w:tcPr>
            <w:tcW w:w="2196" w:type="dxa"/>
            <w:hideMark/>
          </w:tcPr>
          <w:p w14:paraId="15E67545" w14:textId="77777777" w:rsidR="00F77382" w:rsidRPr="00653E85" w:rsidRDefault="00F77382" w:rsidP="000F6BFE">
            <w:pPr>
              <w:spacing w:line="276" w:lineRule="auto"/>
              <w:jc w:val="both"/>
              <w:rPr>
                <w:rFonts w:asciiTheme="majorHAnsi" w:hAnsiTheme="majorHAnsi" w:cstheme="majorHAnsi"/>
                <w:b/>
                <w:bCs/>
                <w:i/>
                <w:iCs/>
                <w:szCs w:val="24"/>
                <w:lang w:val="ro-MD"/>
              </w:rPr>
            </w:pPr>
            <w:r w:rsidRPr="00653E85">
              <w:rPr>
                <w:rFonts w:asciiTheme="majorHAnsi" w:hAnsiTheme="majorHAnsi" w:cstheme="majorHAnsi"/>
                <w:b/>
                <w:bCs/>
                <w:i/>
                <w:iCs/>
                <w:szCs w:val="24"/>
                <w:lang w:val="ro-MD"/>
              </w:rPr>
              <w:t>Cheltuieli, total</w:t>
            </w:r>
          </w:p>
        </w:tc>
        <w:tc>
          <w:tcPr>
            <w:tcW w:w="1099" w:type="dxa"/>
            <w:vAlign w:val="center"/>
            <w:hideMark/>
          </w:tcPr>
          <w:p w14:paraId="452D9775" w14:textId="77777777" w:rsidR="00F77382" w:rsidRPr="00653E85" w:rsidRDefault="00F77382" w:rsidP="000F6BFE">
            <w:pPr>
              <w:spacing w:line="276" w:lineRule="auto"/>
              <w:jc w:val="center"/>
              <w:rPr>
                <w:rFonts w:asciiTheme="majorHAnsi" w:hAnsiTheme="majorHAnsi" w:cstheme="majorHAnsi"/>
                <w:bCs/>
                <w:i/>
                <w:iCs/>
                <w:szCs w:val="24"/>
                <w:lang w:val="ro-MD"/>
              </w:rPr>
            </w:pPr>
            <w:r w:rsidRPr="00653E85">
              <w:rPr>
                <w:rFonts w:asciiTheme="majorHAnsi" w:hAnsiTheme="majorHAnsi" w:cstheme="majorHAnsi"/>
                <w:bCs/>
                <w:i/>
                <w:iCs/>
                <w:szCs w:val="24"/>
                <w:lang w:val="ro-MD"/>
              </w:rPr>
              <w:t>mil. lei</w:t>
            </w:r>
          </w:p>
        </w:tc>
        <w:tc>
          <w:tcPr>
            <w:tcW w:w="1572" w:type="dxa"/>
            <w:vAlign w:val="bottom"/>
            <w:hideMark/>
          </w:tcPr>
          <w:p w14:paraId="0118309C"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19 426,50</w:t>
            </w:r>
          </w:p>
        </w:tc>
        <w:tc>
          <w:tcPr>
            <w:tcW w:w="1355" w:type="dxa"/>
            <w:vAlign w:val="bottom"/>
            <w:hideMark/>
          </w:tcPr>
          <w:p w14:paraId="180D80A1"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21 602,30</w:t>
            </w:r>
          </w:p>
        </w:tc>
        <w:tc>
          <w:tcPr>
            <w:tcW w:w="1428" w:type="dxa"/>
            <w:vAlign w:val="bottom"/>
            <w:hideMark/>
          </w:tcPr>
          <w:p w14:paraId="590C5D8E"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24 244,40</w:t>
            </w:r>
          </w:p>
        </w:tc>
        <w:tc>
          <w:tcPr>
            <w:tcW w:w="1305" w:type="dxa"/>
            <w:vAlign w:val="bottom"/>
            <w:hideMark/>
          </w:tcPr>
          <w:p w14:paraId="4A6DF75A"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27 186,70</w:t>
            </w:r>
          </w:p>
        </w:tc>
        <w:tc>
          <w:tcPr>
            <w:tcW w:w="1303" w:type="dxa"/>
            <w:vAlign w:val="bottom"/>
          </w:tcPr>
          <w:p w14:paraId="77B702EC"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33 745,30</w:t>
            </w:r>
          </w:p>
        </w:tc>
      </w:tr>
      <w:tr w:rsidR="00F77382" w:rsidRPr="00B7675F" w14:paraId="383128DD" w14:textId="77777777" w:rsidTr="000F6BFE">
        <w:trPr>
          <w:trHeight w:val="17"/>
        </w:trPr>
        <w:tc>
          <w:tcPr>
            <w:tcW w:w="2196" w:type="dxa"/>
            <w:hideMark/>
          </w:tcPr>
          <w:p w14:paraId="3F17CDD6"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Devieri +/- față de anul precedent</w:t>
            </w:r>
          </w:p>
        </w:tc>
        <w:tc>
          <w:tcPr>
            <w:tcW w:w="1099" w:type="dxa"/>
            <w:vAlign w:val="center"/>
            <w:hideMark/>
          </w:tcPr>
          <w:p w14:paraId="0F40639C"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mil. lei</w:t>
            </w:r>
          </w:p>
        </w:tc>
        <w:tc>
          <w:tcPr>
            <w:tcW w:w="1572" w:type="dxa"/>
            <w:vAlign w:val="bottom"/>
            <w:hideMark/>
          </w:tcPr>
          <w:p w14:paraId="343A1B7C"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1 811,90</w:t>
            </w:r>
          </w:p>
        </w:tc>
        <w:tc>
          <w:tcPr>
            <w:tcW w:w="1355" w:type="dxa"/>
            <w:vAlign w:val="bottom"/>
            <w:hideMark/>
          </w:tcPr>
          <w:p w14:paraId="343D2649"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2 175,80</w:t>
            </w:r>
          </w:p>
        </w:tc>
        <w:tc>
          <w:tcPr>
            <w:tcW w:w="1428" w:type="dxa"/>
            <w:vAlign w:val="bottom"/>
            <w:hideMark/>
          </w:tcPr>
          <w:p w14:paraId="28F287E0"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2 642,00</w:t>
            </w:r>
          </w:p>
        </w:tc>
        <w:tc>
          <w:tcPr>
            <w:tcW w:w="1305" w:type="dxa"/>
            <w:vAlign w:val="bottom"/>
            <w:hideMark/>
          </w:tcPr>
          <w:p w14:paraId="7B536F8B"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2 942,50</w:t>
            </w:r>
          </w:p>
        </w:tc>
        <w:tc>
          <w:tcPr>
            <w:tcW w:w="1303" w:type="dxa"/>
            <w:vAlign w:val="bottom"/>
          </w:tcPr>
          <w:p w14:paraId="4AEB1929" w14:textId="0800C51E" w:rsidR="00F77382" w:rsidRPr="00653E85" w:rsidRDefault="00F77382" w:rsidP="006378F5">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6 558,</w:t>
            </w:r>
            <w:r w:rsidR="006378F5" w:rsidRPr="00653E85">
              <w:rPr>
                <w:rFonts w:asciiTheme="majorHAnsi" w:hAnsiTheme="majorHAnsi" w:cstheme="majorHAnsi"/>
                <w:i/>
                <w:szCs w:val="24"/>
                <w:lang w:val="ro-MD"/>
              </w:rPr>
              <w:t>6</w:t>
            </w:r>
            <w:r w:rsidRPr="00653E85">
              <w:rPr>
                <w:rFonts w:asciiTheme="majorHAnsi" w:hAnsiTheme="majorHAnsi" w:cstheme="majorHAnsi"/>
                <w:i/>
                <w:szCs w:val="24"/>
                <w:lang w:val="ro-MD"/>
              </w:rPr>
              <w:t>0</w:t>
            </w:r>
          </w:p>
        </w:tc>
      </w:tr>
      <w:tr w:rsidR="00F77382" w:rsidRPr="00B7675F" w14:paraId="2AFEB926" w14:textId="77777777" w:rsidTr="000F6BFE">
        <w:trPr>
          <w:trHeight w:val="17"/>
        </w:trPr>
        <w:tc>
          <w:tcPr>
            <w:tcW w:w="2196" w:type="dxa"/>
            <w:hideMark/>
          </w:tcPr>
          <w:p w14:paraId="50F98080"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Ponderea în BPN</w:t>
            </w:r>
          </w:p>
        </w:tc>
        <w:tc>
          <w:tcPr>
            <w:tcW w:w="1099" w:type="dxa"/>
            <w:vAlign w:val="center"/>
            <w:hideMark/>
          </w:tcPr>
          <w:p w14:paraId="0EC37CA7"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w:t>
            </w:r>
          </w:p>
        </w:tc>
        <w:tc>
          <w:tcPr>
            <w:tcW w:w="1572" w:type="dxa"/>
            <w:vAlign w:val="bottom"/>
            <w:hideMark/>
          </w:tcPr>
          <w:p w14:paraId="7C91D773"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32,60</w:t>
            </w:r>
          </w:p>
        </w:tc>
        <w:tc>
          <w:tcPr>
            <w:tcW w:w="1355" w:type="dxa"/>
            <w:vAlign w:val="bottom"/>
            <w:hideMark/>
          </w:tcPr>
          <w:p w14:paraId="02034D3E"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32,70</w:t>
            </w:r>
          </w:p>
        </w:tc>
        <w:tc>
          <w:tcPr>
            <w:tcW w:w="1428" w:type="dxa"/>
            <w:vAlign w:val="bottom"/>
            <w:hideMark/>
          </w:tcPr>
          <w:p w14:paraId="53B6FDBE"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33,10</w:t>
            </w:r>
          </w:p>
        </w:tc>
        <w:tc>
          <w:tcPr>
            <w:tcW w:w="1305" w:type="dxa"/>
            <w:vAlign w:val="bottom"/>
            <w:hideMark/>
          </w:tcPr>
          <w:p w14:paraId="2E314109"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33,10</w:t>
            </w:r>
          </w:p>
        </w:tc>
        <w:tc>
          <w:tcPr>
            <w:tcW w:w="1303" w:type="dxa"/>
            <w:vAlign w:val="bottom"/>
          </w:tcPr>
          <w:p w14:paraId="3298CD0A"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33,60</w:t>
            </w:r>
          </w:p>
        </w:tc>
      </w:tr>
      <w:tr w:rsidR="00F77382" w:rsidRPr="00B7675F" w14:paraId="224FB2BB" w14:textId="77777777" w:rsidTr="000F6BFE">
        <w:trPr>
          <w:trHeight w:val="17"/>
        </w:trPr>
        <w:tc>
          <w:tcPr>
            <w:tcW w:w="2196" w:type="dxa"/>
            <w:hideMark/>
          </w:tcPr>
          <w:p w14:paraId="0911A958"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Ponderea în PIB</w:t>
            </w:r>
          </w:p>
        </w:tc>
        <w:tc>
          <w:tcPr>
            <w:tcW w:w="1099" w:type="dxa"/>
            <w:vAlign w:val="center"/>
            <w:hideMark/>
          </w:tcPr>
          <w:p w14:paraId="059A53D6"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w:t>
            </w:r>
          </w:p>
        </w:tc>
        <w:tc>
          <w:tcPr>
            <w:tcW w:w="1572" w:type="dxa"/>
            <w:vAlign w:val="bottom"/>
            <w:hideMark/>
          </w:tcPr>
          <w:p w14:paraId="0C8EFB6F"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10,10</w:t>
            </w:r>
          </w:p>
        </w:tc>
        <w:tc>
          <w:tcPr>
            <w:tcW w:w="1355" w:type="dxa"/>
            <w:vAlign w:val="bottom"/>
            <w:hideMark/>
          </w:tcPr>
          <w:p w14:paraId="645077C3"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10,30</w:t>
            </w:r>
          </w:p>
        </w:tc>
        <w:tc>
          <w:tcPr>
            <w:tcW w:w="1428" w:type="dxa"/>
            <w:vAlign w:val="bottom"/>
            <w:hideMark/>
          </w:tcPr>
          <w:p w14:paraId="7E0F54A5"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11,70</w:t>
            </w:r>
          </w:p>
        </w:tc>
        <w:tc>
          <w:tcPr>
            <w:tcW w:w="1305" w:type="dxa"/>
            <w:vAlign w:val="bottom"/>
            <w:hideMark/>
          </w:tcPr>
          <w:p w14:paraId="2D2F31DB" w14:textId="0F71942C" w:rsidR="000232E5" w:rsidRPr="00653E85" w:rsidRDefault="000232E5" w:rsidP="000232E5">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11,20</w:t>
            </w:r>
          </w:p>
        </w:tc>
        <w:tc>
          <w:tcPr>
            <w:tcW w:w="1303" w:type="dxa"/>
            <w:vAlign w:val="bottom"/>
          </w:tcPr>
          <w:p w14:paraId="06987867" w14:textId="1BC5FD26" w:rsidR="00F77382" w:rsidRPr="00653E85" w:rsidRDefault="006378F5"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12,4</w:t>
            </w:r>
            <w:r w:rsidR="00F77382" w:rsidRPr="00653E85">
              <w:rPr>
                <w:rFonts w:asciiTheme="majorHAnsi" w:hAnsiTheme="majorHAnsi" w:cstheme="majorHAnsi"/>
                <w:i/>
                <w:szCs w:val="24"/>
                <w:lang w:val="ro-MD"/>
              </w:rPr>
              <w:t>0</w:t>
            </w:r>
          </w:p>
        </w:tc>
      </w:tr>
      <w:tr w:rsidR="00F77382" w:rsidRPr="00B7675F" w14:paraId="1CEFAE8F" w14:textId="77777777" w:rsidTr="000F6BFE">
        <w:trPr>
          <w:trHeight w:val="17"/>
        </w:trPr>
        <w:tc>
          <w:tcPr>
            <w:tcW w:w="2196" w:type="dxa"/>
            <w:hideMark/>
          </w:tcPr>
          <w:p w14:paraId="668862F5" w14:textId="77777777" w:rsidR="00F77382" w:rsidRPr="00653E85" w:rsidRDefault="00F77382" w:rsidP="000F6BFE">
            <w:pPr>
              <w:spacing w:line="276" w:lineRule="auto"/>
              <w:jc w:val="both"/>
              <w:rPr>
                <w:rFonts w:asciiTheme="majorHAnsi" w:hAnsiTheme="majorHAnsi" w:cstheme="majorHAnsi"/>
                <w:b/>
                <w:bCs/>
                <w:i/>
                <w:iCs/>
                <w:szCs w:val="24"/>
                <w:lang w:val="ro-MD"/>
              </w:rPr>
            </w:pPr>
            <w:r w:rsidRPr="00653E85">
              <w:rPr>
                <w:rFonts w:asciiTheme="majorHAnsi" w:hAnsiTheme="majorHAnsi" w:cstheme="majorHAnsi"/>
                <w:b/>
                <w:bCs/>
                <w:i/>
                <w:iCs/>
                <w:szCs w:val="24"/>
                <w:lang w:val="ro-MD"/>
              </w:rPr>
              <w:t>Deficit (-)/Excedent (+)</w:t>
            </w:r>
          </w:p>
        </w:tc>
        <w:tc>
          <w:tcPr>
            <w:tcW w:w="1099" w:type="dxa"/>
            <w:vAlign w:val="center"/>
            <w:hideMark/>
          </w:tcPr>
          <w:p w14:paraId="19494598" w14:textId="77777777" w:rsidR="00F77382" w:rsidRPr="00653E85" w:rsidRDefault="00F77382" w:rsidP="000F6BFE">
            <w:pPr>
              <w:spacing w:line="276" w:lineRule="auto"/>
              <w:jc w:val="center"/>
              <w:rPr>
                <w:rFonts w:asciiTheme="majorHAnsi" w:hAnsiTheme="majorHAnsi" w:cstheme="majorHAnsi"/>
                <w:bCs/>
                <w:i/>
                <w:iCs/>
                <w:szCs w:val="24"/>
                <w:lang w:val="ro-MD"/>
              </w:rPr>
            </w:pPr>
            <w:r w:rsidRPr="00653E85">
              <w:rPr>
                <w:rFonts w:asciiTheme="majorHAnsi" w:hAnsiTheme="majorHAnsi" w:cstheme="majorHAnsi"/>
                <w:bCs/>
                <w:i/>
                <w:iCs/>
                <w:szCs w:val="24"/>
                <w:lang w:val="ro-MD"/>
              </w:rPr>
              <w:t>mil. lei</w:t>
            </w:r>
          </w:p>
        </w:tc>
        <w:tc>
          <w:tcPr>
            <w:tcW w:w="1572" w:type="dxa"/>
            <w:vAlign w:val="bottom"/>
            <w:hideMark/>
          </w:tcPr>
          <w:p w14:paraId="2AFFA3F9"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363,80</w:t>
            </w:r>
          </w:p>
        </w:tc>
        <w:tc>
          <w:tcPr>
            <w:tcW w:w="1355" w:type="dxa"/>
            <w:vAlign w:val="bottom"/>
            <w:hideMark/>
          </w:tcPr>
          <w:p w14:paraId="2C425370"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146,00</w:t>
            </w:r>
          </w:p>
        </w:tc>
        <w:tc>
          <w:tcPr>
            <w:tcW w:w="1428" w:type="dxa"/>
            <w:vAlign w:val="bottom"/>
            <w:hideMark/>
          </w:tcPr>
          <w:p w14:paraId="0787AA36"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41,20</w:t>
            </w:r>
          </w:p>
        </w:tc>
        <w:tc>
          <w:tcPr>
            <w:tcW w:w="1305" w:type="dxa"/>
            <w:vAlign w:val="bottom"/>
            <w:hideMark/>
          </w:tcPr>
          <w:p w14:paraId="7A9987C5"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60,00</w:t>
            </w:r>
          </w:p>
        </w:tc>
        <w:tc>
          <w:tcPr>
            <w:tcW w:w="1303" w:type="dxa"/>
            <w:vAlign w:val="bottom"/>
          </w:tcPr>
          <w:p w14:paraId="6EFA8C92" w14:textId="77777777" w:rsidR="00F77382" w:rsidRPr="00653E85" w:rsidRDefault="00F77382" w:rsidP="000F6BFE">
            <w:pPr>
              <w:spacing w:line="276" w:lineRule="auto"/>
              <w:jc w:val="right"/>
              <w:rPr>
                <w:rFonts w:asciiTheme="majorHAnsi" w:hAnsiTheme="majorHAnsi" w:cstheme="majorHAnsi"/>
                <w:bCs/>
                <w:i/>
                <w:iCs/>
                <w:szCs w:val="24"/>
                <w:lang w:val="ro-MD"/>
              </w:rPr>
            </w:pPr>
            <w:r w:rsidRPr="00653E85">
              <w:rPr>
                <w:rFonts w:asciiTheme="majorHAnsi" w:hAnsiTheme="majorHAnsi" w:cstheme="majorHAnsi"/>
                <w:bCs/>
                <w:i/>
                <w:iCs/>
                <w:szCs w:val="24"/>
                <w:lang w:val="ro-MD"/>
              </w:rPr>
              <w:t>50,80</w:t>
            </w:r>
          </w:p>
        </w:tc>
      </w:tr>
      <w:tr w:rsidR="00F77382" w:rsidRPr="00B7675F" w14:paraId="58FAD4F7" w14:textId="77777777" w:rsidTr="000F6BFE">
        <w:trPr>
          <w:trHeight w:val="17"/>
        </w:trPr>
        <w:tc>
          <w:tcPr>
            <w:tcW w:w="2196" w:type="dxa"/>
            <w:hideMark/>
          </w:tcPr>
          <w:p w14:paraId="32085E9F"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Devieri +/- față de anul precedent</w:t>
            </w:r>
          </w:p>
        </w:tc>
        <w:tc>
          <w:tcPr>
            <w:tcW w:w="1099" w:type="dxa"/>
            <w:vAlign w:val="center"/>
            <w:hideMark/>
          </w:tcPr>
          <w:p w14:paraId="0622B5DC"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mil. lei</w:t>
            </w:r>
          </w:p>
        </w:tc>
        <w:tc>
          <w:tcPr>
            <w:tcW w:w="1572" w:type="dxa"/>
            <w:vAlign w:val="bottom"/>
            <w:hideMark/>
          </w:tcPr>
          <w:p w14:paraId="7CA75FF5"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159,60</w:t>
            </w:r>
          </w:p>
        </w:tc>
        <w:tc>
          <w:tcPr>
            <w:tcW w:w="1355" w:type="dxa"/>
            <w:vAlign w:val="bottom"/>
            <w:hideMark/>
          </w:tcPr>
          <w:p w14:paraId="3C192C32"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-217,80</w:t>
            </w:r>
          </w:p>
        </w:tc>
        <w:tc>
          <w:tcPr>
            <w:tcW w:w="1428" w:type="dxa"/>
            <w:vAlign w:val="bottom"/>
            <w:hideMark/>
          </w:tcPr>
          <w:p w14:paraId="2CC14D1C"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-104,80</w:t>
            </w:r>
          </w:p>
        </w:tc>
        <w:tc>
          <w:tcPr>
            <w:tcW w:w="1305" w:type="dxa"/>
            <w:vAlign w:val="bottom"/>
            <w:hideMark/>
          </w:tcPr>
          <w:p w14:paraId="0EB807F0"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18,80</w:t>
            </w:r>
          </w:p>
        </w:tc>
        <w:tc>
          <w:tcPr>
            <w:tcW w:w="1303" w:type="dxa"/>
            <w:vAlign w:val="bottom"/>
          </w:tcPr>
          <w:p w14:paraId="451530B8"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-9,20</w:t>
            </w:r>
          </w:p>
        </w:tc>
      </w:tr>
      <w:tr w:rsidR="00F77382" w:rsidRPr="00B7675F" w14:paraId="2A79C14F" w14:textId="77777777" w:rsidTr="000F6BFE">
        <w:trPr>
          <w:trHeight w:val="17"/>
        </w:trPr>
        <w:tc>
          <w:tcPr>
            <w:tcW w:w="2196" w:type="dxa"/>
            <w:hideMark/>
          </w:tcPr>
          <w:p w14:paraId="29C8E491" w14:textId="77777777" w:rsidR="00F77382" w:rsidRPr="00653E85" w:rsidRDefault="00F77382" w:rsidP="000F6BFE">
            <w:pPr>
              <w:spacing w:line="276" w:lineRule="auto"/>
              <w:jc w:val="both"/>
              <w:rPr>
                <w:rFonts w:asciiTheme="majorHAnsi" w:hAnsiTheme="majorHAnsi" w:cstheme="majorHAnsi"/>
                <w:b/>
                <w:i/>
                <w:szCs w:val="24"/>
                <w:lang w:val="ro-MD"/>
              </w:rPr>
            </w:pPr>
            <w:r w:rsidRPr="00653E85">
              <w:rPr>
                <w:rFonts w:asciiTheme="majorHAnsi" w:hAnsiTheme="majorHAnsi" w:cstheme="majorHAnsi"/>
                <w:b/>
                <w:i/>
                <w:szCs w:val="24"/>
                <w:lang w:val="ro-MD"/>
              </w:rPr>
              <w:t>Ponderea în PIB</w:t>
            </w:r>
          </w:p>
        </w:tc>
        <w:tc>
          <w:tcPr>
            <w:tcW w:w="1099" w:type="dxa"/>
            <w:vAlign w:val="center"/>
            <w:hideMark/>
          </w:tcPr>
          <w:p w14:paraId="1AF56A8A" w14:textId="77777777" w:rsidR="00F77382" w:rsidRPr="00653E85" w:rsidRDefault="00F77382" w:rsidP="000F6BFE">
            <w:pPr>
              <w:spacing w:line="276" w:lineRule="auto"/>
              <w:jc w:val="center"/>
              <w:rPr>
                <w:rFonts w:asciiTheme="majorHAnsi" w:hAnsiTheme="majorHAnsi" w:cstheme="majorHAnsi"/>
                <w:i/>
                <w:szCs w:val="24"/>
                <w:lang w:val="ro-MD"/>
              </w:rPr>
            </w:pPr>
            <w:r w:rsidRPr="00653E85">
              <w:rPr>
                <w:rFonts w:asciiTheme="majorHAnsi" w:hAnsiTheme="majorHAnsi" w:cstheme="majorHAnsi"/>
                <w:i/>
                <w:szCs w:val="24"/>
                <w:lang w:val="ro-MD"/>
              </w:rPr>
              <w:t>%</w:t>
            </w:r>
          </w:p>
        </w:tc>
        <w:tc>
          <w:tcPr>
            <w:tcW w:w="1572" w:type="dxa"/>
            <w:vAlign w:val="bottom"/>
            <w:hideMark/>
          </w:tcPr>
          <w:p w14:paraId="5404FE22"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0,19</w:t>
            </w:r>
          </w:p>
        </w:tc>
        <w:tc>
          <w:tcPr>
            <w:tcW w:w="1355" w:type="dxa"/>
            <w:vAlign w:val="bottom"/>
            <w:hideMark/>
          </w:tcPr>
          <w:p w14:paraId="5E963B90"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0,07</w:t>
            </w:r>
          </w:p>
        </w:tc>
        <w:tc>
          <w:tcPr>
            <w:tcW w:w="1428" w:type="dxa"/>
            <w:vAlign w:val="bottom"/>
            <w:hideMark/>
          </w:tcPr>
          <w:p w14:paraId="4477DBA7"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0,02</w:t>
            </w:r>
          </w:p>
        </w:tc>
        <w:tc>
          <w:tcPr>
            <w:tcW w:w="1305" w:type="dxa"/>
            <w:vAlign w:val="bottom"/>
            <w:hideMark/>
          </w:tcPr>
          <w:p w14:paraId="4532756D"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0,02</w:t>
            </w:r>
          </w:p>
        </w:tc>
        <w:tc>
          <w:tcPr>
            <w:tcW w:w="1303" w:type="dxa"/>
            <w:vAlign w:val="bottom"/>
          </w:tcPr>
          <w:p w14:paraId="3BCFB5AF" w14:textId="77777777" w:rsidR="00F77382" w:rsidRPr="00653E85" w:rsidRDefault="00F77382" w:rsidP="000F6BFE">
            <w:pPr>
              <w:spacing w:line="276" w:lineRule="auto"/>
              <w:jc w:val="right"/>
              <w:rPr>
                <w:rFonts w:asciiTheme="majorHAnsi" w:hAnsiTheme="majorHAnsi" w:cstheme="majorHAnsi"/>
                <w:i/>
                <w:szCs w:val="24"/>
                <w:lang w:val="ro-MD"/>
              </w:rPr>
            </w:pPr>
            <w:r w:rsidRPr="00653E85">
              <w:rPr>
                <w:rFonts w:asciiTheme="majorHAnsi" w:hAnsiTheme="majorHAnsi" w:cstheme="majorHAnsi"/>
                <w:i/>
                <w:szCs w:val="24"/>
                <w:lang w:val="ro-MD"/>
              </w:rPr>
              <w:t>0,02</w:t>
            </w:r>
          </w:p>
        </w:tc>
      </w:tr>
    </w:tbl>
    <w:p w14:paraId="1BF9B929" w14:textId="77777777" w:rsidR="00F77382" w:rsidRPr="00653E85" w:rsidRDefault="00F77382" w:rsidP="00F77382">
      <w:pPr>
        <w:spacing w:line="276" w:lineRule="auto"/>
        <w:jc w:val="both"/>
        <w:rPr>
          <w:rFonts w:asciiTheme="majorHAnsi" w:hAnsiTheme="majorHAnsi" w:cstheme="majorHAnsi"/>
          <w:szCs w:val="24"/>
          <w:lang w:val="ro-MD"/>
        </w:rPr>
      </w:pPr>
      <w:r w:rsidRPr="00653E85">
        <w:rPr>
          <w:rFonts w:asciiTheme="majorHAnsi" w:hAnsiTheme="majorHAnsi" w:cstheme="majorHAnsi"/>
          <w:b/>
          <w:i/>
          <w:szCs w:val="24"/>
          <w:lang w:val="ro-MD"/>
        </w:rPr>
        <w:t>Sursa:</w:t>
      </w:r>
      <w:r w:rsidRPr="00653E85">
        <w:rPr>
          <w:rFonts w:asciiTheme="majorHAnsi" w:hAnsiTheme="majorHAnsi" w:cstheme="majorHAnsi"/>
          <w:szCs w:val="24"/>
          <w:lang w:val="ro-MD"/>
        </w:rPr>
        <w:t xml:space="preserve"> </w:t>
      </w:r>
      <w:r w:rsidRPr="00653E85">
        <w:rPr>
          <w:rFonts w:asciiTheme="majorHAnsi" w:hAnsiTheme="majorHAnsi" w:cstheme="majorHAnsi"/>
          <w:i/>
          <w:szCs w:val="24"/>
          <w:lang w:val="ro-MD"/>
        </w:rPr>
        <w:t xml:space="preserve">Raportul privind executarea bugetului asigurărilor sociale de stat pentru anii 2018-2022; </w:t>
      </w:r>
      <w:hyperlink r:id="rId11" w:history="1">
        <w:r w:rsidRPr="00653E85">
          <w:rPr>
            <w:rFonts w:asciiTheme="majorHAnsi" w:hAnsiTheme="majorHAnsi" w:cstheme="majorHAnsi"/>
            <w:i/>
            <w:color w:val="0563C1" w:themeColor="hyperlink"/>
            <w:szCs w:val="24"/>
            <w:u w:val="single"/>
            <w:lang w:val="ro-MD"/>
          </w:rPr>
          <w:t>www.statistica.md</w:t>
        </w:r>
      </w:hyperlink>
      <w:r w:rsidRPr="00653E85">
        <w:rPr>
          <w:rFonts w:asciiTheme="majorHAnsi" w:hAnsiTheme="majorHAnsi" w:cstheme="majorHAnsi"/>
          <w:i/>
          <w:szCs w:val="24"/>
          <w:lang w:val="ro-MD"/>
        </w:rPr>
        <w:t xml:space="preserve"> </w:t>
      </w:r>
    </w:p>
    <w:p w14:paraId="56411BFB" w14:textId="3CA46D5F" w:rsidR="00F77382" w:rsidRPr="00653E85" w:rsidRDefault="00F77382" w:rsidP="00F77382">
      <w:pPr>
        <w:spacing w:after="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Deși Legea finanțelor publice şi responsabilității bugetar-fiscale</w:t>
      </w:r>
      <w:r w:rsidRPr="00B7675F">
        <w:rPr>
          <w:rFonts w:asciiTheme="majorHAnsi" w:hAnsiTheme="majorHAnsi" w:cstheme="majorHAnsi"/>
          <w:sz w:val="24"/>
          <w:szCs w:val="24"/>
          <w:vertAlign w:val="superscript"/>
          <w:lang w:val="ro-MD"/>
        </w:rPr>
        <w:footnoteReference w:id="10"/>
      </w:r>
      <w:r w:rsidRPr="00B7675F">
        <w:rPr>
          <w:rFonts w:asciiTheme="majorHAnsi" w:hAnsiTheme="majorHAnsi" w:cstheme="majorHAnsi"/>
          <w:sz w:val="24"/>
          <w:szCs w:val="24"/>
          <w:lang w:val="ro-MD"/>
        </w:rPr>
        <w:t xml:space="preserve"> stabilește condițiile şi termenele generale privind modificările/precizările bugetelor anuale aprobate, indicatorii anuali ai bugetului asigurărilor sociale de stat</w:t>
      </w:r>
      <w:r w:rsidRPr="0038225D">
        <w:rPr>
          <w:rFonts w:asciiTheme="majorHAnsi" w:hAnsiTheme="majorHAnsi" w:cstheme="majorHAnsi"/>
          <w:sz w:val="24"/>
          <w:szCs w:val="24"/>
          <w:lang w:val="ro-MD"/>
        </w:rPr>
        <w:t xml:space="preserve"> </w:t>
      </w:r>
      <w:r w:rsidRPr="00B7675F">
        <w:rPr>
          <w:rFonts w:asciiTheme="majorHAnsi" w:hAnsiTheme="majorHAnsi" w:cstheme="majorHAnsi"/>
          <w:sz w:val="24"/>
          <w:szCs w:val="24"/>
          <w:lang w:val="ro-MD"/>
        </w:rPr>
        <w:t>au fost precizați de 3 ori</w:t>
      </w:r>
      <w:r w:rsidRPr="00653E85">
        <w:rPr>
          <w:rFonts w:asciiTheme="majorHAnsi" w:hAnsiTheme="majorHAnsi" w:cstheme="majorHAnsi"/>
          <w:sz w:val="24"/>
          <w:szCs w:val="24"/>
          <w:vertAlign w:val="superscript"/>
          <w:lang w:val="ro-MD"/>
        </w:rPr>
        <w:footnoteReference w:id="11"/>
      </w:r>
      <w:r w:rsidRPr="00653E85">
        <w:rPr>
          <w:rFonts w:asciiTheme="majorHAnsi" w:hAnsiTheme="majorHAnsi" w:cstheme="majorHAnsi"/>
          <w:sz w:val="24"/>
          <w:szCs w:val="24"/>
          <w:lang w:val="ro-MD"/>
        </w:rPr>
        <w:t>. Modificările au fost determinate de evoluția indicatorilor bugetului asigurărilor sociale de stat pe parcursul anului bugetar 2022</w:t>
      </w:r>
      <w:r w:rsidR="00AD55E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de dinamica beneficiarilor și a mărimilor medii ale prestațiilor sociale, de revizuirea de către Ministerul Dezvoltării Economice și Digitalizării a prognozei principalilor indicatori macroeconomici pentru anul 2022, precum și de necesitatea implementării măsurilor noi aprobate în legislație pe parcursul anului bugetar, cu impact asupra bugetului asigurărilor sociale de stat:</w:t>
      </w:r>
    </w:p>
    <w:p w14:paraId="1ADB4DF8" w14:textId="59B12253" w:rsidR="00F77382" w:rsidRPr="00653E85" w:rsidRDefault="00AD55E8"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w:t>
      </w:r>
      <w:r w:rsidR="00F77382" w:rsidRPr="00653E85">
        <w:rPr>
          <w:rFonts w:asciiTheme="majorHAnsi" w:hAnsiTheme="majorHAnsi" w:cstheme="majorHAnsi"/>
          <w:sz w:val="24"/>
          <w:szCs w:val="24"/>
          <w:lang w:val="ro-MD"/>
        </w:rPr>
        <w:t>odificarea modalității de determinare a coeficientului de indexare a pensiilor la 1 aprilie 2022: creșterea prețurilor de consum în luna decembrie a anului precedent față de aceeași lună a anului premergător în locul creșterii anuale a indicelui prețurilor de consum pentru anul precedent anului indexării;</w:t>
      </w:r>
    </w:p>
    <w:p w14:paraId="6A4AD824" w14:textId="7B7EA1D1" w:rsidR="00F77382" w:rsidRPr="00653E85" w:rsidRDefault="00AD55E8"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w:t>
      </w:r>
      <w:r w:rsidR="00F77382" w:rsidRPr="00653E85">
        <w:rPr>
          <w:rFonts w:asciiTheme="majorHAnsi" w:hAnsiTheme="majorHAnsi" w:cstheme="majorHAnsi"/>
          <w:sz w:val="24"/>
          <w:szCs w:val="24"/>
          <w:lang w:val="ro-MD"/>
        </w:rPr>
        <w:t>odificarea modalității de indexare pentru anul 2022, coeficientul de indexare aplicându-se doar acelei părți din pensie care nu depășește salariul mediu lunar pe economie, prognozat pentru anul 2022</w:t>
      </w:r>
      <w:r w:rsidR="00856C28"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în cuantum de 9 900 lei;</w:t>
      </w:r>
    </w:p>
    <w:p w14:paraId="5452CDFF" w14:textId="69761269" w:rsidR="00F77382" w:rsidRPr="00653E85" w:rsidRDefault="00EF11A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w:t>
      </w:r>
      <w:r w:rsidR="00F77382" w:rsidRPr="00653E85">
        <w:rPr>
          <w:rFonts w:asciiTheme="majorHAnsi" w:hAnsiTheme="majorHAnsi" w:cstheme="majorHAnsi"/>
          <w:sz w:val="24"/>
          <w:szCs w:val="24"/>
          <w:lang w:val="ro-MD"/>
        </w:rPr>
        <w:t>ajorarea anuală, la 1 aprilie, a pensiilor calculate în conformitate cu prevederile Legii nr.156/1998 privind sistemul public de pensii</w:t>
      </w:r>
      <w:r w:rsidR="00AC6A9E"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în sumă fixă, ce se determină prin multiplicarea cuantumului pensiei medii cu 50% din creșterea produsului intern brut în anul precedent, exprimat în prețuri comparabile, care în anul 2022 a constituit 171,71 lei;</w:t>
      </w:r>
    </w:p>
    <w:p w14:paraId="07B57F37" w14:textId="1E3D03D8"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w:t>
      </w:r>
      <w:r w:rsidR="00F77382" w:rsidRPr="00653E85">
        <w:rPr>
          <w:rFonts w:asciiTheme="majorHAnsi" w:hAnsiTheme="majorHAnsi" w:cstheme="majorHAnsi"/>
          <w:sz w:val="24"/>
          <w:szCs w:val="24"/>
          <w:lang w:val="ro-MD"/>
        </w:rPr>
        <w:t>cordarea ajutorului material unic</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în mărime de 2 500 lei, participanților la acțiunile de luptă pentru apărarea integrității teritoriale și independenței Republicii Moldova și membrilor familiilor lor, în contextul comemorării a 30 de ani de la desfășurarea acțiunilor de luptă de pe Nistru;</w:t>
      </w:r>
    </w:p>
    <w:p w14:paraId="58DE10B5" w14:textId="1C18BDC8"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w:t>
      </w:r>
      <w:r w:rsidR="00F77382" w:rsidRPr="00653E85">
        <w:rPr>
          <w:rFonts w:asciiTheme="majorHAnsi" w:hAnsiTheme="majorHAnsi" w:cstheme="majorHAnsi"/>
          <w:sz w:val="24"/>
          <w:szCs w:val="24"/>
          <w:lang w:val="ro-MD"/>
        </w:rPr>
        <w:t>ajorarea cu 300 lei</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sau de la 950 lei până la 1 250 lei</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a cuantumului alocației lunare de stat participanților la cel de-al doilea război mondial, specificați la art.2 alin</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1</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pct.2 al Legii nr.121/2001 cu privire la protecția socială suplimentară a unor categorii de populație, începând cu 01.05.2022, precum și introducerea unei categorii noi de beneficiari, începând cu 22.07.2022 – persoane antrenate de Ministerul Apărării la strângerea munițiilor și a tehnicii militare, la determinarea teritoriului obiectelor în perioada de după acțiunile de luptă pentru apărarea integrității teritoriale și a independenței Republicii Moldova</w:t>
      </w:r>
      <w:r w:rsidRPr="00653E85">
        <w:rPr>
          <w:rFonts w:asciiTheme="majorHAnsi" w:hAnsiTheme="majorHAnsi" w:cstheme="majorHAnsi"/>
          <w:sz w:val="24"/>
          <w:szCs w:val="24"/>
          <w:lang w:val="ro-MD"/>
        </w:rPr>
        <w:t>, conform</w:t>
      </w:r>
      <w:r w:rsidR="00F77382" w:rsidRPr="00653E85">
        <w:rPr>
          <w:rFonts w:asciiTheme="majorHAnsi" w:hAnsiTheme="majorHAnsi" w:cstheme="majorHAnsi"/>
          <w:sz w:val="24"/>
          <w:szCs w:val="24"/>
          <w:lang w:val="ro-MD"/>
        </w:rPr>
        <w:t xml:space="preserve"> art.2 alin.</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1) pct.8 al Legii menționate;</w:t>
      </w:r>
    </w:p>
    <w:p w14:paraId="5A33E4A4" w14:textId="7C3565D6"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s</w:t>
      </w:r>
      <w:r w:rsidR="00F77382" w:rsidRPr="00653E85">
        <w:rPr>
          <w:rFonts w:asciiTheme="majorHAnsi" w:hAnsiTheme="majorHAnsi" w:cstheme="majorHAnsi"/>
          <w:sz w:val="24"/>
          <w:szCs w:val="24"/>
          <w:lang w:val="ro-MD"/>
        </w:rPr>
        <w:t xml:space="preserve">tabilirea indemnizațiilor lunare pentru îngrijirea copilului până la vârsta de 2 ani, tuturor copiilor indiferent de statutul părintelui (asigurat sau neasigurat), în mărime de 1 000 lei, începând </w:t>
      </w:r>
      <w:r w:rsidR="00CE0E19" w:rsidRPr="00653E85">
        <w:rPr>
          <w:rFonts w:asciiTheme="majorHAnsi" w:hAnsiTheme="majorHAnsi" w:cstheme="majorHAnsi"/>
          <w:sz w:val="24"/>
          <w:szCs w:val="24"/>
          <w:lang w:val="ro-MD"/>
        </w:rPr>
        <w:t>cu</w:t>
      </w:r>
      <w:r w:rsidR="00F77382" w:rsidRPr="00653E85">
        <w:rPr>
          <w:rFonts w:asciiTheme="majorHAnsi" w:hAnsiTheme="majorHAnsi" w:cstheme="majorHAnsi"/>
          <w:sz w:val="24"/>
          <w:szCs w:val="24"/>
          <w:lang w:val="ro-MD"/>
        </w:rPr>
        <w:t xml:space="preserve"> 1 octombrie 2022;</w:t>
      </w:r>
    </w:p>
    <w:p w14:paraId="13D74F35" w14:textId="2790CE30"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w:t>
      </w:r>
      <w:r w:rsidR="00F77382" w:rsidRPr="00653E85">
        <w:rPr>
          <w:rFonts w:asciiTheme="majorHAnsi" w:hAnsiTheme="majorHAnsi" w:cstheme="majorHAnsi"/>
          <w:sz w:val="24"/>
          <w:szCs w:val="24"/>
          <w:lang w:val="ro-MD"/>
        </w:rPr>
        <w:t>ajorarea cu 130 lei</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sau de la 370 lei până la 500 lei</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a indemnizației lunare de suport pentru creșterea până la vârsta de 3 ani a copiilor gemeni sau </w:t>
      </w:r>
      <w:r w:rsidRPr="00653E85">
        <w:rPr>
          <w:rFonts w:asciiTheme="majorHAnsi" w:hAnsiTheme="majorHAnsi" w:cstheme="majorHAnsi"/>
          <w:sz w:val="24"/>
          <w:szCs w:val="24"/>
          <w:lang w:val="ro-MD"/>
        </w:rPr>
        <w:t xml:space="preserve">a </w:t>
      </w:r>
      <w:r w:rsidR="00F77382" w:rsidRPr="00653E85">
        <w:rPr>
          <w:rFonts w:asciiTheme="majorHAnsi" w:hAnsiTheme="majorHAnsi" w:cstheme="majorHAnsi"/>
          <w:sz w:val="24"/>
          <w:szCs w:val="24"/>
          <w:lang w:val="ro-MD"/>
        </w:rPr>
        <w:t>mai mulți copii născuți dintr-o singură sarcină, persoanelor asigurate și neasigurate, începând cu 1 octombrie 2022;</w:t>
      </w:r>
    </w:p>
    <w:p w14:paraId="46065FBF" w14:textId="7942BC42"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w:t>
      </w:r>
      <w:r w:rsidR="00F77382" w:rsidRPr="00653E85">
        <w:rPr>
          <w:rFonts w:asciiTheme="majorHAnsi" w:hAnsiTheme="majorHAnsi" w:cstheme="majorHAnsi"/>
          <w:sz w:val="24"/>
          <w:szCs w:val="24"/>
          <w:lang w:val="ro-MD"/>
        </w:rPr>
        <w:t>cordarea</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începând cu 1 octombrie 2022</w:t>
      </w:r>
      <w:r w:rsidRPr="00653E85">
        <w:rPr>
          <w:rFonts w:asciiTheme="majorHAnsi" w:hAnsiTheme="majorHAnsi" w:cstheme="majorHAnsi"/>
          <w:sz w:val="24"/>
          <w:szCs w:val="24"/>
          <w:lang w:val="ro-MD"/>
        </w:rPr>
        <w:t>,</w:t>
      </w:r>
      <w:r w:rsidR="00F77382" w:rsidRPr="00653E85">
        <w:rPr>
          <w:rFonts w:asciiTheme="majorHAnsi" w:hAnsiTheme="majorHAnsi" w:cstheme="majorHAnsi"/>
          <w:sz w:val="24"/>
          <w:szCs w:val="24"/>
          <w:lang w:val="ro-MD"/>
        </w:rPr>
        <w:t xml:space="preserve"> a unui suport financiar unic în mărime de 1 500 lei beneficiarilor de pensii și alocații sociale, al căror cuantum nu depășește 5 000 lei;</w:t>
      </w:r>
    </w:p>
    <w:p w14:paraId="7D9404C4" w14:textId="103D325B"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w:t>
      </w:r>
      <w:r w:rsidR="00F77382" w:rsidRPr="00653E85">
        <w:rPr>
          <w:rFonts w:asciiTheme="majorHAnsi" w:hAnsiTheme="majorHAnsi" w:cstheme="majorHAnsi"/>
          <w:sz w:val="24"/>
          <w:szCs w:val="24"/>
          <w:lang w:val="ro-MD"/>
        </w:rPr>
        <w:t>cordarea dreptului la o opțiune nouă persoanelor asigurate care se află în concediul pentru îngrijirea copilului până la împlinirea vârstei de 3 ani: de beneficiere de indemnizație lunară pentru creșterea copilului pentru o perioadă de 12 luni în cuantum de 90% din baza de calcul;</w:t>
      </w:r>
    </w:p>
    <w:p w14:paraId="3287C000" w14:textId="16C182A3" w:rsidR="00F77382" w:rsidRPr="00653E85" w:rsidRDefault="00C27E65" w:rsidP="00F77382">
      <w:pPr>
        <w:numPr>
          <w:ilvl w:val="0"/>
          <w:numId w:val="14"/>
        </w:numPr>
        <w:spacing w:after="0" w:line="276" w:lineRule="auto"/>
        <w:contextualSpacing/>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w:t>
      </w:r>
      <w:r w:rsidR="00F77382" w:rsidRPr="00653E85">
        <w:rPr>
          <w:rFonts w:asciiTheme="majorHAnsi" w:hAnsiTheme="majorHAnsi" w:cstheme="majorHAnsi"/>
          <w:sz w:val="24"/>
          <w:szCs w:val="24"/>
          <w:lang w:val="ro-MD"/>
        </w:rPr>
        <w:t>odificarea cadrului normativ privind acordarea ajutorului social și ajutorului pentru perioada rece a anului cu scopul susținerii celor mai defavorizate familii.</w:t>
      </w:r>
    </w:p>
    <w:p w14:paraId="1CDD8FF3" w14:textId="77777777" w:rsidR="00F77382" w:rsidRPr="00653E85" w:rsidRDefault="00F77382" w:rsidP="00F7738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Sinteza cuantumului modificărilor bugetului asigurărilor sociale de stat pentru anul 2022 se prezintă în Anexa nr. 10  la prezentul Raport de audit.</w:t>
      </w:r>
    </w:p>
    <w:p w14:paraId="7AE82FD8" w14:textId="32923261" w:rsidR="00F77382" w:rsidRPr="00653E85" w:rsidRDefault="00F77382" w:rsidP="00F77382">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În urma analizei exercițiului bugetar încheiat la 31 decembrie 2022, s-a constatat că veniturile executate </w:t>
      </w:r>
      <w:r w:rsidR="0099363D" w:rsidRPr="00653E85">
        <w:rPr>
          <w:rFonts w:asciiTheme="majorHAnsi" w:hAnsiTheme="majorHAnsi" w:cstheme="majorHAnsi"/>
          <w:sz w:val="24"/>
          <w:szCs w:val="24"/>
          <w:lang w:val="ro-MD"/>
        </w:rPr>
        <w:t xml:space="preserve">au constituit suma </w:t>
      </w:r>
      <w:r w:rsidRPr="00653E85">
        <w:rPr>
          <w:rFonts w:asciiTheme="majorHAnsi" w:hAnsiTheme="majorHAnsi" w:cstheme="majorHAnsi"/>
          <w:sz w:val="24"/>
          <w:szCs w:val="24"/>
          <w:lang w:val="ro-MD"/>
        </w:rPr>
        <w:t>de 33 796,07 mil.lei, cu 1,2 la sută</w:t>
      </w:r>
      <w:r w:rsidR="00C27E65"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sau cu 404,5 mil.lei</w:t>
      </w:r>
      <w:r w:rsidR="0091680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mai puțin față de prevederile anuale, iar cheltuielile bugetului asigurărilor sociale de stat au fost executate în sumă de 33 745,3 mil. lei, cu 455,3 mil. lei mai puțin în raport cu prevederile anuale, sau la nivel de 98,7%. Sinteza bugetului asigurărilor sociale de stat pe anul 2022 se prezintă în tabelul ce urmează.</w:t>
      </w:r>
    </w:p>
    <w:p w14:paraId="4B8A2F12" w14:textId="77777777" w:rsidR="00902A0E" w:rsidRPr="00653E85" w:rsidRDefault="00902A0E" w:rsidP="00F77382">
      <w:pPr>
        <w:spacing w:after="0" w:line="276" w:lineRule="auto"/>
        <w:jc w:val="right"/>
        <w:rPr>
          <w:rFonts w:asciiTheme="majorHAnsi" w:hAnsiTheme="majorHAnsi" w:cstheme="majorHAnsi"/>
          <w:b/>
          <w:bCs/>
          <w:sz w:val="24"/>
          <w:szCs w:val="24"/>
          <w:lang w:val="ro-MD"/>
        </w:rPr>
      </w:pPr>
    </w:p>
    <w:p w14:paraId="3880781E" w14:textId="06CD3E85" w:rsidR="00F77382" w:rsidRPr="00653E85" w:rsidRDefault="00F77382" w:rsidP="00F77382">
      <w:pPr>
        <w:spacing w:after="0" w:line="276" w:lineRule="auto"/>
        <w:jc w:val="right"/>
        <w:rPr>
          <w:rFonts w:asciiTheme="majorHAnsi" w:hAnsiTheme="majorHAnsi" w:cstheme="majorHAnsi"/>
          <w:b/>
          <w:bCs/>
          <w:sz w:val="24"/>
          <w:szCs w:val="24"/>
          <w:lang w:val="ro-MD"/>
        </w:rPr>
      </w:pPr>
      <w:r w:rsidRPr="00653E85">
        <w:rPr>
          <w:rFonts w:asciiTheme="majorHAnsi" w:hAnsiTheme="majorHAnsi" w:cstheme="majorHAnsi"/>
          <w:b/>
          <w:bCs/>
          <w:sz w:val="24"/>
          <w:szCs w:val="24"/>
          <w:lang w:val="ro-MD"/>
        </w:rPr>
        <w:t>Tabel</w:t>
      </w:r>
      <w:r w:rsidR="0099363D" w:rsidRPr="00653E85">
        <w:rPr>
          <w:rFonts w:asciiTheme="majorHAnsi" w:hAnsiTheme="majorHAnsi" w:cstheme="majorHAnsi"/>
          <w:b/>
          <w:bCs/>
          <w:sz w:val="24"/>
          <w:szCs w:val="24"/>
          <w:lang w:val="ro-MD"/>
        </w:rPr>
        <w:t>ul</w:t>
      </w:r>
      <w:r w:rsidRPr="00653E85">
        <w:rPr>
          <w:rFonts w:asciiTheme="majorHAnsi" w:hAnsiTheme="majorHAnsi" w:cstheme="majorHAnsi"/>
          <w:b/>
          <w:bCs/>
          <w:sz w:val="24"/>
          <w:szCs w:val="24"/>
          <w:lang w:val="ro-MD"/>
        </w:rPr>
        <w:t xml:space="preserve"> nr. </w:t>
      </w:r>
      <w:r w:rsidR="00CE0E19" w:rsidRPr="00653E85">
        <w:rPr>
          <w:rFonts w:asciiTheme="majorHAnsi" w:hAnsiTheme="majorHAnsi" w:cstheme="majorHAnsi"/>
          <w:b/>
          <w:bCs/>
          <w:sz w:val="24"/>
          <w:szCs w:val="24"/>
          <w:lang w:val="ro-MD"/>
        </w:rPr>
        <w:t>2</w:t>
      </w:r>
    </w:p>
    <w:p w14:paraId="338CDA1C" w14:textId="77777777" w:rsidR="00F77382" w:rsidRPr="00653E85" w:rsidRDefault="00F77382" w:rsidP="00F77382">
      <w:pPr>
        <w:spacing w:after="0" w:line="276" w:lineRule="auto"/>
        <w:jc w:val="center"/>
        <w:rPr>
          <w:rFonts w:asciiTheme="majorHAnsi" w:hAnsiTheme="majorHAnsi" w:cstheme="majorHAnsi"/>
          <w:b/>
          <w:bCs/>
          <w:sz w:val="24"/>
          <w:szCs w:val="24"/>
          <w:lang w:val="ro-MD"/>
        </w:rPr>
      </w:pPr>
      <w:r w:rsidRPr="00653E85">
        <w:rPr>
          <w:rFonts w:asciiTheme="majorHAnsi" w:hAnsiTheme="majorHAnsi" w:cstheme="majorHAnsi"/>
          <w:b/>
          <w:bCs/>
          <w:sz w:val="24"/>
          <w:szCs w:val="24"/>
          <w:lang w:val="ro-MD"/>
        </w:rPr>
        <w:t>Executarea bugetului asigurărilor sociale de stat pe anii 2019-2022</w:t>
      </w:r>
    </w:p>
    <w:tbl>
      <w:tblPr>
        <w:tblStyle w:val="af1"/>
        <w:tblW w:w="5112" w:type="pct"/>
        <w:tblLayout w:type="fixed"/>
        <w:tblLook w:val="04A0" w:firstRow="1" w:lastRow="0" w:firstColumn="1" w:lastColumn="0" w:noHBand="0" w:noVBand="1"/>
      </w:tblPr>
      <w:tblGrid>
        <w:gridCol w:w="1510"/>
        <w:gridCol w:w="921"/>
        <w:gridCol w:w="924"/>
        <w:gridCol w:w="1009"/>
        <w:gridCol w:w="1013"/>
        <w:gridCol w:w="1009"/>
        <w:gridCol w:w="633"/>
        <w:gridCol w:w="10"/>
        <w:gridCol w:w="883"/>
        <w:gridCol w:w="701"/>
        <w:gridCol w:w="10"/>
        <w:gridCol w:w="972"/>
        <w:gridCol w:w="654"/>
      </w:tblGrid>
      <w:tr w:rsidR="00F77382" w:rsidRPr="00B7675F" w14:paraId="3673E163" w14:textId="77777777" w:rsidTr="00142BEE">
        <w:trPr>
          <w:trHeight w:val="646"/>
        </w:trPr>
        <w:tc>
          <w:tcPr>
            <w:tcW w:w="736" w:type="pct"/>
            <w:vMerge w:val="restart"/>
            <w:noWrap/>
            <w:hideMark/>
          </w:tcPr>
          <w:p w14:paraId="3D983B64"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Denumire</w:t>
            </w:r>
          </w:p>
        </w:tc>
        <w:tc>
          <w:tcPr>
            <w:tcW w:w="449" w:type="pct"/>
            <w:vMerge w:val="restart"/>
            <w:hideMark/>
          </w:tcPr>
          <w:p w14:paraId="142B2F4B" w14:textId="12127202"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Executat</w:t>
            </w:r>
            <w:r w:rsidR="0099363D" w:rsidRPr="00653E85">
              <w:rPr>
                <w:rFonts w:asciiTheme="majorHAnsi" w:eastAsia="Times New Roman" w:hAnsiTheme="majorHAnsi" w:cstheme="majorHAnsi"/>
                <w:b/>
                <w:bCs/>
                <w:color w:val="000000"/>
                <w:sz w:val="18"/>
                <w:szCs w:val="16"/>
                <w:lang w:val="ro-MD"/>
              </w:rPr>
              <w:t>,</w:t>
            </w:r>
            <w:r w:rsidRPr="00653E85">
              <w:rPr>
                <w:rFonts w:asciiTheme="majorHAnsi" w:eastAsia="Times New Roman" w:hAnsiTheme="majorHAnsi" w:cstheme="majorHAnsi"/>
                <w:b/>
                <w:bCs/>
                <w:color w:val="000000"/>
                <w:sz w:val="18"/>
                <w:szCs w:val="16"/>
                <w:lang w:val="ro-MD"/>
              </w:rPr>
              <w:t xml:space="preserve"> anul 2020</w:t>
            </w:r>
          </w:p>
        </w:tc>
        <w:tc>
          <w:tcPr>
            <w:tcW w:w="451" w:type="pct"/>
            <w:vMerge w:val="restart"/>
            <w:hideMark/>
          </w:tcPr>
          <w:p w14:paraId="57C1FA0E" w14:textId="09F9480E"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Executat</w:t>
            </w:r>
            <w:r w:rsidR="0099363D" w:rsidRPr="00653E85">
              <w:rPr>
                <w:rFonts w:asciiTheme="majorHAnsi" w:eastAsia="Times New Roman" w:hAnsiTheme="majorHAnsi" w:cstheme="majorHAnsi"/>
                <w:b/>
                <w:bCs/>
                <w:color w:val="000000"/>
                <w:sz w:val="18"/>
                <w:szCs w:val="16"/>
                <w:lang w:val="ro-MD"/>
              </w:rPr>
              <w:t>,</w:t>
            </w:r>
            <w:r w:rsidRPr="00653E85">
              <w:rPr>
                <w:rFonts w:asciiTheme="majorHAnsi" w:eastAsia="Times New Roman" w:hAnsiTheme="majorHAnsi" w:cstheme="majorHAnsi"/>
                <w:b/>
                <w:bCs/>
                <w:color w:val="000000"/>
                <w:sz w:val="18"/>
                <w:szCs w:val="16"/>
                <w:lang w:val="ro-MD"/>
              </w:rPr>
              <w:t xml:space="preserve"> anul 2021</w:t>
            </w:r>
          </w:p>
        </w:tc>
        <w:tc>
          <w:tcPr>
            <w:tcW w:w="492" w:type="pct"/>
            <w:vMerge w:val="restart"/>
            <w:hideMark/>
          </w:tcPr>
          <w:p w14:paraId="47A2D290" w14:textId="4EEF028E"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Executat</w:t>
            </w:r>
            <w:r w:rsidR="0099363D" w:rsidRPr="00653E85">
              <w:rPr>
                <w:rFonts w:asciiTheme="majorHAnsi" w:eastAsia="Times New Roman" w:hAnsiTheme="majorHAnsi" w:cstheme="majorHAnsi"/>
                <w:b/>
                <w:bCs/>
                <w:color w:val="000000"/>
                <w:sz w:val="18"/>
                <w:szCs w:val="16"/>
                <w:lang w:val="ro-MD"/>
              </w:rPr>
              <w:t>,</w:t>
            </w:r>
            <w:r w:rsidRPr="00653E85">
              <w:rPr>
                <w:rFonts w:asciiTheme="majorHAnsi" w:eastAsia="Times New Roman" w:hAnsiTheme="majorHAnsi" w:cstheme="majorHAnsi"/>
                <w:b/>
                <w:bCs/>
                <w:color w:val="000000"/>
                <w:sz w:val="18"/>
                <w:szCs w:val="16"/>
                <w:lang w:val="ro-MD"/>
              </w:rPr>
              <w:t xml:space="preserve"> anul 2022</w:t>
            </w:r>
          </w:p>
        </w:tc>
        <w:tc>
          <w:tcPr>
            <w:tcW w:w="494" w:type="pct"/>
            <w:vMerge w:val="restart"/>
            <w:hideMark/>
          </w:tcPr>
          <w:p w14:paraId="4C74B23B" w14:textId="09B8416A"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Precizat</w:t>
            </w:r>
            <w:r w:rsidR="0099363D" w:rsidRPr="00653E85">
              <w:rPr>
                <w:rFonts w:asciiTheme="majorHAnsi" w:eastAsia="Times New Roman" w:hAnsiTheme="majorHAnsi" w:cstheme="majorHAnsi"/>
                <w:b/>
                <w:bCs/>
                <w:color w:val="000000"/>
                <w:sz w:val="18"/>
                <w:szCs w:val="16"/>
                <w:lang w:val="ro-MD"/>
              </w:rPr>
              <w:t>,</w:t>
            </w:r>
            <w:r w:rsidRPr="00653E85">
              <w:rPr>
                <w:rFonts w:asciiTheme="majorHAnsi" w:eastAsia="Times New Roman" w:hAnsiTheme="majorHAnsi" w:cstheme="majorHAnsi"/>
                <w:b/>
                <w:bCs/>
                <w:color w:val="000000"/>
                <w:sz w:val="18"/>
                <w:szCs w:val="16"/>
                <w:lang w:val="ro-MD"/>
              </w:rPr>
              <w:t xml:space="preserve"> anul 2022</w:t>
            </w:r>
          </w:p>
        </w:tc>
        <w:tc>
          <w:tcPr>
            <w:tcW w:w="806" w:type="pct"/>
            <w:gridSpan w:val="3"/>
            <w:hideMark/>
          </w:tcPr>
          <w:p w14:paraId="33E66C0F"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Executat anul 2022 față de precizat</w:t>
            </w:r>
          </w:p>
        </w:tc>
        <w:tc>
          <w:tcPr>
            <w:tcW w:w="778" w:type="pct"/>
            <w:gridSpan w:val="3"/>
            <w:hideMark/>
          </w:tcPr>
          <w:p w14:paraId="29CC4122"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Executat anul 2022 față de anul 2021</w:t>
            </w:r>
          </w:p>
        </w:tc>
        <w:tc>
          <w:tcPr>
            <w:tcW w:w="793" w:type="pct"/>
            <w:gridSpan w:val="2"/>
            <w:hideMark/>
          </w:tcPr>
          <w:p w14:paraId="1BEB8C59"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Executat anul 2022 față de anul 2020</w:t>
            </w:r>
          </w:p>
        </w:tc>
      </w:tr>
      <w:tr w:rsidR="00F77382" w:rsidRPr="00B7675F" w14:paraId="6E43FABE" w14:textId="77777777" w:rsidTr="00142BEE">
        <w:trPr>
          <w:trHeight w:val="227"/>
        </w:trPr>
        <w:tc>
          <w:tcPr>
            <w:tcW w:w="736" w:type="pct"/>
            <w:vMerge/>
            <w:hideMark/>
          </w:tcPr>
          <w:p w14:paraId="169A6F81" w14:textId="77777777" w:rsidR="00F77382" w:rsidRPr="00653E85" w:rsidRDefault="00F77382" w:rsidP="000F6BFE">
            <w:pPr>
              <w:rPr>
                <w:rFonts w:asciiTheme="majorHAnsi" w:eastAsia="Times New Roman" w:hAnsiTheme="majorHAnsi" w:cstheme="majorHAnsi"/>
                <w:b/>
                <w:bCs/>
                <w:color w:val="000000"/>
                <w:sz w:val="18"/>
                <w:szCs w:val="16"/>
                <w:lang w:val="ro-MD"/>
              </w:rPr>
            </w:pPr>
          </w:p>
        </w:tc>
        <w:tc>
          <w:tcPr>
            <w:tcW w:w="449" w:type="pct"/>
            <w:vMerge/>
            <w:hideMark/>
          </w:tcPr>
          <w:p w14:paraId="3DB467DA" w14:textId="77777777" w:rsidR="00F77382" w:rsidRPr="00653E85" w:rsidRDefault="00F77382" w:rsidP="000F6BFE">
            <w:pPr>
              <w:rPr>
                <w:rFonts w:asciiTheme="majorHAnsi" w:eastAsia="Times New Roman" w:hAnsiTheme="majorHAnsi" w:cstheme="majorHAnsi"/>
                <w:b/>
                <w:bCs/>
                <w:color w:val="000000"/>
                <w:sz w:val="18"/>
                <w:szCs w:val="16"/>
                <w:lang w:val="ro-MD"/>
              </w:rPr>
            </w:pPr>
          </w:p>
        </w:tc>
        <w:tc>
          <w:tcPr>
            <w:tcW w:w="451" w:type="pct"/>
            <w:vMerge/>
            <w:hideMark/>
          </w:tcPr>
          <w:p w14:paraId="4D00F4AE" w14:textId="77777777" w:rsidR="00F77382" w:rsidRPr="00653E85" w:rsidRDefault="00F77382" w:rsidP="000F6BFE">
            <w:pPr>
              <w:rPr>
                <w:rFonts w:asciiTheme="majorHAnsi" w:eastAsia="Times New Roman" w:hAnsiTheme="majorHAnsi" w:cstheme="majorHAnsi"/>
                <w:b/>
                <w:bCs/>
                <w:color w:val="000000"/>
                <w:sz w:val="18"/>
                <w:szCs w:val="16"/>
                <w:lang w:val="ro-MD"/>
              </w:rPr>
            </w:pPr>
          </w:p>
        </w:tc>
        <w:tc>
          <w:tcPr>
            <w:tcW w:w="492" w:type="pct"/>
            <w:vMerge/>
            <w:hideMark/>
          </w:tcPr>
          <w:p w14:paraId="38B792ED" w14:textId="77777777" w:rsidR="00F77382" w:rsidRPr="00653E85" w:rsidRDefault="00F77382" w:rsidP="000F6BFE">
            <w:pPr>
              <w:rPr>
                <w:rFonts w:asciiTheme="majorHAnsi" w:eastAsia="Times New Roman" w:hAnsiTheme="majorHAnsi" w:cstheme="majorHAnsi"/>
                <w:b/>
                <w:bCs/>
                <w:color w:val="000000"/>
                <w:sz w:val="18"/>
                <w:szCs w:val="16"/>
                <w:lang w:val="ro-MD"/>
              </w:rPr>
            </w:pPr>
          </w:p>
        </w:tc>
        <w:tc>
          <w:tcPr>
            <w:tcW w:w="494" w:type="pct"/>
            <w:vMerge/>
            <w:hideMark/>
          </w:tcPr>
          <w:p w14:paraId="758C4E29" w14:textId="77777777" w:rsidR="00F77382" w:rsidRPr="00653E85" w:rsidRDefault="00F77382" w:rsidP="000F6BFE">
            <w:pPr>
              <w:rPr>
                <w:rFonts w:asciiTheme="majorHAnsi" w:eastAsia="Times New Roman" w:hAnsiTheme="majorHAnsi" w:cstheme="majorHAnsi"/>
                <w:b/>
                <w:bCs/>
                <w:color w:val="000000"/>
                <w:sz w:val="18"/>
                <w:szCs w:val="16"/>
                <w:lang w:val="ro-MD"/>
              </w:rPr>
            </w:pPr>
          </w:p>
        </w:tc>
        <w:tc>
          <w:tcPr>
            <w:tcW w:w="492" w:type="pct"/>
            <w:noWrap/>
            <w:hideMark/>
          </w:tcPr>
          <w:p w14:paraId="229F6059"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devieri (+/-)</w:t>
            </w:r>
          </w:p>
        </w:tc>
        <w:tc>
          <w:tcPr>
            <w:tcW w:w="309" w:type="pct"/>
            <w:noWrap/>
            <w:hideMark/>
          </w:tcPr>
          <w:p w14:paraId="57400E12"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în %</w:t>
            </w:r>
          </w:p>
        </w:tc>
        <w:tc>
          <w:tcPr>
            <w:tcW w:w="436" w:type="pct"/>
            <w:gridSpan w:val="2"/>
            <w:noWrap/>
            <w:hideMark/>
          </w:tcPr>
          <w:p w14:paraId="4F68BD47"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devieri (+/-)</w:t>
            </w:r>
          </w:p>
        </w:tc>
        <w:tc>
          <w:tcPr>
            <w:tcW w:w="342" w:type="pct"/>
            <w:noWrap/>
            <w:hideMark/>
          </w:tcPr>
          <w:p w14:paraId="0032267D"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în %</w:t>
            </w:r>
          </w:p>
        </w:tc>
        <w:tc>
          <w:tcPr>
            <w:tcW w:w="479" w:type="pct"/>
            <w:gridSpan w:val="2"/>
            <w:noWrap/>
            <w:hideMark/>
          </w:tcPr>
          <w:p w14:paraId="1EFB26C9"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devieri (+/-)</w:t>
            </w:r>
          </w:p>
        </w:tc>
        <w:tc>
          <w:tcPr>
            <w:tcW w:w="319" w:type="pct"/>
            <w:noWrap/>
            <w:hideMark/>
          </w:tcPr>
          <w:p w14:paraId="240BA84B" w14:textId="77777777" w:rsidR="00F77382" w:rsidRPr="00653E85" w:rsidRDefault="00F77382" w:rsidP="000F6BFE">
            <w:pPr>
              <w:jc w:val="center"/>
              <w:rPr>
                <w:rFonts w:asciiTheme="majorHAnsi" w:eastAsia="Times New Roman" w:hAnsiTheme="majorHAnsi" w:cstheme="majorHAnsi"/>
                <w:b/>
                <w:bCs/>
                <w:color w:val="000000"/>
                <w:sz w:val="18"/>
                <w:szCs w:val="16"/>
                <w:lang w:val="ro-MD"/>
              </w:rPr>
            </w:pPr>
            <w:r w:rsidRPr="00653E85">
              <w:rPr>
                <w:rFonts w:asciiTheme="majorHAnsi" w:eastAsia="Times New Roman" w:hAnsiTheme="majorHAnsi" w:cstheme="majorHAnsi"/>
                <w:b/>
                <w:bCs/>
                <w:color w:val="000000"/>
                <w:sz w:val="18"/>
                <w:szCs w:val="16"/>
                <w:lang w:val="ro-MD"/>
              </w:rPr>
              <w:t>în %</w:t>
            </w:r>
          </w:p>
        </w:tc>
      </w:tr>
      <w:tr w:rsidR="00F77382" w:rsidRPr="00B7675F" w14:paraId="000B89ED" w14:textId="77777777" w:rsidTr="00142BEE">
        <w:trPr>
          <w:trHeight w:val="227"/>
        </w:trPr>
        <w:tc>
          <w:tcPr>
            <w:tcW w:w="736" w:type="pct"/>
            <w:noWrap/>
            <w:hideMark/>
          </w:tcPr>
          <w:p w14:paraId="40F73F63" w14:textId="77777777" w:rsidR="00F77382" w:rsidRPr="00653E85" w:rsidRDefault="00F77382" w:rsidP="000F6BFE">
            <w:pPr>
              <w:rPr>
                <w:rFonts w:asciiTheme="majorHAnsi" w:eastAsia="Times New Roman" w:hAnsiTheme="majorHAnsi" w:cstheme="majorHAnsi"/>
                <w:color w:val="000000"/>
                <w:sz w:val="18"/>
                <w:szCs w:val="16"/>
                <w:lang w:val="ro-MD"/>
              </w:rPr>
            </w:pPr>
            <w:r w:rsidRPr="00653E85">
              <w:rPr>
                <w:rFonts w:asciiTheme="majorHAnsi" w:eastAsia="Times New Roman" w:hAnsiTheme="majorHAnsi" w:cstheme="majorHAnsi"/>
                <w:color w:val="000000"/>
                <w:sz w:val="18"/>
                <w:szCs w:val="16"/>
                <w:lang w:val="ro-MD"/>
              </w:rPr>
              <w:t>Venituri mil.lei</w:t>
            </w:r>
          </w:p>
        </w:tc>
        <w:tc>
          <w:tcPr>
            <w:tcW w:w="449" w:type="pct"/>
            <w:noWrap/>
            <w:hideMark/>
          </w:tcPr>
          <w:p w14:paraId="68479640"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24285.5</w:t>
            </w:r>
          </w:p>
        </w:tc>
        <w:tc>
          <w:tcPr>
            <w:tcW w:w="451" w:type="pct"/>
            <w:noWrap/>
            <w:hideMark/>
          </w:tcPr>
          <w:p w14:paraId="1D5BF490" w14:textId="0B163526" w:rsidR="00F77382" w:rsidRPr="00653E85" w:rsidRDefault="007E2C1C"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27242.8</w:t>
            </w:r>
          </w:p>
        </w:tc>
        <w:tc>
          <w:tcPr>
            <w:tcW w:w="492" w:type="pct"/>
            <w:noWrap/>
            <w:hideMark/>
          </w:tcPr>
          <w:p w14:paraId="6BC1ED96" w14:textId="6AC5C05C" w:rsidR="00F77382" w:rsidRPr="00653E85" w:rsidRDefault="00F77382" w:rsidP="007E2C1C">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33796.</w:t>
            </w:r>
            <w:r w:rsidR="007E2C1C" w:rsidRPr="00653E85">
              <w:rPr>
                <w:rFonts w:asciiTheme="majorHAnsi" w:eastAsia="Times New Roman" w:hAnsiTheme="majorHAnsi" w:cstheme="majorHAnsi"/>
                <w:color w:val="000000"/>
                <w:sz w:val="18"/>
                <w:szCs w:val="14"/>
                <w:lang w:val="ro-MD"/>
              </w:rPr>
              <w:t>1</w:t>
            </w:r>
          </w:p>
        </w:tc>
        <w:tc>
          <w:tcPr>
            <w:tcW w:w="494" w:type="pct"/>
            <w:noWrap/>
            <w:hideMark/>
          </w:tcPr>
          <w:p w14:paraId="09C472F4"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34200.6</w:t>
            </w:r>
          </w:p>
        </w:tc>
        <w:tc>
          <w:tcPr>
            <w:tcW w:w="492" w:type="pct"/>
            <w:noWrap/>
            <w:hideMark/>
          </w:tcPr>
          <w:p w14:paraId="507ABE00" w14:textId="03592CB7" w:rsidR="00F77382" w:rsidRPr="00653E85" w:rsidRDefault="007E2C1C"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-404.5</w:t>
            </w:r>
          </w:p>
        </w:tc>
        <w:tc>
          <w:tcPr>
            <w:tcW w:w="309" w:type="pct"/>
            <w:noWrap/>
            <w:hideMark/>
          </w:tcPr>
          <w:p w14:paraId="0FD7EB28"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98.8</w:t>
            </w:r>
          </w:p>
        </w:tc>
        <w:tc>
          <w:tcPr>
            <w:tcW w:w="436" w:type="pct"/>
            <w:gridSpan w:val="2"/>
            <w:noWrap/>
            <w:hideMark/>
          </w:tcPr>
          <w:p w14:paraId="6965193F"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6167.1</w:t>
            </w:r>
          </w:p>
        </w:tc>
        <w:tc>
          <w:tcPr>
            <w:tcW w:w="342" w:type="pct"/>
            <w:noWrap/>
            <w:hideMark/>
          </w:tcPr>
          <w:p w14:paraId="66867D2C"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122.3</w:t>
            </w:r>
          </w:p>
        </w:tc>
        <w:tc>
          <w:tcPr>
            <w:tcW w:w="479" w:type="pct"/>
            <w:gridSpan w:val="2"/>
            <w:noWrap/>
            <w:hideMark/>
          </w:tcPr>
          <w:p w14:paraId="507CE16B" w14:textId="356EA0D9" w:rsidR="00F77382" w:rsidRPr="00653E85" w:rsidRDefault="00F77382" w:rsidP="007E2C1C">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9510.</w:t>
            </w:r>
            <w:r w:rsidR="007E2C1C" w:rsidRPr="00653E85">
              <w:rPr>
                <w:rFonts w:asciiTheme="majorHAnsi" w:eastAsia="Times New Roman" w:hAnsiTheme="majorHAnsi" w:cstheme="majorHAnsi"/>
                <w:color w:val="000000"/>
                <w:sz w:val="18"/>
                <w:szCs w:val="14"/>
                <w:lang w:val="ro-MD"/>
              </w:rPr>
              <w:t>6</w:t>
            </w:r>
          </w:p>
        </w:tc>
        <w:tc>
          <w:tcPr>
            <w:tcW w:w="319" w:type="pct"/>
            <w:noWrap/>
            <w:hideMark/>
          </w:tcPr>
          <w:p w14:paraId="61E096F1"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139.2</w:t>
            </w:r>
          </w:p>
        </w:tc>
      </w:tr>
      <w:tr w:rsidR="00F77382" w:rsidRPr="00B7675F" w14:paraId="5DE4911A" w14:textId="77777777" w:rsidTr="00142BEE">
        <w:trPr>
          <w:trHeight w:val="227"/>
        </w:trPr>
        <w:tc>
          <w:tcPr>
            <w:tcW w:w="736" w:type="pct"/>
            <w:noWrap/>
            <w:hideMark/>
          </w:tcPr>
          <w:p w14:paraId="55B6EB90" w14:textId="77777777" w:rsidR="00F77382" w:rsidRPr="00653E85" w:rsidRDefault="00F77382" w:rsidP="000F6BFE">
            <w:pPr>
              <w:rPr>
                <w:rFonts w:asciiTheme="majorHAnsi" w:eastAsia="Times New Roman" w:hAnsiTheme="majorHAnsi" w:cstheme="majorHAnsi"/>
                <w:color w:val="000000"/>
                <w:sz w:val="18"/>
                <w:szCs w:val="16"/>
                <w:lang w:val="ro-MD"/>
              </w:rPr>
            </w:pPr>
            <w:r w:rsidRPr="00653E85">
              <w:rPr>
                <w:rFonts w:asciiTheme="majorHAnsi" w:eastAsia="Times New Roman" w:hAnsiTheme="majorHAnsi" w:cstheme="majorHAnsi"/>
                <w:color w:val="000000"/>
                <w:sz w:val="18"/>
                <w:szCs w:val="16"/>
                <w:lang w:val="ro-MD"/>
              </w:rPr>
              <w:t>Cheltuieli mil.lei</w:t>
            </w:r>
          </w:p>
        </w:tc>
        <w:tc>
          <w:tcPr>
            <w:tcW w:w="449" w:type="pct"/>
            <w:noWrap/>
            <w:hideMark/>
          </w:tcPr>
          <w:p w14:paraId="6577E26E"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24244.3</w:t>
            </w:r>
          </w:p>
        </w:tc>
        <w:tc>
          <w:tcPr>
            <w:tcW w:w="451" w:type="pct"/>
            <w:noWrap/>
            <w:hideMark/>
          </w:tcPr>
          <w:p w14:paraId="43368BC0"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27629.0</w:t>
            </w:r>
          </w:p>
        </w:tc>
        <w:tc>
          <w:tcPr>
            <w:tcW w:w="492" w:type="pct"/>
            <w:noWrap/>
            <w:hideMark/>
          </w:tcPr>
          <w:p w14:paraId="1E9C0CE9"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33745.3</w:t>
            </w:r>
          </w:p>
        </w:tc>
        <w:tc>
          <w:tcPr>
            <w:tcW w:w="494" w:type="pct"/>
            <w:noWrap/>
            <w:hideMark/>
          </w:tcPr>
          <w:p w14:paraId="63A7F70C"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34200.6</w:t>
            </w:r>
          </w:p>
        </w:tc>
        <w:tc>
          <w:tcPr>
            <w:tcW w:w="492" w:type="pct"/>
            <w:noWrap/>
            <w:hideMark/>
          </w:tcPr>
          <w:p w14:paraId="3DBD6E3D"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-67945.9</w:t>
            </w:r>
          </w:p>
        </w:tc>
        <w:tc>
          <w:tcPr>
            <w:tcW w:w="309" w:type="pct"/>
            <w:noWrap/>
            <w:hideMark/>
          </w:tcPr>
          <w:p w14:paraId="273ADCB3"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98.7</w:t>
            </w:r>
          </w:p>
        </w:tc>
        <w:tc>
          <w:tcPr>
            <w:tcW w:w="436" w:type="pct"/>
            <w:gridSpan w:val="2"/>
            <w:noWrap/>
            <w:hideMark/>
          </w:tcPr>
          <w:p w14:paraId="18317DE5"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6116.3</w:t>
            </w:r>
          </w:p>
        </w:tc>
        <w:tc>
          <w:tcPr>
            <w:tcW w:w="342" w:type="pct"/>
            <w:noWrap/>
            <w:hideMark/>
          </w:tcPr>
          <w:p w14:paraId="3DB77CE1"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122.1</w:t>
            </w:r>
          </w:p>
        </w:tc>
        <w:tc>
          <w:tcPr>
            <w:tcW w:w="479" w:type="pct"/>
            <w:gridSpan w:val="2"/>
            <w:noWrap/>
            <w:hideMark/>
          </w:tcPr>
          <w:p w14:paraId="433E908A"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9501</w:t>
            </w:r>
          </w:p>
        </w:tc>
        <w:tc>
          <w:tcPr>
            <w:tcW w:w="319" w:type="pct"/>
            <w:noWrap/>
            <w:hideMark/>
          </w:tcPr>
          <w:p w14:paraId="523BDEF0" w14:textId="77777777" w:rsidR="00F77382" w:rsidRPr="00653E85" w:rsidRDefault="00F77382" w:rsidP="000F6BFE">
            <w:pPr>
              <w:jc w:val="right"/>
              <w:rPr>
                <w:rFonts w:asciiTheme="majorHAnsi" w:eastAsia="Times New Roman" w:hAnsiTheme="majorHAnsi" w:cstheme="majorHAnsi"/>
                <w:color w:val="000000"/>
                <w:sz w:val="18"/>
                <w:szCs w:val="14"/>
                <w:lang w:val="ro-MD"/>
              </w:rPr>
            </w:pPr>
            <w:r w:rsidRPr="00653E85">
              <w:rPr>
                <w:rFonts w:asciiTheme="majorHAnsi" w:eastAsia="Times New Roman" w:hAnsiTheme="majorHAnsi" w:cstheme="majorHAnsi"/>
                <w:color w:val="000000"/>
                <w:sz w:val="18"/>
                <w:szCs w:val="14"/>
                <w:lang w:val="ro-MD"/>
              </w:rPr>
              <w:t>139.2</w:t>
            </w:r>
          </w:p>
        </w:tc>
      </w:tr>
    </w:tbl>
    <w:p w14:paraId="249F6C36" w14:textId="77777777" w:rsidR="00F77382" w:rsidRPr="00653E85" w:rsidRDefault="00F77382" w:rsidP="00F77382">
      <w:pPr>
        <w:spacing w:after="0" w:line="276" w:lineRule="auto"/>
        <w:jc w:val="both"/>
        <w:rPr>
          <w:rFonts w:asciiTheme="majorHAnsi" w:hAnsiTheme="majorHAnsi" w:cstheme="majorHAnsi"/>
          <w:szCs w:val="24"/>
          <w:lang w:val="ro-MD"/>
        </w:rPr>
      </w:pPr>
      <w:r w:rsidRPr="00653E85">
        <w:rPr>
          <w:rFonts w:asciiTheme="majorHAnsi" w:hAnsiTheme="majorHAnsi" w:cstheme="majorHAnsi"/>
          <w:b/>
          <w:bCs/>
          <w:i/>
          <w:iCs/>
          <w:szCs w:val="24"/>
          <w:lang w:val="ro-MD"/>
        </w:rPr>
        <w:t>Sursa</w:t>
      </w:r>
      <w:r w:rsidRPr="00653E85">
        <w:rPr>
          <w:rFonts w:asciiTheme="majorHAnsi" w:hAnsiTheme="majorHAnsi" w:cstheme="majorHAnsi"/>
          <w:szCs w:val="24"/>
          <w:lang w:val="ro-MD"/>
        </w:rPr>
        <w:t xml:space="preserve">: </w:t>
      </w:r>
      <w:r w:rsidRPr="00653E85">
        <w:rPr>
          <w:rFonts w:asciiTheme="majorHAnsi" w:hAnsiTheme="majorHAnsi" w:cstheme="majorHAnsi"/>
          <w:i/>
          <w:iCs/>
          <w:szCs w:val="24"/>
          <w:lang w:val="ro-MD"/>
        </w:rPr>
        <w:t>Raportul privind executarea bugetului asigurărilor sociale de stat la situația de 1 ianuarie 2023 (Formularul nr.1 CNAS).</w:t>
      </w:r>
    </w:p>
    <w:p w14:paraId="58CE5791" w14:textId="24F7B4A4" w:rsidR="00F77382" w:rsidRPr="00653E85" w:rsidRDefault="00F77382" w:rsidP="00F77382">
      <w:pPr>
        <w:spacing w:after="0" w:line="276" w:lineRule="auto"/>
        <w:jc w:val="both"/>
        <w:rPr>
          <w:rFonts w:asciiTheme="majorHAnsi" w:eastAsia="Times New Roman" w:hAnsiTheme="majorHAnsi" w:cstheme="majorHAnsi"/>
          <w:color w:val="000000"/>
          <w:sz w:val="24"/>
          <w:szCs w:val="24"/>
          <w:lang w:val="ro-MD"/>
        </w:rPr>
      </w:pPr>
      <w:r w:rsidRPr="00653E85">
        <w:rPr>
          <w:rFonts w:asciiTheme="majorHAnsi" w:hAnsiTheme="majorHAnsi" w:cstheme="majorHAnsi"/>
          <w:sz w:val="24"/>
          <w:szCs w:val="24"/>
          <w:lang w:val="ro-MD"/>
        </w:rPr>
        <w:t xml:space="preserve">În aceste condiții, exercițiul bugetar s-a soldat cu un excedent de 50,8 mil.lei, iar </w:t>
      </w:r>
      <w:r w:rsidRPr="00653E85">
        <w:rPr>
          <w:rFonts w:asciiTheme="majorHAnsi" w:eastAsia="Times New Roman" w:hAnsiTheme="majorHAnsi" w:cstheme="majorHAnsi"/>
          <w:color w:val="000000"/>
          <w:sz w:val="24"/>
          <w:szCs w:val="24"/>
          <w:lang w:val="ro-MD"/>
        </w:rPr>
        <w:t>soldul de mijloace bănești la sfârșitul perioadei a constituit 51,2 mil. lei (Anexa nr.12).</w:t>
      </w:r>
    </w:p>
    <w:p w14:paraId="4DD9AB5A" w14:textId="77777777" w:rsidR="00F77382" w:rsidRPr="00653E85" w:rsidRDefault="00F77382" w:rsidP="00F77382">
      <w:pPr>
        <w:spacing w:after="0" w:line="276" w:lineRule="auto"/>
        <w:jc w:val="both"/>
        <w:rPr>
          <w:rFonts w:asciiTheme="majorHAnsi" w:eastAsia="Times New Roman" w:hAnsiTheme="majorHAnsi" w:cstheme="majorHAnsi"/>
          <w:color w:val="000000"/>
          <w:sz w:val="24"/>
          <w:szCs w:val="24"/>
          <w:lang w:val="ro-MD"/>
        </w:rPr>
      </w:pPr>
    </w:p>
    <w:p w14:paraId="3353D8A2" w14:textId="6C7ED56B" w:rsidR="00B75D57" w:rsidRPr="00653E85" w:rsidRDefault="00B75D57" w:rsidP="00437B23">
      <w:pPr>
        <w:pStyle w:val="1"/>
        <w:numPr>
          <w:ilvl w:val="0"/>
          <w:numId w:val="2"/>
        </w:numPr>
        <w:tabs>
          <w:tab w:val="left" w:pos="709"/>
        </w:tabs>
        <w:spacing w:before="120" w:after="120"/>
        <w:ind w:left="0" w:firstLine="0"/>
        <w:jc w:val="left"/>
        <w:rPr>
          <w:rFonts w:asciiTheme="majorHAnsi" w:hAnsiTheme="majorHAnsi" w:cstheme="majorHAnsi"/>
          <w:sz w:val="28"/>
          <w:szCs w:val="28"/>
        </w:rPr>
      </w:pPr>
      <w:r w:rsidRPr="00653E85">
        <w:rPr>
          <w:rFonts w:asciiTheme="majorHAnsi" w:hAnsiTheme="majorHAnsi" w:cstheme="majorHAnsi"/>
          <w:sz w:val="28"/>
          <w:szCs w:val="28"/>
        </w:rPr>
        <w:t>ASPECTE-CHEIE DE AUDIT</w:t>
      </w:r>
      <w:bookmarkEnd w:id="3"/>
    </w:p>
    <w:p w14:paraId="3A80AC5B" w14:textId="51C3EED6" w:rsidR="00DC7C79" w:rsidRPr="00653E85" w:rsidRDefault="00B75D57" w:rsidP="00F77382">
      <w:pPr>
        <w:jc w:val="both"/>
        <w:rPr>
          <w:rFonts w:asciiTheme="majorHAnsi" w:eastAsia="Calibri" w:hAnsiTheme="majorHAnsi" w:cstheme="majorHAnsi"/>
          <w:sz w:val="24"/>
          <w:szCs w:val="24"/>
          <w:lang w:val="ro-MD"/>
        </w:rPr>
      </w:pPr>
      <w:r w:rsidRPr="00653E85">
        <w:rPr>
          <w:rFonts w:asciiTheme="majorHAnsi" w:eastAsia="Calibri" w:hAnsiTheme="majorHAnsi" w:cstheme="majorHAnsi"/>
          <w:sz w:val="24"/>
          <w:szCs w:val="24"/>
          <w:lang w:val="ro-MD"/>
        </w:rPr>
        <w:t>Aspectele-cheie de audit sunt acele aspecte care, în baza raționamentului nostru profesional, au avut cea mai mare importanță pentru auditul financiar al Raportului Guvernului privind executarea BASS în anul 202</w:t>
      </w:r>
      <w:r w:rsidR="00DC7C79" w:rsidRPr="00653E85">
        <w:rPr>
          <w:rFonts w:asciiTheme="majorHAnsi" w:eastAsia="Calibri" w:hAnsiTheme="majorHAnsi" w:cstheme="majorHAnsi"/>
          <w:sz w:val="24"/>
          <w:szCs w:val="24"/>
          <w:lang w:val="ro-MD"/>
        </w:rPr>
        <w:t>2</w:t>
      </w:r>
      <w:r w:rsidRPr="00653E85">
        <w:rPr>
          <w:rFonts w:asciiTheme="majorHAnsi" w:eastAsia="Calibri" w:hAnsiTheme="majorHAnsi" w:cstheme="majorHAnsi"/>
          <w:sz w:val="24"/>
          <w:szCs w:val="24"/>
          <w:lang w:val="ro-MD"/>
        </w:rPr>
        <w:t>. Aceste aspecte au fost abordate în contextul auditului situațiilor financiare în ansamblu şi în formarea opiniei asupra acestora și nu oferim o opinie separată cu privire la aceste aspecte. Considerăm că aspectele descrise mai jos, deși nu au influențat opinia de audit, reprezintă aspectele-cheie de audit care trebuie comunicate în Raportul nostru</w:t>
      </w:r>
      <w:r w:rsidR="00ED3A72" w:rsidRPr="00653E85">
        <w:rPr>
          <w:rFonts w:asciiTheme="majorHAnsi" w:eastAsia="Calibri" w:hAnsiTheme="majorHAnsi" w:cstheme="majorHAnsi"/>
          <w:sz w:val="24"/>
          <w:szCs w:val="24"/>
          <w:lang w:val="ro-MD"/>
        </w:rPr>
        <w:t>.</w:t>
      </w:r>
    </w:p>
    <w:p w14:paraId="69980CCE" w14:textId="459437BB" w:rsidR="005E7DC9" w:rsidRPr="00B7675F" w:rsidRDefault="005E7DC9" w:rsidP="0068377C">
      <w:pPr>
        <w:pStyle w:val="aa"/>
        <w:numPr>
          <w:ilvl w:val="1"/>
          <w:numId w:val="2"/>
        </w:numPr>
        <w:spacing w:after="0" w:line="276" w:lineRule="auto"/>
        <w:ind w:left="0" w:firstLine="0"/>
        <w:jc w:val="both"/>
        <w:outlineLvl w:val="1"/>
        <w:rPr>
          <w:rFonts w:asciiTheme="majorHAnsi" w:eastAsia="Times New Roman" w:hAnsiTheme="majorHAnsi" w:cstheme="majorHAnsi"/>
          <w:b/>
          <w:sz w:val="24"/>
          <w:szCs w:val="24"/>
          <w:lang w:val="ro-MD"/>
        </w:rPr>
      </w:pPr>
      <w:r w:rsidRPr="00B7675F">
        <w:rPr>
          <w:rFonts w:asciiTheme="majorHAnsi" w:eastAsia="Times New Roman" w:hAnsiTheme="majorHAnsi" w:cstheme="majorHAnsi"/>
          <w:b/>
          <w:sz w:val="24"/>
          <w:szCs w:val="24"/>
          <w:lang w:val="ro-MD"/>
        </w:rPr>
        <w:t>Nivelul veniturilor la bugetul asigurărilor sociale de stat este în creștere constantă, inclusiv  transferurile primite de la bugetul de stat</w:t>
      </w:r>
      <w:r w:rsidR="0099363D" w:rsidRPr="0038225D">
        <w:rPr>
          <w:rFonts w:asciiTheme="majorHAnsi" w:eastAsia="Times New Roman" w:hAnsiTheme="majorHAnsi" w:cstheme="majorHAnsi"/>
          <w:b/>
          <w:sz w:val="24"/>
          <w:szCs w:val="24"/>
          <w:lang w:val="ro-MD"/>
        </w:rPr>
        <w:t>.</w:t>
      </w:r>
    </w:p>
    <w:p w14:paraId="41434202" w14:textId="477D4FF3" w:rsidR="005811C9" w:rsidRPr="00653E85" w:rsidRDefault="005E7DC9" w:rsidP="005E7DC9">
      <w:pPr>
        <w:pStyle w:val="Default"/>
        <w:spacing w:line="276" w:lineRule="auto"/>
        <w:jc w:val="both"/>
        <w:rPr>
          <w:rFonts w:asciiTheme="majorHAnsi" w:hAnsiTheme="majorHAnsi" w:cstheme="majorHAnsi"/>
          <w:lang w:val="ro-MD"/>
        </w:rPr>
      </w:pPr>
      <w:r w:rsidRPr="00B7675F">
        <w:rPr>
          <w:rFonts w:asciiTheme="majorHAnsi" w:eastAsia="Times New Roman" w:hAnsiTheme="majorHAnsi" w:cstheme="majorHAnsi"/>
          <w:lang w:val="ro-MD"/>
        </w:rPr>
        <w:t>În anul 2022, veniturile totale ale bugetului asigurărilor sociale de stat sunt de 33 796,07 mil. lei</w:t>
      </w:r>
      <w:r w:rsidRPr="00653E85">
        <w:rPr>
          <w:rStyle w:val="a5"/>
          <w:rFonts w:asciiTheme="majorHAnsi" w:eastAsia="Times New Roman" w:hAnsiTheme="majorHAnsi" w:cstheme="majorHAnsi"/>
          <w:lang w:val="ro-MD"/>
        </w:rPr>
        <w:footnoteReference w:id="12"/>
      </w:r>
      <w:r w:rsidRPr="00B7675F">
        <w:rPr>
          <w:rFonts w:asciiTheme="majorHAnsi" w:eastAsia="Times New Roman" w:hAnsiTheme="majorHAnsi" w:cstheme="majorHAnsi"/>
          <w:lang w:val="ro-MD"/>
        </w:rPr>
        <w:t xml:space="preserve">, </w:t>
      </w:r>
      <w:r w:rsidRPr="00653E85">
        <w:rPr>
          <w:rFonts w:asciiTheme="majorHAnsi" w:hAnsiTheme="majorHAnsi" w:cstheme="majorHAnsi"/>
          <w:lang w:val="ro-MD"/>
        </w:rPr>
        <w:t>cu 1,2%, sau cu 404,5 mil. lei</w:t>
      </w:r>
      <w:r w:rsidR="0091680F" w:rsidRPr="00653E85">
        <w:rPr>
          <w:rFonts w:asciiTheme="majorHAnsi" w:hAnsiTheme="majorHAnsi" w:cstheme="majorHAnsi"/>
          <w:lang w:val="ro-MD"/>
        </w:rPr>
        <w:t>,</w:t>
      </w:r>
      <w:r w:rsidRPr="00653E85">
        <w:rPr>
          <w:rFonts w:asciiTheme="majorHAnsi" w:hAnsiTheme="majorHAnsi" w:cstheme="majorHAnsi"/>
          <w:lang w:val="ro-MD"/>
        </w:rPr>
        <w:t xml:space="preserve"> mai puțin față de prevederile anuale. Totodată, acestea au înregistrat o creștere de 6 549,22 mil. lei comparativ cu anul precedent</w:t>
      </w:r>
      <w:r w:rsidR="001C3607" w:rsidRPr="00653E85">
        <w:rPr>
          <w:rFonts w:asciiTheme="majorHAnsi" w:hAnsiTheme="majorHAnsi" w:cstheme="majorHAnsi"/>
          <w:lang w:val="ro-MD"/>
        </w:rPr>
        <w:t>.</w:t>
      </w:r>
    </w:p>
    <w:p w14:paraId="16F4873C" w14:textId="77777777" w:rsidR="005E7DC9" w:rsidRPr="00653E85" w:rsidRDefault="005E7DC9" w:rsidP="005E7DC9">
      <w:pPr>
        <w:pStyle w:val="Default"/>
        <w:spacing w:line="276" w:lineRule="auto"/>
        <w:jc w:val="both"/>
        <w:rPr>
          <w:rFonts w:asciiTheme="majorHAnsi" w:hAnsiTheme="majorHAnsi" w:cstheme="majorHAnsi"/>
          <w:lang w:val="ro-MD"/>
        </w:rPr>
      </w:pPr>
      <w:r w:rsidRPr="00653E85">
        <w:rPr>
          <w:rFonts w:asciiTheme="majorHAnsi" w:hAnsiTheme="majorHAnsi" w:cstheme="majorHAnsi"/>
          <w:lang w:val="ro-MD"/>
        </w:rPr>
        <w:t xml:space="preserve">În structura veniturilor bugetului asigurărilor sociale de stat pe anul 2022, resursele generale ale acestui buget au constituit 56,2%, iar transferurile de la bugetul de stat – 43,8%. </w:t>
      </w:r>
    </w:p>
    <w:p w14:paraId="3DF4C8A3" w14:textId="169AB7A7" w:rsidR="005E7DC9" w:rsidRPr="00653E85" w:rsidRDefault="005E7DC9" w:rsidP="005E7DC9">
      <w:pPr>
        <w:pStyle w:val="Default"/>
        <w:spacing w:line="276" w:lineRule="auto"/>
        <w:jc w:val="both"/>
        <w:rPr>
          <w:rFonts w:asciiTheme="majorHAnsi" w:hAnsiTheme="majorHAnsi" w:cstheme="majorHAnsi"/>
          <w:lang w:val="ro-MD"/>
        </w:rPr>
      </w:pPr>
      <w:r w:rsidRPr="00653E85">
        <w:rPr>
          <w:rFonts w:asciiTheme="majorHAnsi" w:hAnsiTheme="majorHAnsi" w:cstheme="majorHAnsi"/>
          <w:lang w:val="ro-MD"/>
        </w:rPr>
        <w:t xml:space="preserve">Resursele generale ale bugetului asigurărilor sociale de stat sunt constituite din contribuții de asigurări sociale de </w:t>
      </w:r>
      <w:r w:rsidR="000F6BFE" w:rsidRPr="00653E85">
        <w:rPr>
          <w:rFonts w:asciiTheme="majorHAnsi" w:hAnsiTheme="majorHAnsi" w:cstheme="majorHAnsi"/>
          <w:lang w:val="ro-MD"/>
        </w:rPr>
        <w:t>stat obligatorii – 18 573,34 mil</w:t>
      </w:r>
      <w:r w:rsidRPr="00653E85">
        <w:rPr>
          <w:rFonts w:asciiTheme="majorHAnsi" w:hAnsiTheme="majorHAnsi" w:cstheme="majorHAnsi"/>
          <w:lang w:val="ro-MD"/>
        </w:rPr>
        <w:t>.</w:t>
      </w:r>
      <w:r w:rsidR="00403833" w:rsidRPr="00653E85">
        <w:rPr>
          <w:rFonts w:asciiTheme="majorHAnsi" w:hAnsiTheme="majorHAnsi" w:cstheme="majorHAnsi"/>
          <w:lang w:val="ro-MD"/>
        </w:rPr>
        <w:t xml:space="preserve"> </w:t>
      </w:r>
      <w:r w:rsidRPr="00653E85">
        <w:rPr>
          <w:rFonts w:asciiTheme="majorHAnsi" w:hAnsiTheme="majorHAnsi" w:cstheme="majorHAnsi"/>
          <w:lang w:val="ro-MD"/>
        </w:rPr>
        <w:t>lei</w:t>
      </w:r>
      <w:r w:rsidR="0099363D" w:rsidRPr="00653E85">
        <w:rPr>
          <w:rFonts w:asciiTheme="majorHAnsi" w:hAnsiTheme="majorHAnsi" w:cstheme="majorHAnsi"/>
          <w:lang w:val="ro-MD"/>
        </w:rPr>
        <w:t>,</w:t>
      </w:r>
      <w:r w:rsidRPr="00653E85">
        <w:rPr>
          <w:rFonts w:asciiTheme="majorHAnsi" w:hAnsiTheme="majorHAnsi" w:cstheme="majorHAnsi"/>
          <w:lang w:val="ro-MD"/>
        </w:rPr>
        <w:t xml:space="preserve"> și alte venituri acumulate în sumă de 428,7 mil. lei.</w:t>
      </w:r>
      <w:r w:rsidRPr="00653E85">
        <w:rPr>
          <w:lang w:val="ro-MD"/>
        </w:rPr>
        <w:t xml:space="preserve"> </w:t>
      </w:r>
      <w:r w:rsidRPr="00653E85">
        <w:rPr>
          <w:rFonts w:asciiTheme="majorHAnsi" w:hAnsiTheme="majorHAnsi" w:cstheme="majorHAnsi"/>
          <w:lang w:val="ro-MD"/>
        </w:rPr>
        <w:t>Ponderea contribuțiilor și primelor de asigurări sociale de stat în totalul veniturilor bugetului asigurărilor sociale de stat este de 54,9% și sunt cu 2 349,46 mil. lei mai mult, comparativ cu anul precedent.</w:t>
      </w:r>
    </w:p>
    <w:p w14:paraId="72C1E5C3" w14:textId="15795B0E" w:rsidR="005E7DC9" w:rsidRPr="00B7675F" w:rsidRDefault="005E7DC9" w:rsidP="005E7DC9">
      <w:pPr>
        <w:spacing w:after="0" w:line="276" w:lineRule="auto"/>
        <w:jc w:val="both"/>
        <w:rPr>
          <w:rFonts w:asciiTheme="majorHAnsi" w:eastAsia="Times New Roman" w:hAnsiTheme="majorHAnsi" w:cstheme="majorHAnsi"/>
          <w:b/>
          <w:sz w:val="24"/>
          <w:szCs w:val="24"/>
          <w:lang w:val="ro-MD"/>
        </w:rPr>
      </w:pPr>
      <w:r w:rsidRPr="00653E85">
        <w:rPr>
          <w:rFonts w:asciiTheme="majorHAnsi" w:eastAsia="Times New Roman" w:hAnsiTheme="majorHAnsi" w:cstheme="majorHAnsi"/>
          <w:iCs/>
          <w:sz w:val="24"/>
          <w:szCs w:val="24"/>
          <w:lang w:val="ro-MD"/>
        </w:rPr>
        <w:t>Realizare</w:t>
      </w:r>
      <w:r w:rsidRPr="00B7675F">
        <w:rPr>
          <w:rFonts w:asciiTheme="majorHAnsi" w:eastAsia="Times New Roman" w:hAnsiTheme="majorHAnsi" w:cstheme="majorHAnsi"/>
          <w:iCs/>
          <w:sz w:val="24"/>
          <w:szCs w:val="24"/>
          <w:lang w:val="ro-MD"/>
        </w:rPr>
        <w:t>a veniturilor bugetului asigurărilor sociale de stat în anul 2022, în comparație cu anii 2018-2021</w:t>
      </w:r>
      <w:r w:rsidR="0099363D" w:rsidRPr="0038225D">
        <w:rPr>
          <w:rFonts w:asciiTheme="majorHAnsi" w:eastAsia="Times New Roman" w:hAnsiTheme="majorHAnsi" w:cstheme="majorHAnsi"/>
          <w:iCs/>
          <w:sz w:val="24"/>
          <w:szCs w:val="24"/>
          <w:lang w:val="ro-MD"/>
        </w:rPr>
        <w:t>,</w:t>
      </w:r>
      <w:r w:rsidRPr="00B7675F">
        <w:rPr>
          <w:rFonts w:asciiTheme="majorHAnsi" w:eastAsia="Times New Roman" w:hAnsiTheme="majorHAnsi" w:cstheme="majorHAnsi"/>
          <w:iCs/>
          <w:sz w:val="24"/>
          <w:szCs w:val="24"/>
          <w:lang w:val="ro-MD"/>
        </w:rPr>
        <w:t xml:space="preserve"> se prezintă în </w:t>
      </w:r>
      <w:r w:rsidR="0099363D" w:rsidRPr="00B7675F">
        <w:rPr>
          <w:rFonts w:asciiTheme="majorHAnsi" w:eastAsia="Times New Roman" w:hAnsiTheme="majorHAnsi" w:cstheme="majorHAnsi"/>
          <w:iCs/>
          <w:color w:val="000000" w:themeColor="text1"/>
          <w:sz w:val="24"/>
          <w:szCs w:val="24"/>
          <w:lang w:val="ro-MD"/>
        </w:rPr>
        <w:t>A</w:t>
      </w:r>
      <w:r w:rsidR="00847BF1" w:rsidRPr="00B7675F">
        <w:rPr>
          <w:rFonts w:asciiTheme="majorHAnsi" w:eastAsia="Times New Roman" w:hAnsiTheme="majorHAnsi" w:cstheme="majorHAnsi"/>
          <w:iCs/>
          <w:color w:val="000000" w:themeColor="text1"/>
          <w:sz w:val="24"/>
          <w:szCs w:val="24"/>
          <w:lang w:val="ro-MD"/>
        </w:rPr>
        <w:t>nexa nr. 1</w:t>
      </w:r>
      <w:r w:rsidR="0099363D" w:rsidRPr="00B7675F">
        <w:rPr>
          <w:rFonts w:asciiTheme="majorHAnsi" w:eastAsia="Times New Roman" w:hAnsiTheme="majorHAnsi" w:cstheme="majorHAnsi"/>
          <w:iCs/>
          <w:color w:val="000000" w:themeColor="text1"/>
          <w:sz w:val="24"/>
          <w:szCs w:val="24"/>
          <w:lang w:val="ro-MD"/>
        </w:rPr>
        <w:t xml:space="preserve"> la prezentul Raport de audit</w:t>
      </w:r>
      <w:r w:rsidR="00036557" w:rsidRPr="00B7675F">
        <w:rPr>
          <w:rFonts w:asciiTheme="majorHAnsi" w:eastAsia="Times New Roman" w:hAnsiTheme="majorHAnsi" w:cstheme="majorHAnsi"/>
          <w:iCs/>
          <w:color w:val="000000" w:themeColor="text1"/>
          <w:sz w:val="24"/>
          <w:szCs w:val="24"/>
          <w:lang w:val="ro-MD"/>
        </w:rPr>
        <w:t>.</w:t>
      </w:r>
    </w:p>
    <w:p w14:paraId="13984DCC" w14:textId="77777777" w:rsidR="005E7DC9" w:rsidRPr="00B7675F" w:rsidRDefault="005E7DC9" w:rsidP="005E7DC9">
      <w:pPr>
        <w:spacing w:after="0" w:line="276" w:lineRule="auto"/>
        <w:jc w:val="both"/>
        <w:rPr>
          <w:rFonts w:asciiTheme="majorHAnsi" w:eastAsia="Times New Roman" w:hAnsiTheme="majorHAnsi" w:cstheme="majorHAnsi"/>
          <w:b/>
          <w:sz w:val="24"/>
          <w:szCs w:val="24"/>
          <w:lang w:val="ro-MD"/>
        </w:rPr>
      </w:pPr>
    </w:p>
    <w:p w14:paraId="54ED4A93" w14:textId="5A274BE9" w:rsidR="005E7DC9" w:rsidRPr="00B7675F" w:rsidRDefault="005E7DC9" w:rsidP="005E7DC9">
      <w:pPr>
        <w:pStyle w:val="Default"/>
        <w:spacing w:after="240" w:line="276" w:lineRule="auto"/>
        <w:jc w:val="both"/>
        <w:rPr>
          <w:rFonts w:asciiTheme="majorHAnsi" w:hAnsiTheme="majorHAnsi" w:cstheme="majorHAnsi"/>
          <w:lang w:val="ro-MD"/>
        </w:rPr>
      </w:pPr>
      <w:r w:rsidRPr="00B7675F">
        <w:rPr>
          <w:rFonts w:asciiTheme="majorHAnsi" w:hAnsiTheme="majorHAnsi" w:cstheme="majorHAnsi"/>
          <w:lang w:val="ro-MD"/>
        </w:rPr>
        <w:t>Astfel, pe parcursul a 5 ani consecutivi (2018</w:t>
      </w:r>
      <w:r w:rsidR="0099363D" w:rsidRPr="00B7675F">
        <w:rPr>
          <w:rFonts w:asciiTheme="majorHAnsi" w:hAnsiTheme="majorHAnsi" w:cstheme="majorHAnsi"/>
          <w:lang w:val="ro-MD"/>
        </w:rPr>
        <w:t>-</w:t>
      </w:r>
      <w:r w:rsidRPr="00B7675F">
        <w:rPr>
          <w:rFonts w:asciiTheme="majorHAnsi" w:hAnsiTheme="majorHAnsi" w:cstheme="majorHAnsi"/>
          <w:lang w:val="ro-MD"/>
        </w:rPr>
        <w:t>2022), se atestă o creștere constantă a tuturor veniturilor la bugetul asigurărilor sociale de stat, mai cu seamă a transferurilor curente cu destinație generală între bugetul de stat și bugetul asigurărilor sociale de stat.</w:t>
      </w:r>
    </w:p>
    <w:p w14:paraId="2E52BD79" w14:textId="08F2D299" w:rsidR="005E7DC9" w:rsidRPr="00B7675F" w:rsidRDefault="005E7DC9" w:rsidP="005E7DC9">
      <w:pPr>
        <w:pStyle w:val="Default"/>
        <w:spacing w:after="240" w:line="276" w:lineRule="auto"/>
        <w:jc w:val="both"/>
        <w:rPr>
          <w:rFonts w:asciiTheme="majorHAnsi" w:hAnsiTheme="majorHAnsi" w:cstheme="majorHAnsi"/>
          <w:lang w:val="ro-MD"/>
        </w:rPr>
      </w:pPr>
      <w:r w:rsidRPr="00B7675F">
        <w:rPr>
          <w:rFonts w:asciiTheme="majorHAnsi" w:hAnsiTheme="majorHAnsi" w:cstheme="majorHAnsi"/>
          <w:b/>
          <w:lang w:val="ro-MD"/>
        </w:rPr>
        <w:t>Contribuțiile de asigurări sociale de stat</w:t>
      </w:r>
      <w:r w:rsidRPr="00B7675F">
        <w:rPr>
          <w:rFonts w:asciiTheme="majorHAnsi" w:hAnsiTheme="majorHAnsi" w:cstheme="majorHAnsi"/>
          <w:lang w:val="ro-MD"/>
        </w:rPr>
        <w:t xml:space="preserve"> în anul 2022 au fost calculate și achitate conform tarifelor prevăzute</w:t>
      </w:r>
      <w:r w:rsidRPr="00653E85">
        <w:rPr>
          <w:rStyle w:val="a5"/>
          <w:rFonts w:cstheme="majorHAnsi"/>
          <w:lang w:val="ro-MD"/>
        </w:rPr>
        <w:footnoteReference w:id="13"/>
      </w:r>
      <w:r w:rsidRPr="00B7675F">
        <w:rPr>
          <w:rFonts w:asciiTheme="majorHAnsi" w:hAnsiTheme="majorHAnsi" w:cstheme="majorHAnsi"/>
          <w:lang w:val="ro-MD"/>
        </w:rPr>
        <w:t>. Totodată, pe parcursul anului 2022 s-a ținut cont de noile particularități privind modalitatea de asigurare socială a persoanelor fizice care exercită activități în calitate de zilieri</w:t>
      </w:r>
      <w:r w:rsidRPr="00653E85">
        <w:rPr>
          <w:rStyle w:val="a5"/>
          <w:rFonts w:cstheme="majorHAnsi"/>
          <w:lang w:val="ro-MD"/>
        </w:rPr>
        <w:footnoteReference w:id="14"/>
      </w:r>
      <w:r w:rsidRPr="00B7675F">
        <w:rPr>
          <w:rFonts w:asciiTheme="majorHAnsi" w:hAnsiTheme="majorHAnsi" w:cstheme="majorHAnsi"/>
          <w:lang w:val="ro-MD"/>
        </w:rPr>
        <w:t>. Astfel, confo</w:t>
      </w:r>
      <w:r w:rsidRPr="0038225D">
        <w:rPr>
          <w:rFonts w:asciiTheme="majorHAnsi" w:hAnsiTheme="majorHAnsi" w:cstheme="majorHAnsi"/>
          <w:lang w:val="ro-MD"/>
        </w:rPr>
        <w:t>rm noilor prevederi</w:t>
      </w:r>
      <w:r w:rsidRPr="00653E85">
        <w:rPr>
          <w:rStyle w:val="a5"/>
          <w:rFonts w:cstheme="majorHAnsi"/>
          <w:lang w:val="ro-MD"/>
        </w:rPr>
        <w:footnoteReference w:id="15"/>
      </w:r>
      <w:r w:rsidR="00403833" w:rsidRPr="00B7675F">
        <w:rPr>
          <w:rFonts w:asciiTheme="majorHAnsi" w:hAnsiTheme="majorHAnsi" w:cstheme="majorHAnsi"/>
          <w:lang w:val="ro-MD"/>
        </w:rPr>
        <w:t>, începâ</w:t>
      </w:r>
      <w:r w:rsidRPr="0038225D">
        <w:rPr>
          <w:rFonts w:asciiTheme="majorHAnsi" w:hAnsiTheme="majorHAnsi" w:cstheme="majorHAnsi"/>
          <w:lang w:val="ro-MD"/>
        </w:rPr>
        <w:t>nd cu 15 iulie 2022</w:t>
      </w:r>
      <w:r w:rsidRPr="00B7675F">
        <w:rPr>
          <w:rFonts w:asciiTheme="majorHAnsi" w:hAnsiTheme="majorHAnsi" w:cstheme="majorHAnsi"/>
          <w:lang w:val="ro-MD"/>
        </w:rPr>
        <w:t xml:space="preserve"> beneficiarii de lucrări calculează, declară și achită pentru această categorie de persoane fizice contribuții de asigurări sociale reieșind din remuneraț</w:t>
      </w:r>
      <w:r w:rsidR="00403833" w:rsidRPr="00B7675F">
        <w:rPr>
          <w:rFonts w:asciiTheme="majorHAnsi" w:hAnsiTheme="majorHAnsi" w:cstheme="majorHAnsi"/>
          <w:lang w:val="ro-MD"/>
        </w:rPr>
        <w:t>ia acestora în mărime de 6%. Pâ</w:t>
      </w:r>
      <w:r w:rsidRPr="00B7675F">
        <w:rPr>
          <w:rFonts w:asciiTheme="majorHAnsi" w:hAnsiTheme="majorHAnsi" w:cstheme="majorHAnsi"/>
          <w:lang w:val="ro-MD"/>
        </w:rPr>
        <w:t>nă la această dată, persoanele fizice care exercitau activități în calitate de zilieri datorau taxa fixă anuală calculată în baz</w:t>
      </w:r>
      <w:r w:rsidR="0091680F" w:rsidRPr="00B7675F">
        <w:rPr>
          <w:rFonts w:asciiTheme="majorHAnsi" w:hAnsiTheme="majorHAnsi" w:cstheme="majorHAnsi"/>
          <w:lang w:val="ro-MD"/>
        </w:rPr>
        <w:t>ă</w:t>
      </w:r>
      <w:r w:rsidRPr="00B7675F">
        <w:rPr>
          <w:rFonts w:asciiTheme="majorHAnsi" w:hAnsiTheme="majorHAnsi" w:cstheme="majorHAnsi"/>
          <w:lang w:val="ro-MD"/>
        </w:rPr>
        <w:t xml:space="preserve"> de contract individual încheiat cu CNAS în mărime de 3</w:t>
      </w:r>
      <w:r w:rsidR="005811C9" w:rsidRPr="00B7675F">
        <w:rPr>
          <w:rFonts w:asciiTheme="majorHAnsi" w:hAnsiTheme="majorHAnsi" w:cstheme="majorHAnsi"/>
          <w:lang w:val="ro-MD"/>
        </w:rPr>
        <w:t xml:space="preserve"> </w:t>
      </w:r>
      <w:r w:rsidRPr="00B7675F">
        <w:rPr>
          <w:rFonts w:asciiTheme="majorHAnsi" w:hAnsiTheme="majorHAnsi" w:cstheme="majorHAnsi"/>
          <w:lang w:val="ro-MD"/>
        </w:rPr>
        <w:t xml:space="preserve">270 lei.  </w:t>
      </w:r>
    </w:p>
    <w:p w14:paraId="373B9D27" w14:textId="0856651B" w:rsidR="005E7DC9" w:rsidRPr="00653E85" w:rsidRDefault="005E7DC9" w:rsidP="005E7DC9">
      <w:pPr>
        <w:pStyle w:val="Default"/>
        <w:spacing w:after="240" w:line="276" w:lineRule="auto"/>
        <w:jc w:val="both"/>
        <w:rPr>
          <w:sz w:val="28"/>
          <w:szCs w:val="28"/>
          <w:lang w:val="ro-MD"/>
        </w:rPr>
      </w:pPr>
      <w:r w:rsidRPr="00B7675F">
        <w:rPr>
          <w:rFonts w:asciiTheme="majorHAnsi" w:hAnsiTheme="majorHAnsi" w:cstheme="majorHAnsi"/>
          <w:lang w:val="ro-MD"/>
        </w:rPr>
        <w:t>Taxa fixă anuală a contribuțiilor de asigurări sociale obligatorii în anul 2022 a constituit 12 838 lei</w:t>
      </w:r>
      <w:r w:rsidRPr="00653E85">
        <w:rPr>
          <w:rStyle w:val="a5"/>
          <w:rFonts w:cstheme="majorHAnsi"/>
          <w:lang w:val="ro-MD"/>
        </w:rPr>
        <w:footnoteReference w:id="16"/>
      </w:r>
      <w:r w:rsidRPr="00B7675F">
        <w:rPr>
          <w:rFonts w:asciiTheme="majorHAnsi" w:hAnsiTheme="majorHAnsi" w:cstheme="majorHAnsi"/>
          <w:lang w:val="ro-MD"/>
        </w:rPr>
        <w:t>,  pentru proprietarii sau arendașii de terenuri agricole ce prelucrează terenurile în mod individual – de 3</w:t>
      </w:r>
      <w:r w:rsidR="0091680F" w:rsidRPr="0038225D">
        <w:rPr>
          <w:rFonts w:asciiTheme="majorHAnsi" w:hAnsiTheme="majorHAnsi" w:cstheme="majorHAnsi"/>
          <w:lang w:val="ro-MD"/>
        </w:rPr>
        <w:t xml:space="preserve"> </w:t>
      </w:r>
      <w:r w:rsidRPr="00B7675F">
        <w:rPr>
          <w:rFonts w:asciiTheme="majorHAnsi" w:hAnsiTheme="majorHAnsi" w:cstheme="majorHAnsi"/>
          <w:lang w:val="ro-MD"/>
        </w:rPr>
        <w:t>270 lei</w:t>
      </w:r>
      <w:r w:rsidRPr="00653E85">
        <w:rPr>
          <w:rStyle w:val="a5"/>
          <w:rFonts w:cstheme="majorHAnsi"/>
          <w:lang w:val="ro-MD"/>
        </w:rPr>
        <w:footnoteReference w:id="17"/>
      </w:r>
      <w:r w:rsidRPr="00B7675F">
        <w:rPr>
          <w:rFonts w:asciiTheme="majorHAnsi" w:hAnsiTheme="majorHAnsi" w:cstheme="majorHAnsi"/>
          <w:lang w:val="ro-MD"/>
        </w:rPr>
        <w:t>.</w:t>
      </w:r>
      <w:r w:rsidRPr="0038225D">
        <w:rPr>
          <w:rFonts w:asciiTheme="majorHAnsi" w:hAnsiTheme="majorHAnsi" w:cstheme="majorHAnsi"/>
          <w:color w:val="auto"/>
          <w:lang w:val="ro-MD"/>
        </w:rPr>
        <w:t xml:space="preserve"> </w:t>
      </w:r>
    </w:p>
    <w:p w14:paraId="0508C4FA" w14:textId="6507482F" w:rsidR="005E7DC9" w:rsidRPr="00B7675F" w:rsidRDefault="005E7DC9" w:rsidP="005E7DC9">
      <w:pPr>
        <w:spacing w:after="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Se atestă că, contribuțiile de asigurări sociale de stat în 2022</w:t>
      </w:r>
      <w:r w:rsidR="0091680F" w:rsidRPr="0038225D">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acumulate în sumă de 18 573,34 mil. lei</w:t>
      </w:r>
      <w:r w:rsidRPr="00653E85">
        <w:rPr>
          <w:rStyle w:val="a5"/>
          <w:rFonts w:asciiTheme="majorHAnsi" w:hAnsiTheme="majorHAnsi" w:cstheme="majorHAnsi"/>
          <w:sz w:val="24"/>
          <w:szCs w:val="24"/>
          <w:lang w:val="ro-MD"/>
        </w:rPr>
        <w:footnoteReference w:id="18"/>
      </w:r>
      <w:r w:rsidRPr="00B7675F">
        <w:rPr>
          <w:rFonts w:asciiTheme="majorHAnsi" w:hAnsiTheme="majorHAnsi" w:cstheme="majorHAnsi"/>
          <w:sz w:val="24"/>
          <w:szCs w:val="24"/>
          <w:lang w:val="ro-MD"/>
        </w:rPr>
        <w:t>,</w:t>
      </w:r>
      <w:r w:rsidRPr="0038225D">
        <w:rPr>
          <w:rFonts w:asciiTheme="majorHAnsi" w:hAnsiTheme="majorHAnsi" w:cstheme="majorHAnsi"/>
          <w:sz w:val="24"/>
          <w:szCs w:val="24"/>
          <w:lang w:val="ro-MD"/>
        </w:rPr>
        <w:t xml:space="preserve"> au fo</w:t>
      </w:r>
      <w:r w:rsidRPr="00B7675F">
        <w:rPr>
          <w:rFonts w:asciiTheme="majorHAnsi" w:hAnsiTheme="majorHAnsi" w:cstheme="majorHAnsi"/>
          <w:sz w:val="24"/>
          <w:szCs w:val="24"/>
          <w:lang w:val="ro-MD"/>
        </w:rPr>
        <w:t>st executate la nivel de 100,1% față de indicele planificat. În comparație cu anul 2021</w:t>
      </w:r>
      <w:r w:rsidR="0091680F"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încasările au crescut cu 2 349,4 mil. lei, sau cu 14,5%. De asemenea, în suma totală a contribuțiilor acumulate, 61,2 mil.</w:t>
      </w:r>
      <w:r w:rsidR="005811C9" w:rsidRPr="00B7675F">
        <w:rPr>
          <w:rFonts w:asciiTheme="majorHAnsi" w:hAnsiTheme="majorHAnsi" w:cstheme="majorHAnsi"/>
          <w:sz w:val="24"/>
          <w:szCs w:val="24"/>
          <w:lang w:val="ro-MD"/>
        </w:rPr>
        <w:t xml:space="preserve"> </w:t>
      </w:r>
      <w:r w:rsidRPr="00B7675F">
        <w:rPr>
          <w:rFonts w:asciiTheme="majorHAnsi" w:hAnsiTheme="majorHAnsi" w:cstheme="majorHAnsi"/>
          <w:sz w:val="24"/>
          <w:szCs w:val="24"/>
          <w:lang w:val="ro-MD"/>
        </w:rPr>
        <w:t>lei au constituit majorările de întârziere pentru neplata în termen a contribuțiilor.</w:t>
      </w:r>
    </w:p>
    <w:p w14:paraId="3C795C33" w14:textId="3B32A923" w:rsidR="005E7DC9" w:rsidRPr="0038225D" w:rsidRDefault="005E7DC9" w:rsidP="005E7DC9">
      <w:pPr>
        <w:spacing w:after="0" w:line="276" w:lineRule="auto"/>
        <w:jc w:val="both"/>
        <w:rPr>
          <w:rFonts w:asciiTheme="majorHAnsi" w:hAnsiTheme="majorHAnsi" w:cstheme="majorHAnsi"/>
          <w:sz w:val="24"/>
          <w:szCs w:val="24"/>
          <w:lang w:val="ro-MD"/>
        </w:rPr>
      </w:pPr>
      <w:r w:rsidRPr="00B7675F">
        <w:rPr>
          <w:rFonts w:asciiTheme="majorHAnsi" w:hAnsiTheme="majorHAnsi" w:cstheme="majorHAnsi"/>
          <w:b/>
          <w:sz w:val="24"/>
          <w:szCs w:val="24"/>
          <w:lang w:val="ro-MD"/>
        </w:rPr>
        <w:t xml:space="preserve">„Alte venituri” </w:t>
      </w:r>
      <w:r w:rsidRPr="00B7675F">
        <w:rPr>
          <w:rFonts w:asciiTheme="majorHAnsi" w:hAnsiTheme="majorHAnsi" w:cstheme="majorHAnsi"/>
          <w:sz w:val="24"/>
          <w:szCs w:val="24"/>
          <w:lang w:val="ro-MD"/>
        </w:rPr>
        <w:t>au fost acumulate în sumă totală de 428,7 mil. lei, cu 83,5 mil. lei, sau cu 24,2%, mai mult față de planul stabilit, iar suma efectivă a altor venituri a constituit 443,3 mil. lei</w:t>
      </w:r>
      <w:r w:rsidRPr="00653E85">
        <w:rPr>
          <w:sz w:val="24"/>
          <w:szCs w:val="24"/>
          <w:lang w:val="ro-MD"/>
        </w:rPr>
        <w:t>.</w:t>
      </w:r>
      <w:r w:rsidRPr="00653E85">
        <w:rPr>
          <w:lang w:val="ro-MD"/>
        </w:rPr>
        <w:t xml:space="preserve"> </w:t>
      </w:r>
      <w:r w:rsidRPr="00B7675F">
        <w:rPr>
          <w:rFonts w:asciiTheme="majorHAnsi" w:hAnsiTheme="majorHAnsi" w:cstheme="majorHAnsi"/>
          <w:sz w:val="24"/>
          <w:szCs w:val="24"/>
          <w:lang w:val="ro-MD"/>
        </w:rPr>
        <w:t>Față de anul 202</w:t>
      </w:r>
      <w:r w:rsidRPr="0038225D">
        <w:rPr>
          <w:rFonts w:asciiTheme="majorHAnsi" w:hAnsiTheme="majorHAnsi" w:cstheme="majorHAnsi"/>
          <w:sz w:val="24"/>
          <w:szCs w:val="24"/>
          <w:lang w:val="ro-MD"/>
        </w:rPr>
        <w:t xml:space="preserve">1, încasările din alte venituri au fost în creștere cu 130,4 mil. lei, sau cu 43,7%, creșterea </w:t>
      </w:r>
      <w:r w:rsidRPr="00B7675F">
        <w:rPr>
          <w:rFonts w:asciiTheme="majorHAnsi" w:hAnsiTheme="majorHAnsi" w:cstheme="majorHAnsi"/>
          <w:sz w:val="24"/>
          <w:szCs w:val="24"/>
          <w:lang w:val="ro-MD"/>
        </w:rPr>
        <w:t>dator</w:t>
      </w:r>
      <w:r w:rsidR="0091680F" w:rsidRPr="00B7675F">
        <w:rPr>
          <w:rFonts w:asciiTheme="majorHAnsi" w:hAnsiTheme="majorHAnsi" w:cstheme="majorHAnsi"/>
          <w:sz w:val="24"/>
          <w:szCs w:val="24"/>
          <w:lang w:val="ro-MD"/>
        </w:rPr>
        <w:t>ându-se</w:t>
      </w:r>
      <w:r w:rsidRPr="00B7675F">
        <w:rPr>
          <w:rFonts w:asciiTheme="majorHAnsi" w:hAnsiTheme="majorHAnsi" w:cstheme="majorHAnsi"/>
          <w:sz w:val="24"/>
          <w:szCs w:val="24"/>
          <w:lang w:val="ro-MD"/>
        </w:rPr>
        <w:t xml:space="preserve"> sumei încasate din impozitul unic реrсерut de lа rezidenții раrcurilor pentru tehnologia informațională</w:t>
      </w:r>
      <w:r w:rsidR="0091680F"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de 420,8 mil.lei, care а fost cu 128,1 mil.lei</w:t>
      </w:r>
      <w:r w:rsidR="0091680F"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sau cu 4З,8%</w:t>
      </w:r>
      <w:r w:rsidR="0091680F"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mai mаrе față de anul precedent. Astfel, veniturile în bugetul asigurărilor sociale de stat sunt reflectate cu sumele</w:t>
      </w:r>
      <w:r w:rsidRPr="00653E85">
        <w:rPr>
          <w:rStyle w:val="a5"/>
          <w:rFonts w:asciiTheme="majorHAnsi" w:hAnsiTheme="majorHAnsi" w:cstheme="majorHAnsi"/>
          <w:sz w:val="24"/>
          <w:szCs w:val="24"/>
          <w:lang w:val="ro-MD"/>
        </w:rPr>
        <w:footnoteReference w:id="19"/>
      </w:r>
      <w:r w:rsidRPr="00B7675F">
        <w:rPr>
          <w:rFonts w:asciiTheme="majorHAnsi" w:hAnsiTheme="majorHAnsi" w:cstheme="majorHAnsi"/>
          <w:sz w:val="24"/>
          <w:szCs w:val="24"/>
          <w:lang w:val="ro-MD"/>
        </w:rPr>
        <w:t>:</w:t>
      </w:r>
    </w:p>
    <w:p w14:paraId="16D2DEE8" w14:textId="77777777" w:rsidR="005E7DC9" w:rsidRPr="00B7675F" w:rsidRDefault="005E7DC9" w:rsidP="005E7DC9">
      <w:pPr>
        <w:pStyle w:val="aa"/>
        <w:numPr>
          <w:ilvl w:val="0"/>
          <w:numId w:val="16"/>
        </w:numPr>
        <w:spacing w:after="0" w:line="276" w:lineRule="auto"/>
        <w:jc w:val="both"/>
        <w:rPr>
          <w:rFonts w:asciiTheme="majorHAnsi" w:hAnsiTheme="majorHAnsi" w:cstheme="majorHAnsi"/>
          <w:sz w:val="24"/>
          <w:szCs w:val="24"/>
          <w:lang w:val="ro-MD"/>
        </w:rPr>
      </w:pPr>
      <w:r w:rsidRPr="00B7675F">
        <w:rPr>
          <w:lang w:val="ro-MD"/>
        </w:rPr>
        <w:t xml:space="preserve"> </w:t>
      </w:r>
      <w:r w:rsidRPr="00B7675F">
        <w:rPr>
          <w:rFonts w:asciiTheme="majorHAnsi" w:hAnsiTheme="majorHAnsi" w:cstheme="majorHAnsi"/>
          <w:sz w:val="24"/>
          <w:szCs w:val="24"/>
          <w:lang w:val="ro-MD"/>
        </w:rPr>
        <w:t>6,0 mil. lei, cu executarea prevederilor anuale la nivel de 200,5%, venituri din proprietate, care reprezintă dobânzile încasate la soldurile mijloacelor bănești la conturile bancare ale bugetului asigurărilor sociale de stat;</w:t>
      </w:r>
    </w:p>
    <w:p w14:paraId="32BE1D9C" w14:textId="19E475D8" w:rsidR="005E7DC9" w:rsidRPr="00B7675F" w:rsidRDefault="00F4320A" w:rsidP="005E7DC9">
      <w:pPr>
        <w:pStyle w:val="aa"/>
        <w:numPr>
          <w:ilvl w:val="0"/>
          <w:numId w:val="16"/>
        </w:numPr>
        <w:spacing w:after="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0,05 mil.</w:t>
      </w:r>
      <w:r w:rsidR="005E7DC9" w:rsidRPr="00B7675F">
        <w:rPr>
          <w:rFonts w:asciiTheme="majorHAnsi" w:hAnsiTheme="majorHAnsi" w:cstheme="majorHAnsi"/>
          <w:sz w:val="24"/>
          <w:szCs w:val="24"/>
          <w:lang w:val="ro-MD"/>
        </w:rPr>
        <w:t xml:space="preserve"> lei sunt din vânzarea mărfurilor și serviciilor, care reprezintă mijloacele încasate în bugetul asigurărilor sociale de stat conform documentelor executorii privind răspunderea subsidiară, suma ef</w:t>
      </w:r>
      <w:r w:rsidR="00403833" w:rsidRPr="00B7675F">
        <w:rPr>
          <w:rFonts w:asciiTheme="majorHAnsi" w:hAnsiTheme="majorHAnsi" w:cstheme="majorHAnsi"/>
          <w:sz w:val="24"/>
          <w:szCs w:val="24"/>
          <w:lang w:val="ro-MD"/>
        </w:rPr>
        <w:t>ectivă constitui</w:t>
      </w:r>
      <w:r w:rsidR="00732D62" w:rsidRPr="00B7675F">
        <w:rPr>
          <w:rFonts w:asciiTheme="majorHAnsi" w:hAnsiTheme="majorHAnsi" w:cstheme="majorHAnsi"/>
          <w:sz w:val="24"/>
          <w:szCs w:val="24"/>
          <w:lang w:val="ro-MD"/>
        </w:rPr>
        <w:t>nd</w:t>
      </w:r>
      <w:r w:rsidR="00403833" w:rsidRPr="00B7675F">
        <w:rPr>
          <w:rFonts w:asciiTheme="majorHAnsi" w:hAnsiTheme="majorHAnsi" w:cstheme="majorHAnsi"/>
          <w:sz w:val="24"/>
          <w:szCs w:val="24"/>
          <w:lang w:val="ro-MD"/>
        </w:rPr>
        <w:t xml:space="preserve"> 1,9 mil.lei;</w:t>
      </w:r>
    </w:p>
    <w:p w14:paraId="4282AD68" w14:textId="1BBA471C" w:rsidR="005E7DC9" w:rsidRPr="00B7675F" w:rsidRDefault="005E7DC9" w:rsidP="005E7DC9">
      <w:pPr>
        <w:pStyle w:val="aa"/>
        <w:numPr>
          <w:ilvl w:val="0"/>
          <w:numId w:val="16"/>
        </w:numPr>
        <w:spacing w:after="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0,9 mil.lei, ce reprezintă 32,3%</w:t>
      </w:r>
      <w:r w:rsidRPr="00B7675F">
        <w:rPr>
          <w:lang w:val="ro-MD"/>
        </w:rPr>
        <w:t xml:space="preserve"> </w:t>
      </w:r>
      <w:r w:rsidRPr="00B7675F">
        <w:rPr>
          <w:rFonts w:asciiTheme="majorHAnsi" w:hAnsiTheme="majorHAnsi" w:cstheme="majorHAnsi"/>
          <w:sz w:val="24"/>
          <w:szCs w:val="24"/>
          <w:lang w:val="ro-MD"/>
        </w:rPr>
        <w:t>față de prevederile anua</w:t>
      </w:r>
      <w:r w:rsidR="00F4320A" w:rsidRPr="00B7675F">
        <w:rPr>
          <w:rFonts w:asciiTheme="majorHAnsi" w:hAnsiTheme="majorHAnsi" w:cstheme="majorHAnsi"/>
          <w:sz w:val="24"/>
          <w:szCs w:val="24"/>
          <w:lang w:val="ro-MD"/>
        </w:rPr>
        <w:t>le, sunt amenzile, din care 0,04 mil.</w:t>
      </w:r>
      <w:r w:rsidRPr="00B7675F">
        <w:rPr>
          <w:rFonts w:asciiTheme="majorHAnsi" w:hAnsiTheme="majorHAnsi" w:cstheme="majorHAnsi"/>
          <w:sz w:val="24"/>
          <w:szCs w:val="24"/>
          <w:lang w:val="ro-MD"/>
        </w:rPr>
        <w:t xml:space="preserve"> lei  sunt amenzi și sancțiuni contravenționale încasate în bugetul asigurărilor sociale de stat şi 895,4  mii lei – amenzi aferente plăților la bugetul asigurărilor sociale de stat. Suma efectivă a amenzilor în anul 2022 a fost de </w:t>
      </w:r>
      <w:r w:rsidR="00F4320A" w:rsidRPr="00B7675F">
        <w:rPr>
          <w:rFonts w:asciiTheme="majorHAnsi" w:hAnsiTheme="majorHAnsi" w:cstheme="majorHAnsi"/>
          <w:sz w:val="24"/>
          <w:szCs w:val="24"/>
          <w:lang w:val="ro-MD"/>
        </w:rPr>
        <w:t xml:space="preserve">1,5 mil. </w:t>
      </w:r>
      <w:r w:rsidR="004147B7" w:rsidRPr="00B7675F">
        <w:rPr>
          <w:rFonts w:asciiTheme="majorHAnsi" w:hAnsiTheme="majorHAnsi" w:cstheme="majorHAnsi"/>
          <w:sz w:val="24"/>
          <w:szCs w:val="24"/>
          <w:lang w:val="ro-MD"/>
        </w:rPr>
        <w:t>lei.</w:t>
      </w:r>
    </w:p>
    <w:p w14:paraId="2A43506A" w14:textId="034115DF" w:rsidR="005E7DC9" w:rsidRPr="00B7675F" w:rsidRDefault="005E7DC9" w:rsidP="005E7DC9">
      <w:pPr>
        <w:spacing w:after="0" w:line="276" w:lineRule="auto"/>
        <w:jc w:val="both"/>
        <w:rPr>
          <w:rFonts w:asciiTheme="majorHAnsi" w:hAnsiTheme="majorHAnsi" w:cstheme="majorHAnsi"/>
          <w:sz w:val="24"/>
          <w:szCs w:val="24"/>
          <w:lang w:val="ro-MD"/>
        </w:rPr>
      </w:pPr>
      <w:r w:rsidRPr="00B7675F">
        <w:rPr>
          <w:rFonts w:asciiTheme="majorHAnsi" w:hAnsiTheme="majorHAnsi" w:cstheme="majorHAnsi"/>
          <w:b/>
          <w:sz w:val="24"/>
          <w:szCs w:val="24"/>
          <w:lang w:val="ro-MD"/>
        </w:rPr>
        <w:t>Alte venituri și venituri neidentificate</w:t>
      </w:r>
      <w:r w:rsidRPr="00B7675F">
        <w:rPr>
          <w:rFonts w:asciiTheme="majorHAnsi" w:hAnsiTheme="majorHAnsi" w:cstheme="majorHAnsi"/>
          <w:sz w:val="24"/>
          <w:szCs w:val="24"/>
          <w:lang w:val="ro-MD"/>
        </w:rPr>
        <w:t xml:space="preserve"> au fost executate în sumă de 421,7 mil. lei, sau la nivel de 124,3% față de planul anual stabilit, iar conform indicatorului efectiv acestea au constituit 433,8 mil. lei.</w:t>
      </w:r>
    </w:p>
    <w:p w14:paraId="72F0D13E" w14:textId="77777777" w:rsidR="00E27C9B" w:rsidRPr="00B7675F" w:rsidRDefault="00E27C9B" w:rsidP="005E7DC9">
      <w:pPr>
        <w:spacing w:after="0" w:line="276" w:lineRule="auto"/>
        <w:jc w:val="both"/>
        <w:rPr>
          <w:rFonts w:asciiTheme="majorHAnsi" w:hAnsiTheme="majorHAnsi" w:cstheme="majorHAnsi"/>
          <w:sz w:val="24"/>
          <w:szCs w:val="24"/>
          <w:lang w:val="ro-MD"/>
        </w:rPr>
      </w:pPr>
    </w:p>
    <w:p w14:paraId="2E8A119E" w14:textId="6884842D" w:rsidR="005E7DC9" w:rsidRPr="00653E85" w:rsidRDefault="005E7DC9" w:rsidP="005E7DC9">
      <w:pPr>
        <w:pStyle w:val="aa"/>
        <w:numPr>
          <w:ilvl w:val="1"/>
          <w:numId w:val="2"/>
        </w:numPr>
        <w:spacing w:after="0" w:line="276" w:lineRule="auto"/>
        <w:ind w:left="0" w:firstLine="0"/>
        <w:jc w:val="both"/>
        <w:outlineLvl w:val="1"/>
        <w:rPr>
          <w:lang w:val="ro-MD"/>
        </w:rPr>
      </w:pPr>
      <w:r w:rsidRPr="00653E85">
        <w:rPr>
          <w:rFonts w:asciiTheme="majorHAnsi" w:eastAsia="Times New Roman" w:hAnsiTheme="majorHAnsi" w:cstheme="majorHAnsi"/>
          <w:b/>
          <w:sz w:val="24"/>
          <w:szCs w:val="24"/>
          <w:lang w:val="ro-MD"/>
        </w:rPr>
        <w:t>Cheltuielile bugetului asigurărilor sociale de stat executate în anul 2022 au fost la nivelu</w:t>
      </w:r>
      <w:r w:rsidR="00403833" w:rsidRPr="00653E85">
        <w:rPr>
          <w:rFonts w:asciiTheme="majorHAnsi" w:eastAsia="Times New Roman" w:hAnsiTheme="majorHAnsi" w:cstheme="majorHAnsi"/>
          <w:b/>
          <w:sz w:val="24"/>
          <w:szCs w:val="24"/>
          <w:lang w:val="ro-MD"/>
        </w:rPr>
        <w:t>l de 98,7% față de planul anual</w:t>
      </w:r>
      <w:r w:rsidR="00D72EA9" w:rsidRPr="00653E85">
        <w:rPr>
          <w:rFonts w:asciiTheme="majorHAnsi" w:eastAsia="Times New Roman" w:hAnsiTheme="majorHAnsi" w:cstheme="majorHAnsi"/>
          <w:b/>
          <w:sz w:val="24"/>
          <w:szCs w:val="24"/>
          <w:lang w:val="ro-MD"/>
        </w:rPr>
        <w:t>.</w:t>
      </w:r>
    </w:p>
    <w:p w14:paraId="01D2936C" w14:textId="77777777" w:rsidR="005E7DC9" w:rsidRPr="00653E85" w:rsidRDefault="005E7DC9" w:rsidP="005E7DC9">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Conform Raportului privind executarea bugetului asigurărilor sociale de stat pe anul 2022, cheltuielile bugetului asigurărilor sociale de stat au fost executate în sumă de 33 728,2 mil. lei, cu 452,4 mil. lei mai puțin decât nivelul planificat. Comparativ cu anul precedent, cheltuielile bugetului asigurărilor sociale de stat executate au crescut cu 6 556,2 mil. lei, sau cu 24,1%.</w:t>
      </w:r>
    </w:p>
    <w:p w14:paraId="066E527B" w14:textId="77777777" w:rsidR="005E7DC9" w:rsidRPr="00653E85" w:rsidRDefault="005E7DC9" w:rsidP="005E7DC9">
      <w:pPr>
        <w:spacing w:after="0" w:line="276" w:lineRule="auto"/>
        <w:jc w:val="both"/>
        <w:rPr>
          <w:rFonts w:asciiTheme="majorHAnsi" w:eastAsia="Times New Roman" w:hAnsiTheme="majorHAnsi" w:cstheme="majorHAnsi"/>
          <w:i/>
          <w:iCs/>
          <w:sz w:val="24"/>
          <w:szCs w:val="24"/>
          <w:lang w:val="ro-MD"/>
        </w:rPr>
      </w:pPr>
      <w:r w:rsidRPr="00653E85">
        <w:rPr>
          <w:rFonts w:asciiTheme="majorHAnsi" w:eastAsia="Times New Roman" w:hAnsiTheme="majorHAnsi" w:cstheme="majorHAnsi"/>
          <w:i/>
          <w:iCs/>
          <w:sz w:val="24"/>
          <w:szCs w:val="24"/>
          <w:lang w:val="ro-MD"/>
        </w:rPr>
        <w:t>Realizarea cheltuielilor bugetului asigurărilor sociale de stat în anul 2022, în comparație cu anii 2018-2021, se prezintă în tabelul ce urmează.</w:t>
      </w:r>
    </w:p>
    <w:p w14:paraId="515EEDA9" w14:textId="387F9782" w:rsidR="005E7DC9" w:rsidRPr="00653E85" w:rsidRDefault="0068377C" w:rsidP="005E7DC9">
      <w:pPr>
        <w:spacing w:after="0" w:line="276" w:lineRule="auto"/>
        <w:jc w:val="right"/>
        <w:rPr>
          <w:rFonts w:asciiTheme="majorHAnsi" w:eastAsia="Times New Roman" w:hAnsiTheme="majorHAnsi" w:cstheme="majorHAnsi"/>
          <w:b/>
          <w:sz w:val="24"/>
          <w:szCs w:val="24"/>
          <w:lang w:val="ro-MD"/>
        </w:rPr>
      </w:pPr>
      <w:r w:rsidRPr="00653E85">
        <w:rPr>
          <w:rFonts w:asciiTheme="majorHAnsi" w:eastAsia="Times New Roman" w:hAnsiTheme="majorHAnsi" w:cstheme="majorHAnsi"/>
          <w:b/>
          <w:sz w:val="24"/>
          <w:szCs w:val="24"/>
          <w:lang w:val="ro-MD"/>
        </w:rPr>
        <w:t>Tabel</w:t>
      </w:r>
      <w:r w:rsidR="00D72EA9" w:rsidRPr="00653E85">
        <w:rPr>
          <w:rFonts w:asciiTheme="majorHAnsi" w:eastAsia="Times New Roman" w:hAnsiTheme="majorHAnsi" w:cstheme="majorHAnsi"/>
          <w:b/>
          <w:sz w:val="24"/>
          <w:szCs w:val="24"/>
          <w:lang w:val="ro-MD"/>
        </w:rPr>
        <w:t>ul</w:t>
      </w:r>
      <w:r w:rsidR="005E7DC9" w:rsidRPr="00653E85">
        <w:rPr>
          <w:rFonts w:asciiTheme="majorHAnsi" w:eastAsia="Times New Roman" w:hAnsiTheme="majorHAnsi" w:cstheme="majorHAnsi"/>
          <w:b/>
          <w:sz w:val="24"/>
          <w:szCs w:val="24"/>
          <w:lang w:val="ro-MD"/>
        </w:rPr>
        <w:t xml:space="preserve"> nr.</w:t>
      </w:r>
      <w:r w:rsidR="00E939D7" w:rsidRPr="00653E85">
        <w:rPr>
          <w:rFonts w:asciiTheme="majorHAnsi" w:eastAsia="Times New Roman" w:hAnsiTheme="majorHAnsi" w:cstheme="majorHAnsi"/>
          <w:b/>
          <w:sz w:val="24"/>
          <w:szCs w:val="24"/>
          <w:lang w:val="ro-MD"/>
        </w:rPr>
        <w:t>3</w:t>
      </w:r>
    </w:p>
    <w:p w14:paraId="41D046F9" w14:textId="07F5B708" w:rsidR="005E7DC9" w:rsidRPr="00653E85" w:rsidRDefault="005E7DC9" w:rsidP="00653E85">
      <w:pPr>
        <w:spacing w:after="0" w:line="276" w:lineRule="auto"/>
        <w:jc w:val="center"/>
        <w:rPr>
          <w:rFonts w:asciiTheme="majorHAnsi" w:eastAsia="Times New Roman" w:hAnsiTheme="majorHAnsi" w:cstheme="majorHAnsi"/>
          <w:b/>
          <w:sz w:val="24"/>
          <w:szCs w:val="24"/>
          <w:lang w:val="ro-MD"/>
        </w:rPr>
      </w:pPr>
      <w:r w:rsidRPr="00653E85">
        <w:rPr>
          <w:rFonts w:asciiTheme="majorHAnsi" w:hAnsiTheme="majorHAnsi" w:cstheme="majorHAnsi"/>
          <w:b/>
          <w:sz w:val="24"/>
          <w:szCs w:val="24"/>
          <w:lang w:val="ro-MD"/>
        </w:rPr>
        <w:t>Dinamica cheltuielilor bugetului asigurărilor sociale de stat în anii 2018-2022 (mil. lei)</w:t>
      </w:r>
    </w:p>
    <w:tbl>
      <w:tblPr>
        <w:tblStyle w:val="af1"/>
        <w:tblW w:w="10070" w:type="dxa"/>
        <w:tblLook w:val="04A0" w:firstRow="1" w:lastRow="0" w:firstColumn="1" w:lastColumn="0" w:noHBand="0" w:noVBand="1"/>
      </w:tblPr>
      <w:tblGrid>
        <w:gridCol w:w="892"/>
        <w:gridCol w:w="743"/>
        <w:gridCol w:w="743"/>
        <w:gridCol w:w="743"/>
        <w:gridCol w:w="743"/>
        <w:gridCol w:w="743"/>
        <w:gridCol w:w="662"/>
        <w:gridCol w:w="659"/>
        <w:gridCol w:w="662"/>
        <w:gridCol w:w="659"/>
        <w:gridCol w:w="743"/>
        <w:gridCol w:w="620"/>
        <w:gridCol w:w="743"/>
        <w:gridCol w:w="715"/>
      </w:tblGrid>
      <w:tr w:rsidR="005E7DC9" w:rsidRPr="00B7675F" w14:paraId="4D664F41" w14:textId="77777777" w:rsidTr="00142BEE">
        <w:trPr>
          <w:trHeight w:val="20"/>
        </w:trPr>
        <w:tc>
          <w:tcPr>
            <w:tcW w:w="892" w:type="dxa"/>
            <w:vMerge w:val="restart"/>
            <w:hideMark/>
          </w:tcPr>
          <w:p w14:paraId="6E3FA029"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Indicatori</w:t>
            </w:r>
          </w:p>
        </w:tc>
        <w:tc>
          <w:tcPr>
            <w:tcW w:w="3715" w:type="dxa"/>
            <w:gridSpan w:val="5"/>
            <w:vMerge w:val="restart"/>
            <w:hideMark/>
          </w:tcPr>
          <w:p w14:paraId="19F03FB4"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Anul</w:t>
            </w:r>
          </w:p>
        </w:tc>
        <w:tc>
          <w:tcPr>
            <w:tcW w:w="1321" w:type="dxa"/>
            <w:gridSpan w:val="2"/>
            <w:hideMark/>
          </w:tcPr>
          <w:p w14:paraId="30C8AB24"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Devieri,</w:t>
            </w:r>
          </w:p>
        </w:tc>
        <w:tc>
          <w:tcPr>
            <w:tcW w:w="1321" w:type="dxa"/>
            <w:gridSpan w:val="2"/>
            <w:hideMark/>
          </w:tcPr>
          <w:p w14:paraId="1D5A5A40"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 xml:space="preserve">Devieri, </w:t>
            </w:r>
          </w:p>
        </w:tc>
        <w:tc>
          <w:tcPr>
            <w:tcW w:w="1363" w:type="dxa"/>
            <w:gridSpan w:val="2"/>
            <w:hideMark/>
          </w:tcPr>
          <w:p w14:paraId="2E44F862"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 xml:space="preserve">Devieri, </w:t>
            </w:r>
          </w:p>
        </w:tc>
        <w:tc>
          <w:tcPr>
            <w:tcW w:w="1458" w:type="dxa"/>
            <w:gridSpan w:val="2"/>
            <w:hideMark/>
          </w:tcPr>
          <w:p w14:paraId="26F984BF"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 xml:space="preserve">Devieri, </w:t>
            </w:r>
          </w:p>
        </w:tc>
      </w:tr>
      <w:tr w:rsidR="005E7DC9" w:rsidRPr="00B7675F" w14:paraId="5BD441D0" w14:textId="77777777" w:rsidTr="00142BEE">
        <w:trPr>
          <w:trHeight w:val="20"/>
        </w:trPr>
        <w:tc>
          <w:tcPr>
            <w:tcW w:w="892" w:type="dxa"/>
            <w:vMerge/>
            <w:hideMark/>
          </w:tcPr>
          <w:p w14:paraId="68FB4F78" w14:textId="77777777" w:rsidR="005E7DC9" w:rsidRPr="00653E85" w:rsidRDefault="005E7DC9" w:rsidP="00E65C9C">
            <w:pPr>
              <w:rPr>
                <w:rFonts w:ascii="Calibri Light" w:eastAsia="Times New Roman" w:hAnsi="Calibri Light" w:cs="Calibri Light"/>
                <w:b/>
                <w:bCs/>
                <w:color w:val="000000"/>
                <w:sz w:val="16"/>
                <w:szCs w:val="16"/>
                <w:lang w:val="ro-MD"/>
              </w:rPr>
            </w:pPr>
          </w:p>
        </w:tc>
        <w:tc>
          <w:tcPr>
            <w:tcW w:w="3715" w:type="dxa"/>
            <w:gridSpan w:val="5"/>
            <w:vMerge/>
            <w:hideMark/>
          </w:tcPr>
          <w:p w14:paraId="0C24AD27" w14:textId="77777777" w:rsidR="005E7DC9" w:rsidRPr="00653E85" w:rsidRDefault="005E7DC9" w:rsidP="00E65C9C">
            <w:pPr>
              <w:rPr>
                <w:rFonts w:ascii="Calibri Light" w:eastAsia="Times New Roman" w:hAnsi="Calibri Light" w:cs="Calibri Light"/>
                <w:b/>
                <w:bCs/>
                <w:color w:val="000000"/>
                <w:sz w:val="16"/>
                <w:szCs w:val="16"/>
                <w:lang w:val="ro-MD"/>
              </w:rPr>
            </w:pPr>
          </w:p>
        </w:tc>
        <w:tc>
          <w:tcPr>
            <w:tcW w:w="1321" w:type="dxa"/>
            <w:gridSpan w:val="2"/>
            <w:hideMark/>
          </w:tcPr>
          <w:p w14:paraId="76135CA0"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2022-2021</w:t>
            </w:r>
          </w:p>
        </w:tc>
        <w:tc>
          <w:tcPr>
            <w:tcW w:w="1321" w:type="dxa"/>
            <w:gridSpan w:val="2"/>
            <w:hideMark/>
          </w:tcPr>
          <w:p w14:paraId="5FD54D73"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2022-2020</w:t>
            </w:r>
          </w:p>
        </w:tc>
        <w:tc>
          <w:tcPr>
            <w:tcW w:w="1363" w:type="dxa"/>
            <w:gridSpan w:val="2"/>
            <w:hideMark/>
          </w:tcPr>
          <w:p w14:paraId="15092134"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2022-2019</w:t>
            </w:r>
          </w:p>
        </w:tc>
        <w:tc>
          <w:tcPr>
            <w:tcW w:w="1458" w:type="dxa"/>
            <w:gridSpan w:val="2"/>
            <w:hideMark/>
          </w:tcPr>
          <w:p w14:paraId="1A4B7500"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2022-2018</w:t>
            </w:r>
          </w:p>
        </w:tc>
      </w:tr>
      <w:tr w:rsidR="005E7DC9" w:rsidRPr="00B7675F" w14:paraId="0D53D9F2" w14:textId="77777777" w:rsidTr="00142BEE">
        <w:trPr>
          <w:trHeight w:val="20"/>
        </w:trPr>
        <w:tc>
          <w:tcPr>
            <w:tcW w:w="892" w:type="dxa"/>
            <w:vMerge/>
            <w:hideMark/>
          </w:tcPr>
          <w:p w14:paraId="78EDA6F8" w14:textId="77777777" w:rsidR="005E7DC9" w:rsidRPr="00653E85" w:rsidRDefault="005E7DC9" w:rsidP="00E65C9C">
            <w:pPr>
              <w:rPr>
                <w:rFonts w:ascii="Calibri Light" w:eastAsia="Times New Roman" w:hAnsi="Calibri Light" w:cs="Calibri Light"/>
                <w:b/>
                <w:bCs/>
                <w:color w:val="000000"/>
                <w:sz w:val="16"/>
                <w:szCs w:val="16"/>
                <w:lang w:val="ro-MD"/>
              </w:rPr>
            </w:pPr>
          </w:p>
        </w:tc>
        <w:tc>
          <w:tcPr>
            <w:tcW w:w="743" w:type="dxa"/>
            <w:hideMark/>
          </w:tcPr>
          <w:p w14:paraId="502B7333"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2018</w:t>
            </w:r>
          </w:p>
        </w:tc>
        <w:tc>
          <w:tcPr>
            <w:tcW w:w="743" w:type="dxa"/>
            <w:hideMark/>
          </w:tcPr>
          <w:p w14:paraId="2DEF5627"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2019</w:t>
            </w:r>
          </w:p>
        </w:tc>
        <w:tc>
          <w:tcPr>
            <w:tcW w:w="743" w:type="dxa"/>
            <w:hideMark/>
          </w:tcPr>
          <w:p w14:paraId="51C8DBDA"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2020</w:t>
            </w:r>
          </w:p>
        </w:tc>
        <w:tc>
          <w:tcPr>
            <w:tcW w:w="743" w:type="dxa"/>
            <w:hideMark/>
          </w:tcPr>
          <w:p w14:paraId="21A71130"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2021</w:t>
            </w:r>
          </w:p>
        </w:tc>
        <w:tc>
          <w:tcPr>
            <w:tcW w:w="743" w:type="dxa"/>
            <w:hideMark/>
          </w:tcPr>
          <w:p w14:paraId="214B33DC"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2022</w:t>
            </w:r>
          </w:p>
        </w:tc>
        <w:tc>
          <w:tcPr>
            <w:tcW w:w="662" w:type="dxa"/>
            <w:hideMark/>
          </w:tcPr>
          <w:p w14:paraId="5D113518"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659" w:type="dxa"/>
            <w:hideMark/>
          </w:tcPr>
          <w:p w14:paraId="782EC011"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662" w:type="dxa"/>
            <w:hideMark/>
          </w:tcPr>
          <w:p w14:paraId="348B5106"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659" w:type="dxa"/>
            <w:hideMark/>
          </w:tcPr>
          <w:p w14:paraId="5FB02EF7"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743" w:type="dxa"/>
            <w:hideMark/>
          </w:tcPr>
          <w:p w14:paraId="0506A721"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620" w:type="dxa"/>
            <w:hideMark/>
          </w:tcPr>
          <w:p w14:paraId="6B4657F4"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743" w:type="dxa"/>
            <w:hideMark/>
          </w:tcPr>
          <w:p w14:paraId="04A929F9"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c>
          <w:tcPr>
            <w:tcW w:w="715" w:type="dxa"/>
            <w:hideMark/>
          </w:tcPr>
          <w:p w14:paraId="68BBF285"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w:t>
            </w:r>
          </w:p>
        </w:tc>
      </w:tr>
      <w:tr w:rsidR="005E7DC9" w:rsidRPr="00B7675F" w14:paraId="07919ABC" w14:textId="77777777" w:rsidTr="00142BEE">
        <w:trPr>
          <w:trHeight w:val="20"/>
        </w:trPr>
        <w:tc>
          <w:tcPr>
            <w:tcW w:w="892" w:type="dxa"/>
            <w:hideMark/>
          </w:tcPr>
          <w:p w14:paraId="64DCD587"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w:t>
            </w:r>
          </w:p>
        </w:tc>
        <w:tc>
          <w:tcPr>
            <w:tcW w:w="743" w:type="dxa"/>
            <w:hideMark/>
          </w:tcPr>
          <w:p w14:paraId="06F89A3A"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w:t>
            </w:r>
          </w:p>
        </w:tc>
        <w:tc>
          <w:tcPr>
            <w:tcW w:w="743" w:type="dxa"/>
            <w:hideMark/>
          </w:tcPr>
          <w:p w14:paraId="0A41520E"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3</w:t>
            </w:r>
          </w:p>
        </w:tc>
        <w:tc>
          <w:tcPr>
            <w:tcW w:w="743" w:type="dxa"/>
            <w:hideMark/>
          </w:tcPr>
          <w:p w14:paraId="06F5924B"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4</w:t>
            </w:r>
          </w:p>
        </w:tc>
        <w:tc>
          <w:tcPr>
            <w:tcW w:w="743" w:type="dxa"/>
            <w:hideMark/>
          </w:tcPr>
          <w:p w14:paraId="15FA0B5C"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5</w:t>
            </w:r>
          </w:p>
        </w:tc>
        <w:tc>
          <w:tcPr>
            <w:tcW w:w="743" w:type="dxa"/>
            <w:hideMark/>
          </w:tcPr>
          <w:p w14:paraId="3492802B"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6</w:t>
            </w:r>
          </w:p>
        </w:tc>
        <w:tc>
          <w:tcPr>
            <w:tcW w:w="662" w:type="dxa"/>
            <w:hideMark/>
          </w:tcPr>
          <w:p w14:paraId="734BD0DA"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7=6-5</w:t>
            </w:r>
          </w:p>
        </w:tc>
        <w:tc>
          <w:tcPr>
            <w:tcW w:w="659" w:type="dxa"/>
            <w:hideMark/>
          </w:tcPr>
          <w:p w14:paraId="3E98363A"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 8=6*</w:t>
            </w:r>
          </w:p>
          <w:p w14:paraId="706532CC"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100/5</w:t>
            </w:r>
          </w:p>
        </w:tc>
        <w:tc>
          <w:tcPr>
            <w:tcW w:w="662" w:type="dxa"/>
            <w:hideMark/>
          </w:tcPr>
          <w:p w14:paraId="755AB33E"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9=6-4</w:t>
            </w:r>
          </w:p>
        </w:tc>
        <w:tc>
          <w:tcPr>
            <w:tcW w:w="659" w:type="dxa"/>
            <w:hideMark/>
          </w:tcPr>
          <w:p w14:paraId="339B4A89"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 10=6*</w:t>
            </w:r>
          </w:p>
          <w:p w14:paraId="67872ABB"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100/4</w:t>
            </w:r>
          </w:p>
        </w:tc>
        <w:tc>
          <w:tcPr>
            <w:tcW w:w="743" w:type="dxa"/>
            <w:hideMark/>
          </w:tcPr>
          <w:p w14:paraId="477F3448"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11=6-3</w:t>
            </w:r>
          </w:p>
        </w:tc>
        <w:tc>
          <w:tcPr>
            <w:tcW w:w="620" w:type="dxa"/>
            <w:hideMark/>
          </w:tcPr>
          <w:p w14:paraId="76057AA8"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12=6*</w:t>
            </w:r>
          </w:p>
          <w:p w14:paraId="4B3F6A54"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100/3</w:t>
            </w:r>
          </w:p>
        </w:tc>
        <w:tc>
          <w:tcPr>
            <w:tcW w:w="743" w:type="dxa"/>
            <w:hideMark/>
          </w:tcPr>
          <w:p w14:paraId="5ADEF68D"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13=6-2</w:t>
            </w:r>
          </w:p>
        </w:tc>
        <w:tc>
          <w:tcPr>
            <w:tcW w:w="715" w:type="dxa"/>
            <w:hideMark/>
          </w:tcPr>
          <w:p w14:paraId="36A5577D"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14=6*</w:t>
            </w:r>
          </w:p>
          <w:p w14:paraId="001A2F34" w14:textId="77777777" w:rsidR="005E7DC9" w:rsidRPr="00653E85" w:rsidRDefault="005E7DC9" w:rsidP="00E65C9C">
            <w:pPr>
              <w:jc w:val="cente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100/2</w:t>
            </w:r>
          </w:p>
        </w:tc>
      </w:tr>
      <w:tr w:rsidR="005E7DC9" w:rsidRPr="00B7675F" w14:paraId="0B70855C" w14:textId="77777777" w:rsidTr="00142BEE">
        <w:trPr>
          <w:trHeight w:val="20"/>
        </w:trPr>
        <w:tc>
          <w:tcPr>
            <w:tcW w:w="892" w:type="dxa"/>
            <w:hideMark/>
          </w:tcPr>
          <w:p w14:paraId="77E9E4A7" w14:textId="77777777" w:rsidR="005E7DC9" w:rsidRPr="00653E85" w:rsidRDefault="005E7DC9" w:rsidP="00E65C9C">
            <w:pP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Cheltuieli precizate</w:t>
            </w:r>
          </w:p>
        </w:tc>
        <w:tc>
          <w:tcPr>
            <w:tcW w:w="743" w:type="dxa"/>
            <w:hideMark/>
          </w:tcPr>
          <w:p w14:paraId="62F5D863"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19605.4</w:t>
            </w:r>
          </w:p>
        </w:tc>
        <w:tc>
          <w:tcPr>
            <w:tcW w:w="743" w:type="dxa"/>
            <w:hideMark/>
          </w:tcPr>
          <w:p w14:paraId="0C7B3718"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21866.5</w:t>
            </w:r>
          </w:p>
        </w:tc>
        <w:tc>
          <w:tcPr>
            <w:tcW w:w="743" w:type="dxa"/>
            <w:hideMark/>
          </w:tcPr>
          <w:p w14:paraId="6DFD411F"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24549.9</w:t>
            </w:r>
          </w:p>
        </w:tc>
        <w:tc>
          <w:tcPr>
            <w:tcW w:w="743" w:type="dxa"/>
            <w:hideMark/>
          </w:tcPr>
          <w:p w14:paraId="27B8455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27606.4</w:t>
            </w:r>
          </w:p>
        </w:tc>
        <w:tc>
          <w:tcPr>
            <w:tcW w:w="743" w:type="dxa"/>
            <w:hideMark/>
          </w:tcPr>
          <w:p w14:paraId="6347DC1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34180.7</w:t>
            </w:r>
          </w:p>
        </w:tc>
        <w:tc>
          <w:tcPr>
            <w:tcW w:w="662" w:type="dxa"/>
            <w:hideMark/>
          </w:tcPr>
          <w:p w14:paraId="56D22F06"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6574.3</w:t>
            </w:r>
          </w:p>
        </w:tc>
        <w:tc>
          <w:tcPr>
            <w:tcW w:w="659" w:type="dxa"/>
            <w:hideMark/>
          </w:tcPr>
          <w:p w14:paraId="5862D185"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123.8</w:t>
            </w:r>
          </w:p>
        </w:tc>
        <w:tc>
          <w:tcPr>
            <w:tcW w:w="662" w:type="dxa"/>
            <w:hideMark/>
          </w:tcPr>
          <w:p w14:paraId="620CBB13"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9630.8</w:t>
            </w:r>
          </w:p>
        </w:tc>
        <w:tc>
          <w:tcPr>
            <w:tcW w:w="659" w:type="dxa"/>
            <w:hideMark/>
          </w:tcPr>
          <w:p w14:paraId="1D71A6FD"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139.2</w:t>
            </w:r>
          </w:p>
        </w:tc>
        <w:tc>
          <w:tcPr>
            <w:tcW w:w="743" w:type="dxa"/>
            <w:hideMark/>
          </w:tcPr>
          <w:p w14:paraId="2C1FFEA5"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12314.2</w:t>
            </w:r>
          </w:p>
        </w:tc>
        <w:tc>
          <w:tcPr>
            <w:tcW w:w="620" w:type="dxa"/>
            <w:hideMark/>
          </w:tcPr>
          <w:p w14:paraId="6278C566"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156.3</w:t>
            </w:r>
          </w:p>
        </w:tc>
        <w:tc>
          <w:tcPr>
            <w:tcW w:w="743" w:type="dxa"/>
            <w:hideMark/>
          </w:tcPr>
          <w:p w14:paraId="4E39C281"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14575.3</w:t>
            </w:r>
          </w:p>
        </w:tc>
        <w:tc>
          <w:tcPr>
            <w:tcW w:w="715" w:type="dxa"/>
            <w:hideMark/>
          </w:tcPr>
          <w:p w14:paraId="18E7B0A6"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174.3</w:t>
            </w:r>
          </w:p>
        </w:tc>
      </w:tr>
      <w:tr w:rsidR="005E7DC9" w:rsidRPr="00B7675F" w14:paraId="494A9ED7" w14:textId="77777777" w:rsidTr="00142BEE">
        <w:trPr>
          <w:trHeight w:val="20"/>
        </w:trPr>
        <w:tc>
          <w:tcPr>
            <w:tcW w:w="892" w:type="dxa"/>
            <w:hideMark/>
          </w:tcPr>
          <w:p w14:paraId="76B8BE9C" w14:textId="77777777" w:rsidR="005E7DC9" w:rsidRPr="00653E85" w:rsidRDefault="005E7DC9" w:rsidP="00E65C9C">
            <w:pPr>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Cheltuieli executate, inclusiv:</w:t>
            </w:r>
          </w:p>
        </w:tc>
        <w:tc>
          <w:tcPr>
            <w:tcW w:w="743" w:type="dxa"/>
            <w:hideMark/>
          </w:tcPr>
          <w:p w14:paraId="28755C9C"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19410.8</w:t>
            </w:r>
          </w:p>
        </w:tc>
        <w:tc>
          <w:tcPr>
            <w:tcW w:w="743" w:type="dxa"/>
            <w:hideMark/>
          </w:tcPr>
          <w:p w14:paraId="396EA2EA"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21589.8</w:t>
            </w:r>
          </w:p>
        </w:tc>
        <w:tc>
          <w:tcPr>
            <w:tcW w:w="743" w:type="dxa"/>
            <w:hideMark/>
          </w:tcPr>
          <w:p w14:paraId="646CC778"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24230.7</w:t>
            </w:r>
          </w:p>
        </w:tc>
        <w:tc>
          <w:tcPr>
            <w:tcW w:w="743" w:type="dxa"/>
            <w:hideMark/>
          </w:tcPr>
          <w:p w14:paraId="3C2D25FA"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27172.1</w:t>
            </w:r>
          </w:p>
        </w:tc>
        <w:tc>
          <w:tcPr>
            <w:tcW w:w="743" w:type="dxa"/>
            <w:hideMark/>
          </w:tcPr>
          <w:p w14:paraId="2B16CA6D"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33728.2</w:t>
            </w:r>
          </w:p>
        </w:tc>
        <w:tc>
          <w:tcPr>
            <w:tcW w:w="662" w:type="dxa"/>
            <w:hideMark/>
          </w:tcPr>
          <w:p w14:paraId="246092F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6556.1</w:t>
            </w:r>
          </w:p>
        </w:tc>
        <w:tc>
          <w:tcPr>
            <w:tcW w:w="659" w:type="dxa"/>
            <w:hideMark/>
          </w:tcPr>
          <w:p w14:paraId="27F1C4C6"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124.1</w:t>
            </w:r>
          </w:p>
        </w:tc>
        <w:tc>
          <w:tcPr>
            <w:tcW w:w="662" w:type="dxa"/>
            <w:hideMark/>
          </w:tcPr>
          <w:p w14:paraId="0116B3A1"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9497.5</w:t>
            </w:r>
          </w:p>
        </w:tc>
        <w:tc>
          <w:tcPr>
            <w:tcW w:w="659" w:type="dxa"/>
            <w:hideMark/>
          </w:tcPr>
          <w:p w14:paraId="5EF5D6D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139.2</w:t>
            </w:r>
          </w:p>
        </w:tc>
        <w:tc>
          <w:tcPr>
            <w:tcW w:w="743" w:type="dxa"/>
            <w:hideMark/>
          </w:tcPr>
          <w:p w14:paraId="183FEE85"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12138.4</w:t>
            </w:r>
          </w:p>
        </w:tc>
        <w:tc>
          <w:tcPr>
            <w:tcW w:w="620" w:type="dxa"/>
            <w:hideMark/>
          </w:tcPr>
          <w:p w14:paraId="67AE1F48"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156.2</w:t>
            </w:r>
          </w:p>
        </w:tc>
        <w:tc>
          <w:tcPr>
            <w:tcW w:w="743" w:type="dxa"/>
            <w:hideMark/>
          </w:tcPr>
          <w:p w14:paraId="1DF30B7D"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14317.4</w:t>
            </w:r>
          </w:p>
        </w:tc>
        <w:tc>
          <w:tcPr>
            <w:tcW w:w="715" w:type="dxa"/>
            <w:hideMark/>
          </w:tcPr>
          <w:p w14:paraId="100C7755"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173.8</w:t>
            </w:r>
          </w:p>
        </w:tc>
      </w:tr>
      <w:tr w:rsidR="005E7DC9" w:rsidRPr="00B7675F" w14:paraId="400187D0" w14:textId="77777777" w:rsidTr="00142BEE">
        <w:trPr>
          <w:trHeight w:val="20"/>
        </w:trPr>
        <w:tc>
          <w:tcPr>
            <w:tcW w:w="892" w:type="dxa"/>
            <w:hideMark/>
          </w:tcPr>
          <w:p w14:paraId="4EBC8954" w14:textId="77777777" w:rsidR="005E7DC9" w:rsidRPr="00653E85" w:rsidRDefault="005E7DC9" w:rsidP="00E65C9C">
            <w:pPr>
              <w:rPr>
                <w:rFonts w:ascii="Calibri Light" w:eastAsia="Times New Roman" w:hAnsi="Calibri Light" w:cs="Calibri Light"/>
                <w:color w:val="000000"/>
                <w:sz w:val="16"/>
                <w:szCs w:val="16"/>
                <w:lang w:val="ro-MD"/>
              </w:rPr>
            </w:pPr>
            <w:r w:rsidRPr="00653E85">
              <w:rPr>
                <w:rFonts w:ascii="Calibri Light" w:eastAsia="Times New Roman" w:hAnsi="Calibri Light" w:cs="Calibri Light"/>
                <w:color w:val="000000"/>
                <w:sz w:val="16"/>
                <w:szCs w:val="16"/>
                <w:lang w:val="ro-MD"/>
              </w:rPr>
              <w:t>Prestaţii sociale</w:t>
            </w:r>
          </w:p>
        </w:tc>
        <w:tc>
          <w:tcPr>
            <w:tcW w:w="743" w:type="dxa"/>
            <w:hideMark/>
          </w:tcPr>
          <w:p w14:paraId="31ED3295"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19110.7</w:t>
            </w:r>
          </w:p>
        </w:tc>
        <w:tc>
          <w:tcPr>
            <w:tcW w:w="743" w:type="dxa"/>
            <w:hideMark/>
          </w:tcPr>
          <w:p w14:paraId="73BA5A83"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21206.2</w:t>
            </w:r>
          </w:p>
        </w:tc>
        <w:tc>
          <w:tcPr>
            <w:tcW w:w="743" w:type="dxa"/>
            <w:hideMark/>
          </w:tcPr>
          <w:p w14:paraId="4F2F525E"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23837.8</w:t>
            </w:r>
          </w:p>
        </w:tc>
        <w:tc>
          <w:tcPr>
            <w:tcW w:w="743" w:type="dxa"/>
            <w:hideMark/>
          </w:tcPr>
          <w:p w14:paraId="6577C6E0"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26756.3</w:t>
            </w:r>
          </w:p>
        </w:tc>
        <w:tc>
          <w:tcPr>
            <w:tcW w:w="743" w:type="dxa"/>
            <w:hideMark/>
          </w:tcPr>
          <w:p w14:paraId="3F155A57"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33294.2</w:t>
            </w:r>
          </w:p>
        </w:tc>
        <w:tc>
          <w:tcPr>
            <w:tcW w:w="662" w:type="dxa"/>
            <w:hideMark/>
          </w:tcPr>
          <w:p w14:paraId="313782B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6537.9</w:t>
            </w:r>
          </w:p>
        </w:tc>
        <w:tc>
          <w:tcPr>
            <w:tcW w:w="659" w:type="dxa"/>
            <w:hideMark/>
          </w:tcPr>
          <w:p w14:paraId="399E686B"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124.4</w:t>
            </w:r>
          </w:p>
        </w:tc>
        <w:tc>
          <w:tcPr>
            <w:tcW w:w="662" w:type="dxa"/>
            <w:hideMark/>
          </w:tcPr>
          <w:p w14:paraId="0D18A4B8"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9456.4</w:t>
            </w:r>
          </w:p>
        </w:tc>
        <w:tc>
          <w:tcPr>
            <w:tcW w:w="659" w:type="dxa"/>
            <w:hideMark/>
          </w:tcPr>
          <w:p w14:paraId="0573E424"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139.7</w:t>
            </w:r>
          </w:p>
        </w:tc>
        <w:tc>
          <w:tcPr>
            <w:tcW w:w="743" w:type="dxa"/>
            <w:hideMark/>
          </w:tcPr>
          <w:p w14:paraId="4A03DC85"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12088.0</w:t>
            </w:r>
          </w:p>
        </w:tc>
        <w:tc>
          <w:tcPr>
            <w:tcW w:w="620" w:type="dxa"/>
            <w:hideMark/>
          </w:tcPr>
          <w:p w14:paraId="112FB0F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157.0</w:t>
            </w:r>
          </w:p>
        </w:tc>
        <w:tc>
          <w:tcPr>
            <w:tcW w:w="743" w:type="dxa"/>
            <w:hideMark/>
          </w:tcPr>
          <w:p w14:paraId="6DA399C3"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14183.5</w:t>
            </w:r>
          </w:p>
        </w:tc>
        <w:tc>
          <w:tcPr>
            <w:tcW w:w="715" w:type="dxa"/>
            <w:hideMark/>
          </w:tcPr>
          <w:p w14:paraId="384EBEFB"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174.2</w:t>
            </w:r>
          </w:p>
        </w:tc>
      </w:tr>
      <w:tr w:rsidR="005E7DC9" w:rsidRPr="00B7675F" w14:paraId="3EFB3494" w14:textId="77777777" w:rsidTr="00142BEE">
        <w:trPr>
          <w:trHeight w:val="20"/>
        </w:trPr>
        <w:tc>
          <w:tcPr>
            <w:tcW w:w="892" w:type="dxa"/>
            <w:hideMark/>
          </w:tcPr>
          <w:p w14:paraId="15C40E3B" w14:textId="77777777" w:rsidR="005E7DC9" w:rsidRPr="00653E85" w:rsidRDefault="005E7DC9" w:rsidP="00E65C9C">
            <w:pPr>
              <w:rPr>
                <w:rFonts w:ascii="Calibri Light" w:eastAsia="Times New Roman" w:hAnsi="Calibri Light" w:cs="Calibri Light"/>
                <w:color w:val="000000"/>
                <w:sz w:val="16"/>
                <w:szCs w:val="16"/>
                <w:lang w:val="ro-MD"/>
              </w:rPr>
            </w:pPr>
            <w:r w:rsidRPr="00653E85">
              <w:rPr>
                <w:rFonts w:ascii="Calibri Light" w:eastAsia="Times New Roman" w:hAnsi="Calibri Light" w:cs="Calibri Light"/>
                <w:color w:val="000000"/>
                <w:sz w:val="16"/>
                <w:szCs w:val="16"/>
                <w:lang w:val="ro-MD"/>
              </w:rPr>
              <w:t>Bunuri şi servicii</w:t>
            </w:r>
          </w:p>
        </w:tc>
        <w:tc>
          <w:tcPr>
            <w:tcW w:w="743" w:type="dxa"/>
            <w:hideMark/>
          </w:tcPr>
          <w:p w14:paraId="1D62B4D8"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183.6</w:t>
            </w:r>
          </w:p>
        </w:tc>
        <w:tc>
          <w:tcPr>
            <w:tcW w:w="743" w:type="dxa"/>
            <w:hideMark/>
          </w:tcPr>
          <w:p w14:paraId="6EC079EA"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235.8</w:t>
            </w:r>
          </w:p>
        </w:tc>
        <w:tc>
          <w:tcPr>
            <w:tcW w:w="743" w:type="dxa"/>
            <w:hideMark/>
          </w:tcPr>
          <w:p w14:paraId="6911EFBB"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230.3</w:t>
            </w:r>
          </w:p>
        </w:tc>
        <w:tc>
          <w:tcPr>
            <w:tcW w:w="743" w:type="dxa"/>
            <w:hideMark/>
          </w:tcPr>
          <w:p w14:paraId="7026BE29"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235.4</w:t>
            </w:r>
          </w:p>
        </w:tc>
        <w:tc>
          <w:tcPr>
            <w:tcW w:w="743" w:type="dxa"/>
            <w:hideMark/>
          </w:tcPr>
          <w:p w14:paraId="195A13F2"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243.3</w:t>
            </w:r>
          </w:p>
        </w:tc>
        <w:tc>
          <w:tcPr>
            <w:tcW w:w="662" w:type="dxa"/>
            <w:hideMark/>
          </w:tcPr>
          <w:p w14:paraId="2FBBF7DE"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7.9</w:t>
            </w:r>
          </w:p>
        </w:tc>
        <w:tc>
          <w:tcPr>
            <w:tcW w:w="659" w:type="dxa"/>
            <w:hideMark/>
          </w:tcPr>
          <w:p w14:paraId="5920C80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103.4</w:t>
            </w:r>
          </w:p>
        </w:tc>
        <w:tc>
          <w:tcPr>
            <w:tcW w:w="662" w:type="dxa"/>
            <w:hideMark/>
          </w:tcPr>
          <w:p w14:paraId="59A6A03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w:t>
            </w:r>
          </w:p>
        </w:tc>
        <w:tc>
          <w:tcPr>
            <w:tcW w:w="659" w:type="dxa"/>
            <w:hideMark/>
          </w:tcPr>
          <w:p w14:paraId="685D387E"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105.6</w:t>
            </w:r>
          </w:p>
        </w:tc>
        <w:tc>
          <w:tcPr>
            <w:tcW w:w="743" w:type="dxa"/>
            <w:hideMark/>
          </w:tcPr>
          <w:p w14:paraId="5B4D23CC"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7.5</w:t>
            </w:r>
          </w:p>
        </w:tc>
        <w:tc>
          <w:tcPr>
            <w:tcW w:w="620" w:type="dxa"/>
            <w:hideMark/>
          </w:tcPr>
          <w:p w14:paraId="396323C6"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103.2</w:t>
            </w:r>
          </w:p>
        </w:tc>
        <w:tc>
          <w:tcPr>
            <w:tcW w:w="743" w:type="dxa"/>
            <w:hideMark/>
          </w:tcPr>
          <w:p w14:paraId="2B60348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59.7</w:t>
            </w:r>
          </w:p>
        </w:tc>
        <w:tc>
          <w:tcPr>
            <w:tcW w:w="715" w:type="dxa"/>
            <w:hideMark/>
          </w:tcPr>
          <w:p w14:paraId="24CBF17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132.5</w:t>
            </w:r>
          </w:p>
        </w:tc>
      </w:tr>
      <w:tr w:rsidR="005E7DC9" w:rsidRPr="00B7675F" w14:paraId="41528F55" w14:textId="77777777" w:rsidTr="00142BEE">
        <w:trPr>
          <w:trHeight w:val="20"/>
        </w:trPr>
        <w:tc>
          <w:tcPr>
            <w:tcW w:w="892" w:type="dxa"/>
            <w:hideMark/>
          </w:tcPr>
          <w:p w14:paraId="461CDD25" w14:textId="77777777" w:rsidR="005E7DC9" w:rsidRPr="00653E85" w:rsidRDefault="005E7DC9" w:rsidP="00E65C9C">
            <w:pPr>
              <w:rPr>
                <w:rFonts w:ascii="Calibri Light" w:eastAsia="Times New Roman" w:hAnsi="Calibri Light" w:cs="Calibri Light"/>
                <w:color w:val="000000"/>
                <w:sz w:val="16"/>
                <w:szCs w:val="16"/>
                <w:lang w:val="ro-MD"/>
              </w:rPr>
            </w:pPr>
            <w:r w:rsidRPr="00653E85">
              <w:rPr>
                <w:rFonts w:ascii="Calibri Light" w:eastAsia="Times New Roman" w:hAnsi="Calibri Light" w:cs="Calibri Light"/>
                <w:color w:val="000000"/>
                <w:sz w:val="16"/>
                <w:szCs w:val="16"/>
                <w:lang w:val="ro-MD"/>
              </w:rPr>
              <w:t>Cheltuieli de personal</w:t>
            </w:r>
          </w:p>
        </w:tc>
        <w:tc>
          <w:tcPr>
            <w:tcW w:w="743" w:type="dxa"/>
            <w:hideMark/>
          </w:tcPr>
          <w:p w14:paraId="5C5CA3F0"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113.1</w:t>
            </w:r>
          </w:p>
        </w:tc>
        <w:tc>
          <w:tcPr>
            <w:tcW w:w="743" w:type="dxa"/>
            <w:hideMark/>
          </w:tcPr>
          <w:p w14:paraId="690A23AC"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142.9</w:t>
            </w:r>
          </w:p>
        </w:tc>
        <w:tc>
          <w:tcPr>
            <w:tcW w:w="743" w:type="dxa"/>
            <w:hideMark/>
          </w:tcPr>
          <w:p w14:paraId="4507767E"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158</w:t>
            </w:r>
          </w:p>
        </w:tc>
        <w:tc>
          <w:tcPr>
            <w:tcW w:w="743" w:type="dxa"/>
            <w:hideMark/>
          </w:tcPr>
          <w:p w14:paraId="4A59A706"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175.4</w:t>
            </w:r>
          </w:p>
        </w:tc>
        <w:tc>
          <w:tcPr>
            <w:tcW w:w="743" w:type="dxa"/>
            <w:hideMark/>
          </w:tcPr>
          <w:p w14:paraId="6C69768E"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185.7</w:t>
            </w:r>
          </w:p>
        </w:tc>
        <w:tc>
          <w:tcPr>
            <w:tcW w:w="662" w:type="dxa"/>
            <w:hideMark/>
          </w:tcPr>
          <w:p w14:paraId="24F61C93"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10.3</w:t>
            </w:r>
          </w:p>
        </w:tc>
        <w:tc>
          <w:tcPr>
            <w:tcW w:w="659" w:type="dxa"/>
            <w:hideMark/>
          </w:tcPr>
          <w:p w14:paraId="10B2F7F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105.9</w:t>
            </w:r>
          </w:p>
        </w:tc>
        <w:tc>
          <w:tcPr>
            <w:tcW w:w="662" w:type="dxa"/>
            <w:hideMark/>
          </w:tcPr>
          <w:p w14:paraId="3CDF79ED"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27.7</w:t>
            </w:r>
          </w:p>
        </w:tc>
        <w:tc>
          <w:tcPr>
            <w:tcW w:w="659" w:type="dxa"/>
            <w:hideMark/>
          </w:tcPr>
          <w:p w14:paraId="64553F9A"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117.5</w:t>
            </w:r>
          </w:p>
        </w:tc>
        <w:tc>
          <w:tcPr>
            <w:tcW w:w="743" w:type="dxa"/>
            <w:hideMark/>
          </w:tcPr>
          <w:p w14:paraId="3575F43A"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42.8</w:t>
            </w:r>
          </w:p>
        </w:tc>
        <w:tc>
          <w:tcPr>
            <w:tcW w:w="620" w:type="dxa"/>
            <w:hideMark/>
          </w:tcPr>
          <w:p w14:paraId="09272386"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130.0</w:t>
            </w:r>
          </w:p>
        </w:tc>
        <w:tc>
          <w:tcPr>
            <w:tcW w:w="743" w:type="dxa"/>
            <w:hideMark/>
          </w:tcPr>
          <w:p w14:paraId="3D8A85F9"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72.6</w:t>
            </w:r>
          </w:p>
        </w:tc>
        <w:tc>
          <w:tcPr>
            <w:tcW w:w="715" w:type="dxa"/>
            <w:hideMark/>
          </w:tcPr>
          <w:p w14:paraId="0642877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164.2</w:t>
            </w:r>
          </w:p>
        </w:tc>
      </w:tr>
      <w:tr w:rsidR="005E7DC9" w:rsidRPr="00B7675F" w14:paraId="3045C52E" w14:textId="77777777" w:rsidTr="00142BEE">
        <w:trPr>
          <w:trHeight w:val="20"/>
        </w:trPr>
        <w:tc>
          <w:tcPr>
            <w:tcW w:w="892" w:type="dxa"/>
            <w:hideMark/>
          </w:tcPr>
          <w:p w14:paraId="175179D6" w14:textId="77777777" w:rsidR="005E7DC9" w:rsidRPr="00653E85" w:rsidRDefault="005E7DC9" w:rsidP="00E65C9C">
            <w:pPr>
              <w:rPr>
                <w:rFonts w:ascii="Calibri Light" w:eastAsia="Times New Roman" w:hAnsi="Calibri Light" w:cs="Calibri Light"/>
                <w:color w:val="000000"/>
                <w:sz w:val="16"/>
                <w:szCs w:val="16"/>
                <w:lang w:val="ro-MD"/>
              </w:rPr>
            </w:pPr>
            <w:r w:rsidRPr="00653E85">
              <w:rPr>
                <w:rFonts w:ascii="Calibri Light" w:eastAsia="Times New Roman" w:hAnsi="Calibri Light" w:cs="Calibri Light"/>
                <w:color w:val="000000"/>
                <w:sz w:val="16"/>
                <w:szCs w:val="16"/>
                <w:lang w:val="ro-MD"/>
              </w:rPr>
              <w:t>Alte cheltuieli</w:t>
            </w:r>
          </w:p>
        </w:tc>
        <w:tc>
          <w:tcPr>
            <w:tcW w:w="743" w:type="dxa"/>
            <w:hideMark/>
          </w:tcPr>
          <w:p w14:paraId="2BBBC4EF"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3.4</w:t>
            </w:r>
          </w:p>
        </w:tc>
        <w:tc>
          <w:tcPr>
            <w:tcW w:w="743" w:type="dxa"/>
            <w:hideMark/>
          </w:tcPr>
          <w:p w14:paraId="5D7ED585"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4.9</w:t>
            </w:r>
          </w:p>
        </w:tc>
        <w:tc>
          <w:tcPr>
            <w:tcW w:w="743" w:type="dxa"/>
            <w:hideMark/>
          </w:tcPr>
          <w:p w14:paraId="65D24135"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4.6</w:t>
            </w:r>
          </w:p>
        </w:tc>
        <w:tc>
          <w:tcPr>
            <w:tcW w:w="743" w:type="dxa"/>
            <w:hideMark/>
          </w:tcPr>
          <w:p w14:paraId="4E1C6BB0"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4.9</w:t>
            </w:r>
          </w:p>
        </w:tc>
        <w:tc>
          <w:tcPr>
            <w:tcW w:w="743" w:type="dxa"/>
            <w:hideMark/>
          </w:tcPr>
          <w:p w14:paraId="335C2C2F" w14:textId="77777777" w:rsidR="005E7DC9" w:rsidRPr="00653E85" w:rsidRDefault="005E7DC9" w:rsidP="00E65C9C">
            <w:pPr>
              <w:jc w:val="right"/>
              <w:rPr>
                <w:rFonts w:ascii="Calibri Light" w:eastAsia="Times New Roman" w:hAnsi="Calibri Light" w:cs="Calibri Light"/>
                <w:b/>
                <w:color w:val="000000"/>
                <w:sz w:val="16"/>
                <w:szCs w:val="16"/>
                <w:lang w:val="ro-MD"/>
              </w:rPr>
            </w:pPr>
            <w:r w:rsidRPr="00653E85">
              <w:rPr>
                <w:rFonts w:ascii="Calibri Light" w:eastAsia="Times New Roman" w:hAnsi="Calibri Light" w:cs="Calibri Light"/>
                <w:b/>
                <w:color w:val="000000"/>
                <w:sz w:val="16"/>
                <w:szCs w:val="16"/>
                <w:lang w:val="ro-MD"/>
              </w:rPr>
              <w:t>4.9</w:t>
            </w:r>
          </w:p>
        </w:tc>
        <w:tc>
          <w:tcPr>
            <w:tcW w:w="662" w:type="dxa"/>
            <w:hideMark/>
          </w:tcPr>
          <w:p w14:paraId="7217DA77"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0</w:t>
            </w:r>
          </w:p>
        </w:tc>
        <w:tc>
          <w:tcPr>
            <w:tcW w:w="659" w:type="dxa"/>
            <w:hideMark/>
          </w:tcPr>
          <w:p w14:paraId="18250DCE"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100.0</w:t>
            </w:r>
          </w:p>
        </w:tc>
        <w:tc>
          <w:tcPr>
            <w:tcW w:w="662" w:type="dxa"/>
            <w:hideMark/>
          </w:tcPr>
          <w:p w14:paraId="608F540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0.3</w:t>
            </w:r>
          </w:p>
        </w:tc>
        <w:tc>
          <w:tcPr>
            <w:tcW w:w="659" w:type="dxa"/>
            <w:hideMark/>
          </w:tcPr>
          <w:p w14:paraId="75967EBB"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106.5</w:t>
            </w:r>
          </w:p>
        </w:tc>
        <w:tc>
          <w:tcPr>
            <w:tcW w:w="743" w:type="dxa"/>
            <w:hideMark/>
          </w:tcPr>
          <w:p w14:paraId="2988BA01"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0.0</w:t>
            </w:r>
          </w:p>
        </w:tc>
        <w:tc>
          <w:tcPr>
            <w:tcW w:w="620" w:type="dxa"/>
            <w:hideMark/>
          </w:tcPr>
          <w:p w14:paraId="7D548BC1"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100.0</w:t>
            </w:r>
          </w:p>
        </w:tc>
        <w:tc>
          <w:tcPr>
            <w:tcW w:w="743" w:type="dxa"/>
            <w:hideMark/>
          </w:tcPr>
          <w:p w14:paraId="2F8271B0"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1.5</w:t>
            </w:r>
          </w:p>
        </w:tc>
        <w:tc>
          <w:tcPr>
            <w:tcW w:w="715" w:type="dxa"/>
            <w:hideMark/>
          </w:tcPr>
          <w:p w14:paraId="3A50291B" w14:textId="77777777" w:rsidR="005E7DC9" w:rsidRPr="00653E85" w:rsidRDefault="005E7DC9" w:rsidP="00E65C9C">
            <w:pPr>
              <w:jc w:val="right"/>
              <w:rPr>
                <w:rFonts w:ascii="Calibri Light" w:eastAsia="Times New Roman" w:hAnsi="Calibri Light" w:cs="Calibri Light"/>
                <w:b/>
                <w:bCs/>
                <w:color w:val="000000"/>
                <w:sz w:val="16"/>
                <w:szCs w:val="16"/>
                <w:lang w:val="ro-MD"/>
              </w:rPr>
            </w:pPr>
            <w:r w:rsidRPr="00653E85">
              <w:rPr>
                <w:rFonts w:ascii="Calibri Light" w:eastAsia="Times New Roman" w:hAnsi="Calibri Light" w:cs="Calibri Light"/>
                <w:b/>
                <w:bCs/>
                <w:color w:val="000000"/>
                <w:sz w:val="16"/>
                <w:szCs w:val="16"/>
                <w:lang w:val="ro-MD"/>
              </w:rPr>
              <w:t>144.1</w:t>
            </w:r>
          </w:p>
        </w:tc>
      </w:tr>
    </w:tbl>
    <w:p w14:paraId="7FAA3D6A" w14:textId="77777777" w:rsidR="005E7DC9" w:rsidRPr="00653E85"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b/>
          <w:i/>
          <w:sz w:val="20"/>
          <w:szCs w:val="24"/>
          <w:lang w:val="ro-MD"/>
        </w:rPr>
        <w:t>Sursa:</w:t>
      </w:r>
      <w:r w:rsidRPr="00653E85">
        <w:rPr>
          <w:rFonts w:asciiTheme="majorHAnsi" w:hAnsiTheme="majorHAnsi" w:cstheme="majorHAnsi"/>
          <w:sz w:val="18"/>
          <w:lang w:val="ro-MD"/>
        </w:rPr>
        <w:t xml:space="preserve"> </w:t>
      </w:r>
      <w:r w:rsidRPr="00653E85">
        <w:rPr>
          <w:rFonts w:asciiTheme="majorHAnsi" w:hAnsiTheme="majorHAnsi" w:cstheme="majorHAnsi"/>
          <w:i/>
          <w:sz w:val="20"/>
          <w:lang w:val="ro-MD"/>
        </w:rPr>
        <w:t>Informații generalizate de echipa de audit din Rapoartele privind executarea bugetului asigurărilor sociale de stat pe anii 2018-2022.</w:t>
      </w:r>
    </w:p>
    <w:p w14:paraId="41030531" w14:textId="39391F82" w:rsidR="005E7DC9" w:rsidRPr="00653E85" w:rsidRDefault="005E7DC9" w:rsidP="005E7DC9">
      <w:pPr>
        <w:spacing w:after="0" w:line="276" w:lineRule="auto"/>
        <w:jc w:val="both"/>
        <w:rPr>
          <w:rFonts w:asciiTheme="majorHAnsi" w:eastAsia="Times New Roman" w:hAnsiTheme="majorHAnsi" w:cstheme="majorHAnsi"/>
          <w:sz w:val="24"/>
          <w:szCs w:val="24"/>
          <w:lang w:val="ro-MD"/>
        </w:rPr>
      </w:pPr>
      <w:r w:rsidRPr="00653E85">
        <w:rPr>
          <w:rFonts w:asciiTheme="majorHAnsi" w:hAnsiTheme="majorHAnsi" w:cstheme="majorHAnsi"/>
          <w:sz w:val="24"/>
          <w:szCs w:val="24"/>
          <w:lang w:val="ro-MD"/>
        </w:rPr>
        <w:t xml:space="preserve">Cea mai mare pondere în structura cheltuielilor </w:t>
      </w:r>
      <w:r w:rsidRPr="00653E85">
        <w:rPr>
          <w:rFonts w:asciiTheme="majorHAnsi" w:eastAsia="Times New Roman" w:hAnsiTheme="majorHAnsi" w:cstheme="majorHAnsi"/>
          <w:sz w:val="24"/>
          <w:szCs w:val="24"/>
          <w:lang w:val="ro-MD"/>
        </w:rPr>
        <w:t xml:space="preserve">bugetului asigurărilor sociale de stat o dețin </w:t>
      </w:r>
      <w:r w:rsidRPr="00653E85">
        <w:rPr>
          <w:rFonts w:asciiTheme="majorHAnsi" w:eastAsia="Times New Roman" w:hAnsiTheme="majorHAnsi" w:cstheme="majorHAnsi"/>
          <w:b/>
          <w:sz w:val="24"/>
          <w:szCs w:val="24"/>
          <w:lang w:val="ro-MD"/>
        </w:rPr>
        <w:t>prestațiile sociale</w:t>
      </w:r>
      <w:r w:rsidRPr="00653E85">
        <w:rPr>
          <w:rFonts w:asciiTheme="majorHAnsi" w:eastAsia="Times New Roman" w:hAnsiTheme="majorHAnsi" w:cstheme="majorHAnsi"/>
          <w:sz w:val="24"/>
          <w:szCs w:val="24"/>
          <w:lang w:val="ro-MD"/>
        </w:rPr>
        <w:t>, de 98,7%, fiind înregistrate în anul 2022 cheltuieli în sumă de 33 294</w:t>
      </w:r>
      <w:r w:rsidR="00EB56AE" w:rsidRPr="00653E85">
        <w:rPr>
          <w:rFonts w:asciiTheme="majorHAnsi" w:eastAsia="Times New Roman" w:hAnsiTheme="majorHAnsi" w:cstheme="majorHAnsi"/>
          <w:sz w:val="24"/>
          <w:szCs w:val="24"/>
          <w:lang w:val="ro-MD"/>
        </w:rPr>
        <w:t>,</w:t>
      </w:r>
      <w:r w:rsidRPr="00653E85">
        <w:rPr>
          <w:rFonts w:asciiTheme="majorHAnsi" w:eastAsia="Times New Roman" w:hAnsiTheme="majorHAnsi" w:cstheme="majorHAnsi"/>
          <w:sz w:val="24"/>
          <w:szCs w:val="24"/>
          <w:lang w:val="ro-MD"/>
        </w:rPr>
        <w:t xml:space="preserve">2 mil. lei. Comparativ cu anul 2021, cheltuielile executate au crescut cu </w:t>
      </w:r>
      <w:r w:rsidRPr="00653E85">
        <w:rPr>
          <w:rFonts w:asciiTheme="majorHAnsi" w:eastAsia="Times New Roman" w:hAnsiTheme="majorHAnsi" w:cstheme="majorHAnsi"/>
          <w:i/>
          <w:iCs/>
          <w:sz w:val="24"/>
          <w:szCs w:val="24"/>
          <w:lang w:val="ro-MD"/>
        </w:rPr>
        <w:t xml:space="preserve">6 537,9 mil. lei, </w:t>
      </w:r>
      <w:r w:rsidRPr="00653E85">
        <w:rPr>
          <w:rFonts w:asciiTheme="majorHAnsi" w:eastAsia="Times New Roman" w:hAnsiTheme="majorHAnsi" w:cstheme="majorHAnsi"/>
          <w:sz w:val="24"/>
          <w:szCs w:val="24"/>
          <w:lang w:val="ro-MD"/>
        </w:rPr>
        <w:t xml:space="preserve">sau cu </w:t>
      </w:r>
      <w:r w:rsidR="004147B7" w:rsidRPr="00653E85">
        <w:rPr>
          <w:rFonts w:asciiTheme="majorHAnsi" w:eastAsia="Times New Roman" w:hAnsiTheme="majorHAnsi" w:cstheme="majorHAnsi"/>
          <w:i/>
          <w:iCs/>
          <w:sz w:val="24"/>
          <w:szCs w:val="24"/>
          <w:lang w:val="ro-MD"/>
        </w:rPr>
        <w:t>24,4 puncte procentuale</w:t>
      </w:r>
      <w:r w:rsidRPr="00653E85">
        <w:rPr>
          <w:rFonts w:asciiTheme="majorHAnsi" w:eastAsia="Times New Roman" w:hAnsiTheme="majorHAnsi" w:cstheme="majorHAnsi"/>
          <w:i/>
          <w:iCs/>
          <w:sz w:val="24"/>
          <w:szCs w:val="24"/>
          <w:lang w:val="ro-MD"/>
        </w:rPr>
        <w:t>.</w:t>
      </w:r>
      <w:r w:rsidRPr="00653E85">
        <w:rPr>
          <w:rFonts w:asciiTheme="majorHAnsi" w:eastAsia="Times New Roman" w:hAnsiTheme="majorHAnsi" w:cstheme="majorHAnsi"/>
          <w:sz w:val="24"/>
          <w:szCs w:val="24"/>
          <w:lang w:val="ro-MD"/>
        </w:rPr>
        <w:t xml:space="preserve"> Asupra creșterii cheltuielilor a influențat creșterea mărimii medii a pensiei, ca urmare a unui șir de măsuri noi prevăzute de legislație în domeniul pensiilor publice și implementate pe parcursul anului 2022, precum: indexarea pensiilor la 1 aprilie 2022 cu 1З,94%, confo</w:t>
      </w:r>
      <w:r w:rsidR="00403833" w:rsidRPr="00653E85">
        <w:rPr>
          <w:rFonts w:asciiTheme="majorHAnsi" w:eastAsia="Times New Roman" w:hAnsiTheme="majorHAnsi" w:cstheme="majorHAnsi"/>
          <w:sz w:val="24"/>
          <w:szCs w:val="24"/>
          <w:lang w:val="ro-MD"/>
        </w:rPr>
        <w:t>r</w:t>
      </w:r>
      <w:r w:rsidRPr="00653E85">
        <w:rPr>
          <w:rFonts w:asciiTheme="majorHAnsi" w:eastAsia="Times New Roman" w:hAnsiTheme="majorHAnsi" w:cstheme="majorHAnsi"/>
          <w:sz w:val="24"/>
          <w:szCs w:val="24"/>
          <w:lang w:val="ro-MD"/>
        </w:rPr>
        <w:t>m modalității de indexare prevăzute pentru anul 2022 (indexarea părții pensiei саre nu а depășit salariul mediu lunar ре economie prognozat pentru anul 2022 de 9</w:t>
      </w:r>
      <w:r w:rsidR="00D72EA9" w:rsidRPr="00653E85">
        <w:rPr>
          <w:rFonts w:asciiTheme="majorHAnsi" w:eastAsia="Times New Roman" w:hAnsiTheme="majorHAnsi" w:cstheme="majorHAnsi"/>
          <w:sz w:val="24"/>
          <w:szCs w:val="24"/>
          <w:lang w:val="ro-MD"/>
        </w:rPr>
        <w:t xml:space="preserve"> </w:t>
      </w:r>
      <w:r w:rsidRPr="00653E85">
        <w:rPr>
          <w:rFonts w:asciiTheme="majorHAnsi" w:eastAsia="Times New Roman" w:hAnsiTheme="majorHAnsi" w:cstheme="majorHAnsi"/>
          <w:sz w:val="24"/>
          <w:szCs w:val="24"/>
          <w:lang w:val="ro-MD"/>
        </w:rPr>
        <w:t>900 lei); efectuarea următoarei etape de reexaminare</w:t>
      </w:r>
      <w:r w:rsidR="00403833" w:rsidRPr="00653E85">
        <w:rPr>
          <w:rFonts w:asciiTheme="majorHAnsi" w:eastAsia="Times New Roman" w:hAnsiTheme="majorHAnsi" w:cstheme="majorHAnsi"/>
          <w:sz w:val="24"/>
          <w:szCs w:val="24"/>
          <w:lang w:val="ro-MD"/>
        </w:rPr>
        <w:t xml:space="preserve"> a pensiilor pentru limită de vâ</w:t>
      </w:r>
      <w:r w:rsidRPr="00653E85">
        <w:rPr>
          <w:rFonts w:asciiTheme="majorHAnsi" w:eastAsia="Times New Roman" w:hAnsiTheme="majorHAnsi" w:cstheme="majorHAnsi"/>
          <w:sz w:val="24"/>
          <w:szCs w:val="24"/>
          <w:lang w:val="ro-MD"/>
        </w:rPr>
        <w:t>rstă pentru pensionarii саrе аu activat după realizarea dreptului la pensie și au acumulat un stagiu de cotizare mai mare de 5 ani (în cazul stabilirii dreptului la pensie după 01.01.1999); reexaminarea pensiilor de dizabilitate pentru pensionarii care au activat după realizarea dreptului la pensie de dizabilitate și au acumulat un stagiu de cotizare mai mare de 2 ani (în cazul pe</w:t>
      </w:r>
      <w:r w:rsidR="00403833" w:rsidRPr="00653E85">
        <w:rPr>
          <w:rFonts w:asciiTheme="majorHAnsi" w:eastAsia="Times New Roman" w:hAnsiTheme="majorHAnsi" w:cstheme="majorHAnsi"/>
          <w:sz w:val="24"/>
          <w:szCs w:val="24"/>
          <w:lang w:val="ro-MD"/>
        </w:rPr>
        <w:t>nsiilor stabilite/reexaminate pâ</w:t>
      </w:r>
      <w:r w:rsidRPr="00653E85">
        <w:rPr>
          <w:rFonts w:asciiTheme="majorHAnsi" w:eastAsia="Times New Roman" w:hAnsiTheme="majorHAnsi" w:cstheme="majorHAnsi"/>
          <w:sz w:val="24"/>
          <w:szCs w:val="24"/>
          <w:lang w:val="ro-MD"/>
        </w:rPr>
        <w:t>nă la 01.01.1999); majorarea</w:t>
      </w:r>
      <w:r w:rsidR="00D72EA9" w:rsidRPr="00653E85">
        <w:rPr>
          <w:rFonts w:asciiTheme="majorHAnsi" w:eastAsia="Times New Roman" w:hAnsiTheme="majorHAnsi" w:cstheme="majorHAnsi"/>
          <w:sz w:val="24"/>
          <w:szCs w:val="24"/>
          <w:lang w:val="ro-MD"/>
        </w:rPr>
        <w:t>,</w:t>
      </w:r>
      <w:r w:rsidRPr="00653E85">
        <w:rPr>
          <w:rFonts w:asciiTheme="majorHAnsi" w:eastAsia="Times New Roman" w:hAnsiTheme="majorHAnsi" w:cstheme="majorHAnsi"/>
          <w:sz w:val="24"/>
          <w:szCs w:val="24"/>
          <w:lang w:val="ro-MD"/>
        </w:rPr>
        <w:t xml:space="preserve"> la 1 аpriliе 2022</w:t>
      </w:r>
      <w:r w:rsidR="00D72EA9" w:rsidRPr="00653E85">
        <w:rPr>
          <w:rFonts w:asciiTheme="majorHAnsi" w:eastAsia="Times New Roman" w:hAnsiTheme="majorHAnsi" w:cstheme="majorHAnsi"/>
          <w:sz w:val="24"/>
          <w:szCs w:val="24"/>
          <w:lang w:val="ro-MD"/>
        </w:rPr>
        <w:t>,</w:t>
      </w:r>
      <w:r w:rsidRPr="00653E85">
        <w:rPr>
          <w:rFonts w:asciiTheme="majorHAnsi" w:eastAsia="Times New Roman" w:hAnsiTheme="majorHAnsi" w:cstheme="majorHAnsi"/>
          <w:sz w:val="24"/>
          <w:szCs w:val="24"/>
          <w:lang w:val="ro-MD"/>
        </w:rPr>
        <w:t xml:space="preserve"> cu 171,71 lei а cuantumului pensiilor calculate în conformitate cu prevederile Legii nr. 156/1998 privind sistemul public de pensii, precum și majorarea cuantumului pensiei minime pentru limită de v</w:t>
      </w:r>
      <w:r w:rsidR="00403833" w:rsidRPr="00653E85">
        <w:rPr>
          <w:rFonts w:asciiTheme="majorHAnsi" w:eastAsia="Times New Roman" w:hAnsiTheme="majorHAnsi" w:cstheme="majorHAnsi"/>
          <w:sz w:val="24"/>
          <w:szCs w:val="24"/>
          <w:lang w:val="ro-MD"/>
        </w:rPr>
        <w:t>â</w:t>
      </w:r>
      <w:r w:rsidRPr="00653E85">
        <w:rPr>
          <w:rFonts w:asciiTheme="majorHAnsi" w:eastAsia="Times New Roman" w:hAnsiTheme="majorHAnsi" w:cstheme="majorHAnsi"/>
          <w:sz w:val="24"/>
          <w:szCs w:val="24"/>
          <w:lang w:val="ro-MD"/>
        </w:rPr>
        <w:t>rstă dе la 2</w:t>
      </w:r>
      <w:r w:rsidR="00EB56AE" w:rsidRPr="00653E85">
        <w:rPr>
          <w:rFonts w:asciiTheme="majorHAnsi" w:eastAsia="Times New Roman" w:hAnsiTheme="majorHAnsi" w:cstheme="majorHAnsi"/>
          <w:sz w:val="24"/>
          <w:szCs w:val="24"/>
          <w:lang w:val="ro-MD"/>
        </w:rPr>
        <w:t xml:space="preserve"> </w:t>
      </w:r>
      <w:r w:rsidRPr="00653E85">
        <w:rPr>
          <w:rFonts w:asciiTheme="majorHAnsi" w:eastAsia="Times New Roman" w:hAnsiTheme="majorHAnsi" w:cstheme="majorHAnsi"/>
          <w:sz w:val="24"/>
          <w:szCs w:val="24"/>
          <w:lang w:val="ro-MD"/>
        </w:rPr>
        <w:t>000 lei р</w:t>
      </w:r>
      <w:r w:rsidR="00403833" w:rsidRPr="00653E85">
        <w:rPr>
          <w:rFonts w:asciiTheme="majorHAnsi" w:eastAsia="Times New Roman" w:hAnsiTheme="majorHAnsi" w:cstheme="majorHAnsi"/>
          <w:sz w:val="24"/>
          <w:szCs w:val="24"/>
          <w:lang w:val="ro-MD"/>
        </w:rPr>
        <w:t>ân</w:t>
      </w:r>
      <w:r w:rsidRPr="00653E85">
        <w:rPr>
          <w:rFonts w:asciiTheme="majorHAnsi" w:eastAsia="Times New Roman" w:hAnsiTheme="majorHAnsi" w:cstheme="majorHAnsi"/>
          <w:sz w:val="24"/>
          <w:szCs w:val="24"/>
          <w:lang w:val="ro-MD"/>
        </w:rPr>
        <w:t>ă la 2</w:t>
      </w:r>
      <w:r w:rsidR="00EB56AE" w:rsidRPr="00653E85">
        <w:rPr>
          <w:rFonts w:asciiTheme="majorHAnsi" w:eastAsia="Times New Roman" w:hAnsiTheme="majorHAnsi" w:cstheme="majorHAnsi"/>
          <w:sz w:val="24"/>
          <w:szCs w:val="24"/>
          <w:lang w:val="ro-MD"/>
        </w:rPr>
        <w:t xml:space="preserve"> </w:t>
      </w:r>
      <w:r w:rsidRPr="00653E85">
        <w:rPr>
          <w:rFonts w:asciiTheme="majorHAnsi" w:eastAsia="Times New Roman" w:hAnsiTheme="majorHAnsi" w:cstheme="majorHAnsi"/>
          <w:sz w:val="24"/>
          <w:szCs w:val="24"/>
          <w:lang w:val="ro-MD"/>
        </w:rPr>
        <w:t>278,80 lei.</w:t>
      </w:r>
    </w:p>
    <w:p w14:paraId="2BEB020B" w14:textId="67B567E4" w:rsidR="005E7DC9" w:rsidRPr="00653E85" w:rsidRDefault="005E7DC9" w:rsidP="005E7DC9">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De asemenea, cu referire la indemnizațiile de asigurări sociale s-a înregistrat o creștere </w:t>
      </w:r>
      <w:r w:rsidR="00403833" w:rsidRPr="00653E85">
        <w:rPr>
          <w:rFonts w:asciiTheme="majorHAnsi" w:hAnsiTheme="majorHAnsi" w:cstheme="majorHAnsi"/>
          <w:sz w:val="24"/>
          <w:szCs w:val="24"/>
          <w:lang w:val="ro-MD"/>
        </w:rPr>
        <w:t xml:space="preserve">a </w:t>
      </w:r>
      <w:r w:rsidRPr="00653E85">
        <w:rPr>
          <w:rFonts w:asciiTheme="majorHAnsi" w:hAnsiTheme="majorHAnsi" w:cstheme="majorHAnsi"/>
          <w:sz w:val="24"/>
          <w:szCs w:val="24"/>
          <w:lang w:val="ro-MD"/>
        </w:rPr>
        <w:t>cuantumului indemnizației unice la nașterea copilului, până la 10 068 lei</w:t>
      </w:r>
      <w:r w:rsidRPr="00653E85">
        <w:rPr>
          <w:rStyle w:val="a5"/>
          <w:rFonts w:asciiTheme="majorHAnsi" w:hAnsiTheme="majorHAnsi" w:cstheme="majorHAnsi"/>
          <w:sz w:val="24"/>
          <w:szCs w:val="24"/>
          <w:lang w:val="ro-MD"/>
        </w:rPr>
        <w:footnoteReference w:id="20"/>
      </w:r>
      <w:r w:rsidRPr="00653E85">
        <w:rPr>
          <w:rFonts w:asciiTheme="majorHAnsi" w:hAnsiTheme="majorHAnsi" w:cstheme="majorHAnsi"/>
          <w:sz w:val="24"/>
          <w:szCs w:val="24"/>
          <w:lang w:val="ro-MD"/>
        </w:rPr>
        <w:t>.</w:t>
      </w:r>
    </w:p>
    <w:p w14:paraId="71BA2048" w14:textId="77777777" w:rsidR="005E7DC9" w:rsidRPr="00653E85" w:rsidRDefault="005E7DC9" w:rsidP="005E7DC9">
      <w:pPr>
        <w:spacing w:after="0" w:line="276" w:lineRule="auto"/>
        <w:jc w:val="both"/>
        <w:rPr>
          <w:rFonts w:asciiTheme="majorHAnsi" w:hAnsiTheme="majorHAnsi" w:cstheme="majorHAnsi"/>
          <w:sz w:val="12"/>
          <w:szCs w:val="12"/>
          <w:lang w:val="ro-MD"/>
        </w:rPr>
      </w:pPr>
    </w:p>
    <w:p w14:paraId="0C756485" w14:textId="65265BCF" w:rsidR="005E7DC9" w:rsidRPr="00653E85" w:rsidRDefault="005E7DC9" w:rsidP="005E7DC9">
      <w:pPr>
        <w:spacing w:after="0" w:line="276" w:lineRule="auto"/>
        <w:jc w:val="both"/>
        <w:rPr>
          <w:rFonts w:asciiTheme="majorHAnsi" w:hAnsiTheme="majorHAnsi" w:cstheme="majorHAnsi"/>
          <w:sz w:val="16"/>
          <w:szCs w:val="16"/>
          <w:lang w:val="ro-MD"/>
        </w:rPr>
      </w:pPr>
      <w:r w:rsidRPr="00653E85">
        <w:rPr>
          <w:rFonts w:asciiTheme="majorHAnsi" w:hAnsiTheme="majorHAnsi" w:cstheme="majorHAnsi"/>
          <w:sz w:val="24"/>
          <w:szCs w:val="24"/>
          <w:lang w:val="ro-MD"/>
        </w:rPr>
        <w:t xml:space="preserve">Cheltuielile executate pentru </w:t>
      </w:r>
      <w:r w:rsidRPr="00653E85">
        <w:rPr>
          <w:rFonts w:asciiTheme="majorHAnsi" w:hAnsiTheme="majorHAnsi" w:cstheme="majorHAnsi"/>
          <w:b/>
          <w:sz w:val="24"/>
          <w:szCs w:val="24"/>
          <w:lang w:val="ro-MD"/>
        </w:rPr>
        <w:t>bunuri și servicii</w:t>
      </w:r>
      <w:r w:rsidRPr="00653E85">
        <w:rPr>
          <w:rFonts w:asciiTheme="majorHAnsi" w:hAnsiTheme="majorHAnsi" w:cstheme="majorHAnsi"/>
          <w:sz w:val="24"/>
          <w:szCs w:val="24"/>
          <w:lang w:val="ro-MD"/>
        </w:rPr>
        <w:t xml:space="preserve"> au constituit 243,3 mil. lei, sau la nivel de 86,9%, mai mari cu 7 903,2 mii lei, sau cu 3,4 la sută, față de anul precedent. La categoria dată se atribuie cheltuielile destinate întreținerii CNAS și a sistemelor informaționale ale CNAS: serviciile energetice și comunale, informaționale și </w:t>
      </w:r>
      <w:r w:rsidR="00D72EA9"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telecomunicații, de locațiune, de transport, de reparații curente, formarea profesională, deplasări</w:t>
      </w:r>
      <w:r w:rsidR="00D72EA9"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de serviciu, serviciile poștale și de distribuire a drepturilor sociale, alte servicii.</w:t>
      </w:r>
    </w:p>
    <w:p w14:paraId="0E9DE742" w14:textId="77777777" w:rsidR="005E7DC9" w:rsidRPr="00653E85" w:rsidRDefault="005E7DC9" w:rsidP="005E7DC9">
      <w:pPr>
        <w:spacing w:after="0" w:line="276" w:lineRule="auto"/>
        <w:jc w:val="both"/>
        <w:rPr>
          <w:rFonts w:asciiTheme="majorHAnsi" w:hAnsiTheme="majorHAnsi" w:cstheme="majorHAnsi"/>
          <w:sz w:val="16"/>
          <w:szCs w:val="16"/>
          <w:lang w:val="ro-MD"/>
        </w:rPr>
      </w:pPr>
    </w:p>
    <w:p w14:paraId="6CF819CC" w14:textId="5ABD9781" w:rsidR="005E7DC9" w:rsidRPr="00FB7074"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Mijloacele aprobate pentru cheltuielile de personal au fost utilizate în baza actelor normative ce reglementează salarizarea în sectorul bugetar. Pentru </w:t>
      </w:r>
      <w:r w:rsidRPr="00653E85">
        <w:rPr>
          <w:rFonts w:asciiTheme="majorHAnsi" w:hAnsiTheme="majorHAnsi" w:cstheme="majorHAnsi"/>
          <w:b/>
          <w:sz w:val="24"/>
          <w:szCs w:val="24"/>
          <w:lang w:val="ro-MD"/>
        </w:rPr>
        <w:t>cheltuielile de personal</w:t>
      </w:r>
      <w:r w:rsidRPr="00653E85">
        <w:rPr>
          <w:rFonts w:asciiTheme="majorHAnsi" w:hAnsiTheme="majorHAnsi" w:cstheme="majorHAnsi"/>
          <w:sz w:val="24"/>
          <w:szCs w:val="24"/>
          <w:lang w:val="ro-MD"/>
        </w:rPr>
        <w:t xml:space="preserve"> au fost prevăzute 188,8 mil. lei, care au fost executate în sumă de 185,7 mil. lei, ceea ce </w:t>
      </w:r>
      <w:r w:rsidRPr="00FB7074">
        <w:rPr>
          <w:rFonts w:asciiTheme="majorHAnsi" w:hAnsiTheme="majorHAnsi" w:cstheme="majorHAnsi"/>
          <w:sz w:val="24"/>
          <w:szCs w:val="24"/>
          <w:lang w:val="ro-MD"/>
        </w:rPr>
        <w:t>constituie 98,3% din suma planificată.</w:t>
      </w:r>
    </w:p>
    <w:p w14:paraId="65A7F5B2" w14:textId="25B7ACB5" w:rsidR="005E7DC9" w:rsidRPr="00FB7074" w:rsidRDefault="005E7DC9" w:rsidP="00860800">
      <w:pPr>
        <w:pStyle w:val="aa"/>
        <w:numPr>
          <w:ilvl w:val="1"/>
          <w:numId w:val="2"/>
        </w:numPr>
        <w:tabs>
          <w:tab w:val="left" w:pos="0"/>
          <w:tab w:val="left" w:pos="709"/>
          <w:tab w:val="left" w:pos="993"/>
        </w:tabs>
        <w:spacing w:after="0" w:line="276" w:lineRule="auto"/>
        <w:ind w:left="0" w:firstLine="0"/>
        <w:jc w:val="both"/>
        <w:outlineLvl w:val="1"/>
        <w:rPr>
          <w:rFonts w:asciiTheme="majorHAnsi" w:hAnsiTheme="majorHAnsi" w:cstheme="majorHAnsi"/>
          <w:b/>
          <w:sz w:val="24"/>
          <w:szCs w:val="24"/>
          <w:lang w:val="ro-MD"/>
        </w:rPr>
      </w:pPr>
      <w:r w:rsidRPr="00FB7074">
        <w:rPr>
          <w:rFonts w:asciiTheme="majorHAnsi" w:hAnsiTheme="majorHAnsi" w:cstheme="majorHAnsi"/>
          <w:b/>
          <w:sz w:val="24"/>
          <w:szCs w:val="24"/>
          <w:lang w:val="ro-MD"/>
        </w:rPr>
        <w:t xml:space="preserve">În ultimii cinci ani, ritmul de creștere a cheltuielilor suportate din BASS depășește </w:t>
      </w:r>
      <w:r w:rsidR="00DC7E48" w:rsidRPr="00FB7074">
        <w:rPr>
          <w:rFonts w:asciiTheme="majorHAnsi" w:hAnsiTheme="majorHAnsi" w:cstheme="majorHAnsi"/>
          <w:b/>
          <w:sz w:val="24"/>
          <w:szCs w:val="24"/>
          <w:lang w:val="ro-MD"/>
        </w:rPr>
        <w:t>cu 26,5</w:t>
      </w:r>
      <w:r w:rsidR="0068434B" w:rsidRPr="00FB7074">
        <w:rPr>
          <w:rFonts w:asciiTheme="majorHAnsi" w:hAnsiTheme="majorHAnsi" w:cstheme="majorHAnsi"/>
          <w:b/>
          <w:sz w:val="24"/>
          <w:szCs w:val="24"/>
          <w:lang w:val="ro-MD"/>
        </w:rPr>
        <w:t xml:space="preserve"> puncte procentuale</w:t>
      </w:r>
      <w:r w:rsidR="00DC7E48" w:rsidRPr="00FB7074">
        <w:rPr>
          <w:rFonts w:asciiTheme="majorHAnsi" w:hAnsiTheme="majorHAnsi" w:cstheme="majorHAnsi"/>
          <w:b/>
          <w:sz w:val="24"/>
          <w:szCs w:val="24"/>
          <w:lang w:val="ro-MD"/>
        </w:rPr>
        <w:t xml:space="preserve"> </w:t>
      </w:r>
      <w:r w:rsidRPr="00FB7074">
        <w:rPr>
          <w:rFonts w:asciiTheme="majorHAnsi" w:hAnsiTheme="majorHAnsi" w:cstheme="majorHAnsi"/>
          <w:b/>
          <w:sz w:val="24"/>
          <w:szCs w:val="24"/>
          <w:lang w:val="ro-MD"/>
        </w:rPr>
        <w:t xml:space="preserve">ritmul de creștere a veniturilor proprii, ceea ce </w:t>
      </w:r>
      <w:r w:rsidR="0050344B" w:rsidRPr="00FB7074">
        <w:rPr>
          <w:rFonts w:asciiTheme="majorHAnsi" w:hAnsiTheme="majorHAnsi" w:cstheme="majorHAnsi"/>
          <w:b/>
          <w:sz w:val="24"/>
          <w:szCs w:val="24"/>
          <w:lang w:val="ro-MD"/>
        </w:rPr>
        <w:t xml:space="preserve">a </w:t>
      </w:r>
      <w:r w:rsidRPr="00FB7074">
        <w:rPr>
          <w:rFonts w:asciiTheme="majorHAnsi" w:hAnsiTheme="majorHAnsi" w:cstheme="majorHAnsi"/>
          <w:b/>
          <w:sz w:val="24"/>
          <w:szCs w:val="24"/>
          <w:lang w:val="ro-MD"/>
        </w:rPr>
        <w:t>cauzat menținerea insuficienței mijloacelor proprii a</w:t>
      </w:r>
      <w:r w:rsidR="0050344B" w:rsidRPr="00FB7074">
        <w:rPr>
          <w:rFonts w:asciiTheme="majorHAnsi" w:hAnsiTheme="majorHAnsi" w:cstheme="majorHAnsi"/>
          <w:b/>
          <w:sz w:val="24"/>
          <w:szCs w:val="24"/>
          <w:lang w:val="ro-MD"/>
        </w:rPr>
        <w:t>le</w:t>
      </w:r>
      <w:r w:rsidRPr="00FB7074">
        <w:rPr>
          <w:rFonts w:asciiTheme="majorHAnsi" w:hAnsiTheme="majorHAnsi" w:cstheme="majorHAnsi"/>
          <w:b/>
          <w:sz w:val="24"/>
          <w:szCs w:val="24"/>
          <w:lang w:val="ro-MD"/>
        </w:rPr>
        <w:t xml:space="preserve"> sistemului public de asigurări sociale pentru onorarea obligațiilor și formarea dependenței de transferuri</w:t>
      </w:r>
      <w:r w:rsidR="0050344B" w:rsidRPr="00FB7074">
        <w:rPr>
          <w:rFonts w:asciiTheme="majorHAnsi" w:hAnsiTheme="majorHAnsi" w:cstheme="majorHAnsi"/>
          <w:b/>
          <w:sz w:val="24"/>
          <w:szCs w:val="24"/>
          <w:lang w:val="ro-MD"/>
        </w:rPr>
        <w:t>le</w:t>
      </w:r>
      <w:r w:rsidRPr="00FB7074">
        <w:rPr>
          <w:rFonts w:asciiTheme="majorHAnsi" w:hAnsiTheme="majorHAnsi" w:cstheme="majorHAnsi"/>
          <w:b/>
          <w:sz w:val="24"/>
          <w:szCs w:val="24"/>
          <w:lang w:val="ro-MD"/>
        </w:rPr>
        <w:t xml:space="preserve"> de la bugetul de stat</w:t>
      </w:r>
      <w:r w:rsidR="0050344B" w:rsidRPr="00FB7074">
        <w:rPr>
          <w:rFonts w:asciiTheme="majorHAnsi" w:hAnsiTheme="majorHAnsi" w:cstheme="majorHAnsi"/>
          <w:b/>
          <w:sz w:val="24"/>
          <w:szCs w:val="24"/>
          <w:lang w:val="ro-MD"/>
        </w:rPr>
        <w:t>.</w:t>
      </w:r>
    </w:p>
    <w:p w14:paraId="77898F38" w14:textId="01F6031C" w:rsidR="005E7DC9" w:rsidRPr="00653E85" w:rsidRDefault="005E7DC9" w:rsidP="00860800">
      <w:pPr>
        <w:spacing w:after="0" w:line="276" w:lineRule="auto"/>
        <w:jc w:val="both"/>
        <w:rPr>
          <w:rFonts w:asciiTheme="majorHAnsi" w:hAnsiTheme="majorHAnsi" w:cstheme="majorHAnsi"/>
          <w:sz w:val="24"/>
          <w:szCs w:val="24"/>
          <w:lang w:val="ro-MD"/>
        </w:rPr>
      </w:pPr>
      <w:r w:rsidRPr="00FB7074">
        <w:rPr>
          <w:rFonts w:asciiTheme="majorHAnsi" w:hAnsiTheme="majorHAnsi" w:cstheme="majorHAnsi"/>
          <w:sz w:val="24"/>
          <w:szCs w:val="24"/>
          <w:lang w:val="ro-MD"/>
        </w:rPr>
        <w:t xml:space="preserve">Ponderea esențială a veniturilor proprii </w:t>
      </w:r>
      <w:r w:rsidR="00DC7E48" w:rsidRPr="00FB7074">
        <w:rPr>
          <w:rFonts w:asciiTheme="majorHAnsi" w:hAnsiTheme="majorHAnsi" w:cstheme="majorHAnsi"/>
          <w:sz w:val="24"/>
          <w:szCs w:val="24"/>
          <w:lang w:val="ro-MD"/>
        </w:rPr>
        <w:t xml:space="preserve">ale </w:t>
      </w:r>
      <w:r w:rsidRPr="00FB7074">
        <w:rPr>
          <w:rFonts w:asciiTheme="majorHAnsi" w:hAnsiTheme="majorHAnsi" w:cstheme="majorHAnsi"/>
          <w:sz w:val="24"/>
          <w:szCs w:val="24"/>
          <w:lang w:val="ro-MD"/>
        </w:rPr>
        <w:t>BASS o constituie contribuțiile de asigurări sociale, virate de plătitorii de contribuții, persoane juridice și fizice. Pe de altă parte,</w:t>
      </w:r>
      <w:r w:rsidRPr="00653E85">
        <w:rPr>
          <w:rFonts w:asciiTheme="majorHAnsi" w:hAnsiTheme="majorHAnsi" w:cstheme="majorHAnsi"/>
          <w:sz w:val="24"/>
          <w:szCs w:val="24"/>
          <w:lang w:val="ro-MD"/>
        </w:rPr>
        <w:t xml:space="preserve"> ponderea esențială a cheltuielilor suportate din BASS o constituie prestațiile de asigurări sociale (pensii de asigurări sociale, indemnizații de asigurări sociale și alte prestații de asigurări sociale). Astfel, pe parcursul anilor 2018-2022, cheltuielile BASS au depășit veniturile proprii</w:t>
      </w:r>
      <w:r w:rsidR="00DC7E4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de la 842,4 mil. lei în anul 2018, până la 4</w:t>
      </w:r>
      <w:r w:rsidR="00EB56AE"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902,6 mil</w:t>
      </w:r>
      <w:r w:rsidR="00847BF1"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lei în anul 2022, situație redată în tabelul de mai jos.</w:t>
      </w:r>
    </w:p>
    <w:p w14:paraId="73484436" w14:textId="05DCDEEB" w:rsidR="005E7DC9" w:rsidRPr="00653E85" w:rsidRDefault="005E7DC9" w:rsidP="005E7DC9">
      <w:pPr>
        <w:spacing w:after="0" w:line="276" w:lineRule="auto"/>
        <w:jc w:val="right"/>
        <w:rPr>
          <w:rFonts w:asciiTheme="majorHAnsi" w:hAnsiTheme="majorHAnsi" w:cstheme="majorHAnsi"/>
          <w:b/>
          <w:sz w:val="24"/>
          <w:szCs w:val="24"/>
          <w:lang w:val="ro-MD"/>
        </w:rPr>
      </w:pPr>
      <w:r w:rsidRPr="00653E85">
        <w:rPr>
          <w:rFonts w:asciiTheme="majorHAnsi" w:hAnsiTheme="majorHAnsi" w:cstheme="majorHAnsi"/>
          <w:b/>
          <w:sz w:val="24"/>
          <w:szCs w:val="24"/>
          <w:lang w:val="ro-MD"/>
        </w:rPr>
        <w:t>Tabel</w:t>
      </w:r>
      <w:r w:rsidR="00B20FA2" w:rsidRPr="00653E85">
        <w:rPr>
          <w:rFonts w:asciiTheme="majorHAnsi" w:hAnsiTheme="majorHAnsi" w:cstheme="majorHAnsi"/>
          <w:b/>
          <w:sz w:val="24"/>
          <w:szCs w:val="24"/>
          <w:lang w:val="ro-MD"/>
        </w:rPr>
        <w:t>ul</w:t>
      </w:r>
      <w:r w:rsidRPr="00653E85">
        <w:rPr>
          <w:rFonts w:asciiTheme="majorHAnsi" w:hAnsiTheme="majorHAnsi" w:cstheme="majorHAnsi"/>
          <w:b/>
          <w:sz w:val="24"/>
          <w:szCs w:val="24"/>
          <w:lang w:val="ro-MD"/>
        </w:rPr>
        <w:t xml:space="preserve"> nr.</w:t>
      </w:r>
      <w:r w:rsidR="00E939D7" w:rsidRPr="00653E85">
        <w:rPr>
          <w:rFonts w:asciiTheme="majorHAnsi" w:hAnsiTheme="majorHAnsi" w:cstheme="majorHAnsi"/>
          <w:b/>
          <w:sz w:val="24"/>
          <w:szCs w:val="24"/>
          <w:lang w:val="ro-MD"/>
        </w:rPr>
        <w:t>4</w:t>
      </w:r>
    </w:p>
    <w:p w14:paraId="366DC8F9" w14:textId="12020D65" w:rsidR="005E7DC9" w:rsidRPr="00653E85" w:rsidRDefault="005E7DC9" w:rsidP="005E7DC9">
      <w:pPr>
        <w:tabs>
          <w:tab w:val="left" w:pos="426"/>
          <w:tab w:val="left" w:pos="709"/>
          <w:tab w:val="left" w:pos="993"/>
        </w:tabs>
        <w:spacing w:after="0"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 xml:space="preserve">Ritmul </w:t>
      </w:r>
      <w:r w:rsidR="00B20FA2" w:rsidRPr="00653E85">
        <w:rPr>
          <w:rFonts w:asciiTheme="majorHAnsi" w:hAnsiTheme="majorHAnsi" w:cstheme="majorHAnsi"/>
          <w:b/>
          <w:sz w:val="24"/>
          <w:szCs w:val="24"/>
          <w:lang w:val="ro-MD"/>
        </w:rPr>
        <w:t xml:space="preserve">de </w:t>
      </w:r>
      <w:r w:rsidRPr="00653E85">
        <w:rPr>
          <w:rFonts w:asciiTheme="majorHAnsi" w:hAnsiTheme="majorHAnsi" w:cstheme="majorHAnsi"/>
          <w:b/>
          <w:sz w:val="24"/>
          <w:szCs w:val="24"/>
          <w:lang w:val="ro-MD"/>
        </w:rPr>
        <w:t>creșter</w:t>
      </w:r>
      <w:r w:rsidR="00B20FA2" w:rsidRPr="00653E85">
        <w:rPr>
          <w:rFonts w:asciiTheme="majorHAnsi" w:hAnsiTheme="majorHAnsi" w:cstheme="majorHAnsi"/>
          <w:b/>
          <w:sz w:val="24"/>
          <w:szCs w:val="24"/>
          <w:lang w:val="ro-MD"/>
        </w:rPr>
        <w:t>e a</w:t>
      </w:r>
      <w:r w:rsidRPr="00653E85">
        <w:rPr>
          <w:rFonts w:asciiTheme="majorHAnsi" w:hAnsiTheme="majorHAnsi" w:cstheme="majorHAnsi"/>
          <w:b/>
          <w:sz w:val="24"/>
          <w:szCs w:val="24"/>
          <w:lang w:val="ro-MD"/>
        </w:rPr>
        <w:t xml:space="preserve"> cheltuielilor comparativ cu ritmul </w:t>
      </w:r>
      <w:r w:rsidR="00B20FA2" w:rsidRPr="00653E85">
        <w:rPr>
          <w:rFonts w:asciiTheme="majorHAnsi" w:hAnsiTheme="majorHAnsi" w:cstheme="majorHAnsi"/>
          <w:b/>
          <w:sz w:val="24"/>
          <w:szCs w:val="24"/>
          <w:lang w:val="ro-MD"/>
        </w:rPr>
        <w:t xml:space="preserve">de </w:t>
      </w:r>
      <w:r w:rsidRPr="00653E85">
        <w:rPr>
          <w:rFonts w:asciiTheme="majorHAnsi" w:hAnsiTheme="majorHAnsi" w:cstheme="majorHAnsi"/>
          <w:b/>
          <w:sz w:val="24"/>
          <w:szCs w:val="24"/>
          <w:lang w:val="ro-MD"/>
        </w:rPr>
        <w:t>creșter</w:t>
      </w:r>
      <w:r w:rsidR="00B20FA2" w:rsidRPr="00653E85">
        <w:rPr>
          <w:rFonts w:asciiTheme="majorHAnsi" w:hAnsiTheme="majorHAnsi" w:cstheme="majorHAnsi"/>
          <w:b/>
          <w:sz w:val="24"/>
          <w:szCs w:val="24"/>
          <w:lang w:val="ro-MD"/>
        </w:rPr>
        <w:t>e a</w:t>
      </w:r>
      <w:r w:rsidRPr="00653E85">
        <w:rPr>
          <w:rFonts w:asciiTheme="majorHAnsi" w:hAnsiTheme="majorHAnsi" w:cstheme="majorHAnsi"/>
          <w:b/>
          <w:sz w:val="24"/>
          <w:szCs w:val="24"/>
          <w:lang w:val="ro-MD"/>
        </w:rPr>
        <w:t xml:space="preserve"> veniturilor în anii 2018-2022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1447"/>
        <w:gridCol w:w="1447"/>
        <w:gridCol w:w="1446"/>
        <w:gridCol w:w="1446"/>
        <w:gridCol w:w="2510"/>
      </w:tblGrid>
      <w:tr w:rsidR="005E7DC9" w:rsidRPr="00AC21BC" w14:paraId="4E45DBAC" w14:textId="77777777" w:rsidTr="00860800">
        <w:trPr>
          <w:trHeight w:val="20"/>
        </w:trPr>
        <w:tc>
          <w:tcPr>
            <w:tcW w:w="1446" w:type="dxa"/>
            <w:vAlign w:val="center"/>
          </w:tcPr>
          <w:p w14:paraId="2CC3CDF4" w14:textId="77777777" w:rsidR="005E7DC9" w:rsidRPr="00860800" w:rsidRDefault="005E7DC9" w:rsidP="00E65C9C">
            <w:pPr>
              <w:pStyle w:val="Default"/>
              <w:jc w:val="center"/>
              <w:rPr>
                <w:rFonts w:asciiTheme="majorHAnsi" w:hAnsiTheme="majorHAnsi" w:cstheme="majorHAnsi"/>
                <w:b/>
                <w:bCs/>
                <w:sz w:val="20"/>
                <w:szCs w:val="20"/>
                <w:lang w:val="ro-MD"/>
              </w:rPr>
            </w:pPr>
            <w:r w:rsidRPr="00860800">
              <w:rPr>
                <w:rFonts w:asciiTheme="majorHAnsi" w:hAnsiTheme="majorHAnsi" w:cstheme="majorHAnsi"/>
                <w:b/>
                <w:bCs/>
                <w:sz w:val="20"/>
                <w:szCs w:val="20"/>
                <w:lang w:val="ro-MD"/>
              </w:rPr>
              <w:t>Anul</w:t>
            </w:r>
          </w:p>
        </w:tc>
        <w:tc>
          <w:tcPr>
            <w:tcW w:w="1447" w:type="dxa"/>
            <w:vAlign w:val="center"/>
          </w:tcPr>
          <w:p w14:paraId="6EC0C6C8" w14:textId="0635C471" w:rsidR="005E7DC9" w:rsidRPr="00860800" w:rsidRDefault="005E7DC9" w:rsidP="00E65C9C">
            <w:pPr>
              <w:pStyle w:val="Default"/>
              <w:jc w:val="center"/>
              <w:rPr>
                <w:rFonts w:asciiTheme="majorHAnsi" w:hAnsiTheme="majorHAnsi" w:cstheme="majorHAnsi"/>
                <w:b/>
                <w:sz w:val="20"/>
                <w:szCs w:val="20"/>
                <w:lang w:val="ro-MD"/>
              </w:rPr>
            </w:pPr>
            <w:r w:rsidRPr="00860800">
              <w:rPr>
                <w:rFonts w:asciiTheme="majorHAnsi" w:hAnsiTheme="majorHAnsi" w:cstheme="majorHAnsi"/>
                <w:b/>
                <w:bCs/>
                <w:sz w:val="20"/>
                <w:szCs w:val="20"/>
                <w:lang w:val="ro-MD"/>
              </w:rPr>
              <w:t>Cheltuielile suportate din BASS, mil</w:t>
            </w:r>
            <w:r w:rsidR="00EB56AE" w:rsidRPr="00860800">
              <w:rPr>
                <w:rFonts w:asciiTheme="majorHAnsi" w:hAnsiTheme="majorHAnsi" w:cstheme="majorHAnsi"/>
                <w:b/>
                <w:bCs/>
                <w:sz w:val="20"/>
                <w:szCs w:val="20"/>
                <w:lang w:val="ro-MD"/>
              </w:rPr>
              <w:t xml:space="preserve">. </w:t>
            </w:r>
            <w:r w:rsidRPr="00860800">
              <w:rPr>
                <w:rFonts w:asciiTheme="majorHAnsi" w:hAnsiTheme="majorHAnsi" w:cstheme="majorHAnsi"/>
                <w:b/>
                <w:bCs/>
                <w:sz w:val="20"/>
                <w:szCs w:val="20"/>
                <w:lang w:val="ro-MD"/>
              </w:rPr>
              <w:t>lei</w:t>
            </w:r>
          </w:p>
        </w:tc>
        <w:tc>
          <w:tcPr>
            <w:tcW w:w="1447" w:type="dxa"/>
            <w:vAlign w:val="center"/>
          </w:tcPr>
          <w:p w14:paraId="7496C8E2" w14:textId="77777777" w:rsidR="005E7DC9" w:rsidRPr="00860800" w:rsidRDefault="005E7DC9" w:rsidP="00E65C9C">
            <w:pPr>
              <w:pStyle w:val="Default"/>
              <w:jc w:val="center"/>
              <w:rPr>
                <w:rFonts w:asciiTheme="majorHAnsi" w:hAnsiTheme="majorHAnsi" w:cstheme="majorHAnsi"/>
                <w:b/>
                <w:sz w:val="20"/>
                <w:szCs w:val="20"/>
                <w:lang w:val="ro-MD"/>
              </w:rPr>
            </w:pPr>
            <w:r w:rsidRPr="00860800">
              <w:rPr>
                <w:rFonts w:asciiTheme="majorHAnsi" w:hAnsiTheme="majorHAnsi" w:cstheme="majorHAnsi"/>
                <w:b/>
                <w:sz w:val="20"/>
                <w:szCs w:val="20"/>
                <w:lang w:val="ro-MD"/>
              </w:rPr>
              <w:t>Ritmul creșterii cheltuielilor față de anul precedent, %</w:t>
            </w:r>
          </w:p>
        </w:tc>
        <w:tc>
          <w:tcPr>
            <w:tcW w:w="1446" w:type="dxa"/>
            <w:vAlign w:val="center"/>
          </w:tcPr>
          <w:p w14:paraId="57A58B66" w14:textId="0920292A" w:rsidR="005E7DC9" w:rsidRPr="00860800" w:rsidRDefault="005E7DC9" w:rsidP="00E65C9C">
            <w:pPr>
              <w:pStyle w:val="Default"/>
              <w:jc w:val="center"/>
              <w:rPr>
                <w:rFonts w:asciiTheme="majorHAnsi" w:hAnsiTheme="majorHAnsi" w:cstheme="majorHAnsi"/>
                <w:b/>
                <w:sz w:val="20"/>
                <w:szCs w:val="20"/>
                <w:lang w:val="ro-MD"/>
              </w:rPr>
            </w:pPr>
            <w:r w:rsidRPr="00860800">
              <w:rPr>
                <w:rFonts w:asciiTheme="majorHAnsi" w:hAnsiTheme="majorHAnsi" w:cstheme="majorHAnsi"/>
                <w:b/>
                <w:bCs/>
                <w:sz w:val="20"/>
                <w:szCs w:val="20"/>
                <w:lang w:val="ro-MD"/>
              </w:rPr>
              <w:t xml:space="preserve">Veniturile proprii </w:t>
            </w:r>
            <w:r w:rsidR="00B20FA2" w:rsidRPr="00860800">
              <w:rPr>
                <w:rFonts w:asciiTheme="majorHAnsi" w:hAnsiTheme="majorHAnsi" w:cstheme="majorHAnsi"/>
                <w:b/>
                <w:bCs/>
                <w:sz w:val="20"/>
                <w:szCs w:val="20"/>
                <w:lang w:val="ro-MD"/>
              </w:rPr>
              <w:t xml:space="preserve">ale </w:t>
            </w:r>
            <w:r w:rsidRPr="00860800">
              <w:rPr>
                <w:rFonts w:asciiTheme="majorHAnsi" w:hAnsiTheme="majorHAnsi" w:cstheme="majorHAnsi"/>
                <w:b/>
                <w:bCs/>
                <w:sz w:val="20"/>
                <w:szCs w:val="20"/>
                <w:lang w:val="ro-MD"/>
              </w:rPr>
              <w:t>BASS, mil</w:t>
            </w:r>
            <w:r w:rsidR="00EB56AE" w:rsidRPr="00860800">
              <w:rPr>
                <w:rFonts w:asciiTheme="majorHAnsi" w:hAnsiTheme="majorHAnsi" w:cstheme="majorHAnsi"/>
                <w:b/>
                <w:bCs/>
                <w:sz w:val="20"/>
                <w:szCs w:val="20"/>
                <w:lang w:val="ro-MD"/>
              </w:rPr>
              <w:t xml:space="preserve">. </w:t>
            </w:r>
            <w:r w:rsidRPr="00860800">
              <w:rPr>
                <w:rFonts w:asciiTheme="majorHAnsi" w:hAnsiTheme="majorHAnsi" w:cstheme="majorHAnsi"/>
                <w:b/>
                <w:bCs/>
                <w:sz w:val="20"/>
                <w:szCs w:val="20"/>
                <w:lang w:val="ro-MD"/>
              </w:rPr>
              <w:t>lei</w:t>
            </w:r>
          </w:p>
        </w:tc>
        <w:tc>
          <w:tcPr>
            <w:tcW w:w="1446" w:type="dxa"/>
            <w:vAlign w:val="center"/>
          </w:tcPr>
          <w:p w14:paraId="04E1A74B" w14:textId="41C22B8E" w:rsidR="005E7DC9" w:rsidRPr="00860800" w:rsidRDefault="005E7DC9" w:rsidP="004147B7">
            <w:pPr>
              <w:pStyle w:val="Default"/>
              <w:jc w:val="center"/>
              <w:rPr>
                <w:rFonts w:asciiTheme="majorHAnsi" w:hAnsiTheme="majorHAnsi" w:cstheme="majorHAnsi"/>
                <w:b/>
                <w:sz w:val="20"/>
                <w:szCs w:val="20"/>
                <w:lang w:val="ro-MD"/>
              </w:rPr>
            </w:pPr>
            <w:r w:rsidRPr="00860800">
              <w:rPr>
                <w:rFonts w:asciiTheme="majorHAnsi" w:hAnsiTheme="majorHAnsi" w:cstheme="majorHAnsi"/>
                <w:b/>
                <w:sz w:val="20"/>
                <w:szCs w:val="20"/>
                <w:lang w:val="ro-MD"/>
              </w:rPr>
              <w:t xml:space="preserve">Ritmul creșterii </w:t>
            </w:r>
            <w:r w:rsidR="004147B7" w:rsidRPr="00860800">
              <w:rPr>
                <w:rFonts w:asciiTheme="majorHAnsi" w:hAnsiTheme="majorHAnsi" w:cstheme="majorHAnsi"/>
                <w:b/>
                <w:sz w:val="20"/>
                <w:szCs w:val="20"/>
                <w:lang w:val="ro-MD"/>
              </w:rPr>
              <w:t>veniturilo</w:t>
            </w:r>
            <w:r w:rsidRPr="00860800">
              <w:rPr>
                <w:rFonts w:asciiTheme="majorHAnsi" w:hAnsiTheme="majorHAnsi" w:cstheme="majorHAnsi"/>
                <w:b/>
                <w:sz w:val="20"/>
                <w:szCs w:val="20"/>
                <w:lang w:val="ro-MD"/>
              </w:rPr>
              <w:t>r față de anul precedent, %</w:t>
            </w:r>
          </w:p>
        </w:tc>
        <w:tc>
          <w:tcPr>
            <w:tcW w:w="2510" w:type="dxa"/>
            <w:vAlign w:val="center"/>
          </w:tcPr>
          <w:p w14:paraId="5FDB968D" w14:textId="4D0CAA5E" w:rsidR="005E7DC9" w:rsidRPr="00860800" w:rsidRDefault="005E7DC9" w:rsidP="00E65C9C">
            <w:pPr>
              <w:pStyle w:val="Default"/>
              <w:jc w:val="center"/>
              <w:rPr>
                <w:rFonts w:asciiTheme="majorHAnsi" w:hAnsiTheme="majorHAnsi" w:cstheme="majorHAnsi"/>
                <w:b/>
                <w:sz w:val="20"/>
                <w:szCs w:val="20"/>
                <w:lang w:val="ro-MD"/>
              </w:rPr>
            </w:pPr>
            <w:r w:rsidRPr="00860800">
              <w:rPr>
                <w:rFonts w:asciiTheme="majorHAnsi" w:hAnsiTheme="majorHAnsi" w:cstheme="majorHAnsi"/>
                <w:b/>
                <w:bCs/>
                <w:sz w:val="20"/>
                <w:szCs w:val="20"/>
                <w:lang w:val="ro-MD"/>
              </w:rPr>
              <w:t xml:space="preserve">Depășirea cheltuielilor </w:t>
            </w:r>
            <w:r w:rsidR="00EB56AE" w:rsidRPr="00860800">
              <w:rPr>
                <w:rFonts w:asciiTheme="majorHAnsi" w:hAnsiTheme="majorHAnsi" w:cstheme="majorHAnsi"/>
                <w:b/>
                <w:bCs/>
                <w:sz w:val="20"/>
                <w:szCs w:val="20"/>
                <w:lang w:val="ro-MD"/>
              </w:rPr>
              <w:t>BASS</w:t>
            </w:r>
            <w:r w:rsidRPr="00860800">
              <w:rPr>
                <w:rFonts w:asciiTheme="majorHAnsi" w:hAnsiTheme="majorHAnsi" w:cstheme="majorHAnsi"/>
                <w:b/>
                <w:bCs/>
                <w:sz w:val="20"/>
                <w:szCs w:val="20"/>
                <w:lang w:val="ro-MD"/>
              </w:rPr>
              <w:t xml:space="preserve"> asupra veniturilor proprii,</w:t>
            </w:r>
          </w:p>
          <w:p w14:paraId="062B82CE" w14:textId="77777777" w:rsidR="005E7DC9" w:rsidRPr="00860800" w:rsidRDefault="005E7DC9" w:rsidP="00E65C9C">
            <w:pPr>
              <w:pStyle w:val="Default"/>
              <w:jc w:val="center"/>
              <w:rPr>
                <w:rFonts w:asciiTheme="majorHAnsi" w:hAnsiTheme="majorHAnsi" w:cstheme="majorHAnsi"/>
                <w:b/>
                <w:sz w:val="20"/>
                <w:szCs w:val="20"/>
                <w:lang w:val="ro-MD"/>
              </w:rPr>
            </w:pPr>
            <w:r w:rsidRPr="00860800">
              <w:rPr>
                <w:rFonts w:asciiTheme="majorHAnsi" w:hAnsiTheme="majorHAnsi" w:cstheme="majorHAnsi"/>
                <w:b/>
                <w:iCs/>
                <w:sz w:val="20"/>
                <w:szCs w:val="20"/>
                <w:lang w:val="ro-MD"/>
              </w:rPr>
              <w:t>mil. lei</w:t>
            </w:r>
          </w:p>
        </w:tc>
      </w:tr>
      <w:tr w:rsidR="005E7DC9" w:rsidRPr="00AC21BC" w14:paraId="63441934" w14:textId="77777777" w:rsidTr="00860800">
        <w:trPr>
          <w:trHeight w:val="20"/>
        </w:trPr>
        <w:tc>
          <w:tcPr>
            <w:tcW w:w="1446" w:type="dxa"/>
          </w:tcPr>
          <w:p w14:paraId="69093038" w14:textId="77777777" w:rsidR="005E7DC9" w:rsidRPr="00860800" w:rsidRDefault="005E7DC9" w:rsidP="00E65C9C">
            <w:pPr>
              <w:pStyle w:val="Default"/>
              <w:jc w:val="center"/>
              <w:rPr>
                <w:rFonts w:asciiTheme="majorHAnsi" w:hAnsiTheme="majorHAnsi" w:cstheme="majorHAnsi"/>
                <w:sz w:val="20"/>
                <w:szCs w:val="20"/>
                <w:lang w:val="ro-MD"/>
              </w:rPr>
            </w:pPr>
            <w:r w:rsidRPr="00860800">
              <w:rPr>
                <w:rFonts w:asciiTheme="majorHAnsi" w:hAnsiTheme="majorHAnsi" w:cstheme="majorHAnsi"/>
                <w:b/>
                <w:bCs/>
                <w:sz w:val="20"/>
                <w:szCs w:val="20"/>
                <w:lang w:val="ro-MD"/>
              </w:rPr>
              <w:t>2018</w:t>
            </w:r>
          </w:p>
        </w:tc>
        <w:tc>
          <w:tcPr>
            <w:tcW w:w="1447" w:type="dxa"/>
          </w:tcPr>
          <w:p w14:paraId="208BD346" w14:textId="79F0AD1D"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13</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962,5 </w:t>
            </w:r>
          </w:p>
        </w:tc>
        <w:tc>
          <w:tcPr>
            <w:tcW w:w="1447" w:type="dxa"/>
          </w:tcPr>
          <w:p w14:paraId="2F34F2BB"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110,5 </w:t>
            </w:r>
          </w:p>
        </w:tc>
        <w:tc>
          <w:tcPr>
            <w:tcW w:w="1446" w:type="dxa"/>
          </w:tcPr>
          <w:p w14:paraId="1D50C2A8" w14:textId="7C17E03B"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13</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120,1 </w:t>
            </w:r>
          </w:p>
        </w:tc>
        <w:tc>
          <w:tcPr>
            <w:tcW w:w="1446" w:type="dxa"/>
          </w:tcPr>
          <w:p w14:paraId="3E486EE3"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110,5 </w:t>
            </w:r>
          </w:p>
        </w:tc>
        <w:tc>
          <w:tcPr>
            <w:tcW w:w="2510" w:type="dxa"/>
          </w:tcPr>
          <w:p w14:paraId="7BD2DBB8"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842,4 </w:t>
            </w:r>
          </w:p>
        </w:tc>
      </w:tr>
      <w:tr w:rsidR="005E7DC9" w:rsidRPr="00AC21BC" w14:paraId="58E6977D" w14:textId="77777777" w:rsidTr="00860800">
        <w:trPr>
          <w:trHeight w:val="20"/>
        </w:trPr>
        <w:tc>
          <w:tcPr>
            <w:tcW w:w="1446" w:type="dxa"/>
          </w:tcPr>
          <w:p w14:paraId="4687C75E" w14:textId="77777777" w:rsidR="005E7DC9" w:rsidRPr="00860800" w:rsidRDefault="005E7DC9" w:rsidP="00E65C9C">
            <w:pPr>
              <w:pStyle w:val="Default"/>
              <w:jc w:val="center"/>
              <w:rPr>
                <w:rFonts w:asciiTheme="majorHAnsi" w:hAnsiTheme="majorHAnsi" w:cstheme="majorHAnsi"/>
                <w:sz w:val="20"/>
                <w:szCs w:val="20"/>
                <w:lang w:val="ro-MD"/>
              </w:rPr>
            </w:pPr>
            <w:r w:rsidRPr="00860800">
              <w:rPr>
                <w:rFonts w:asciiTheme="majorHAnsi" w:hAnsiTheme="majorHAnsi" w:cstheme="majorHAnsi"/>
                <w:b/>
                <w:bCs/>
                <w:sz w:val="20"/>
                <w:szCs w:val="20"/>
                <w:lang w:val="ro-MD"/>
              </w:rPr>
              <w:t>2019</w:t>
            </w:r>
          </w:p>
        </w:tc>
        <w:tc>
          <w:tcPr>
            <w:tcW w:w="1447" w:type="dxa"/>
          </w:tcPr>
          <w:p w14:paraId="61F83511" w14:textId="212E30FE"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15</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686,0 </w:t>
            </w:r>
          </w:p>
        </w:tc>
        <w:tc>
          <w:tcPr>
            <w:tcW w:w="1447" w:type="dxa"/>
          </w:tcPr>
          <w:p w14:paraId="0A18B7CD"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112,3 </w:t>
            </w:r>
          </w:p>
        </w:tc>
        <w:tc>
          <w:tcPr>
            <w:tcW w:w="1446" w:type="dxa"/>
          </w:tcPr>
          <w:p w14:paraId="714FF927" w14:textId="3B022428"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13</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791,4 </w:t>
            </w:r>
          </w:p>
        </w:tc>
        <w:tc>
          <w:tcPr>
            <w:tcW w:w="1446" w:type="dxa"/>
          </w:tcPr>
          <w:p w14:paraId="24164A86"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105,1 </w:t>
            </w:r>
          </w:p>
        </w:tc>
        <w:tc>
          <w:tcPr>
            <w:tcW w:w="2510" w:type="dxa"/>
          </w:tcPr>
          <w:p w14:paraId="0635CC2D" w14:textId="4CCD9EF4"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894,6 </w:t>
            </w:r>
          </w:p>
        </w:tc>
      </w:tr>
      <w:tr w:rsidR="005E7DC9" w:rsidRPr="00AC21BC" w14:paraId="52040FF2" w14:textId="77777777" w:rsidTr="00860800">
        <w:trPr>
          <w:trHeight w:val="20"/>
        </w:trPr>
        <w:tc>
          <w:tcPr>
            <w:tcW w:w="1446" w:type="dxa"/>
          </w:tcPr>
          <w:p w14:paraId="214E78A5" w14:textId="77777777" w:rsidR="005E7DC9" w:rsidRPr="00860800" w:rsidRDefault="005E7DC9" w:rsidP="00E65C9C">
            <w:pPr>
              <w:pStyle w:val="Default"/>
              <w:jc w:val="center"/>
              <w:rPr>
                <w:rFonts w:asciiTheme="majorHAnsi" w:hAnsiTheme="majorHAnsi" w:cstheme="majorHAnsi"/>
                <w:sz w:val="20"/>
                <w:szCs w:val="20"/>
                <w:lang w:val="ro-MD"/>
              </w:rPr>
            </w:pPr>
            <w:r w:rsidRPr="00860800">
              <w:rPr>
                <w:rFonts w:asciiTheme="majorHAnsi" w:hAnsiTheme="majorHAnsi" w:cstheme="majorHAnsi"/>
                <w:b/>
                <w:bCs/>
                <w:sz w:val="20"/>
                <w:szCs w:val="20"/>
                <w:lang w:val="ro-MD"/>
              </w:rPr>
              <w:t>2020</w:t>
            </w:r>
          </w:p>
        </w:tc>
        <w:tc>
          <w:tcPr>
            <w:tcW w:w="1447" w:type="dxa"/>
          </w:tcPr>
          <w:p w14:paraId="5A770A70" w14:textId="041A32B4"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17</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138,8 </w:t>
            </w:r>
          </w:p>
        </w:tc>
        <w:tc>
          <w:tcPr>
            <w:tcW w:w="1447" w:type="dxa"/>
          </w:tcPr>
          <w:p w14:paraId="23D842E1"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109,3 </w:t>
            </w:r>
          </w:p>
        </w:tc>
        <w:tc>
          <w:tcPr>
            <w:tcW w:w="1446" w:type="dxa"/>
          </w:tcPr>
          <w:p w14:paraId="3A8A8390" w14:textId="5C31DB96"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14</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516,2 </w:t>
            </w:r>
          </w:p>
        </w:tc>
        <w:tc>
          <w:tcPr>
            <w:tcW w:w="1446" w:type="dxa"/>
          </w:tcPr>
          <w:p w14:paraId="6EE5EC46"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105,3 </w:t>
            </w:r>
          </w:p>
        </w:tc>
        <w:tc>
          <w:tcPr>
            <w:tcW w:w="2510" w:type="dxa"/>
          </w:tcPr>
          <w:p w14:paraId="05A625C8" w14:textId="7FC1E726"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2</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622,6 </w:t>
            </w:r>
          </w:p>
        </w:tc>
      </w:tr>
      <w:tr w:rsidR="005E7DC9" w:rsidRPr="00AC21BC" w14:paraId="3A191BE7" w14:textId="77777777" w:rsidTr="00860800">
        <w:trPr>
          <w:trHeight w:val="20"/>
        </w:trPr>
        <w:tc>
          <w:tcPr>
            <w:tcW w:w="1446" w:type="dxa"/>
          </w:tcPr>
          <w:p w14:paraId="00E489CA" w14:textId="77777777" w:rsidR="005E7DC9" w:rsidRPr="00860800" w:rsidRDefault="005E7DC9" w:rsidP="00E65C9C">
            <w:pPr>
              <w:pStyle w:val="Default"/>
              <w:jc w:val="center"/>
              <w:rPr>
                <w:rFonts w:asciiTheme="majorHAnsi" w:hAnsiTheme="majorHAnsi" w:cstheme="majorHAnsi"/>
                <w:sz w:val="20"/>
                <w:szCs w:val="20"/>
                <w:lang w:val="ro-MD"/>
              </w:rPr>
            </w:pPr>
            <w:r w:rsidRPr="00860800">
              <w:rPr>
                <w:rFonts w:asciiTheme="majorHAnsi" w:hAnsiTheme="majorHAnsi" w:cstheme="majorHAnsi"/>
                <w:b/>
                <w:bCs/>
                <w:sz w:val="20"/>
                <w:szCs w:val="20"/>
                <w:lang w:val="ro-MD"/>
              </w:rPr>
              <w:t>2021</w:t>
            </w:r>
          </w:p>
        </w:tc>
        <w:tc>
          <w:tcPr>
            <w:tcW w:w="1447" w:type="dxa"/>
          </w:tcPr>
          <w:p w14:paraId="5A86B9D0" w14:textId="0757E41D"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19</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343,2 </w:t>
            </w:r>
          </w:p>
        </w:tc>
        <w:tc>
          <w:tcPr>
            <w:tcW w:w="1447" w:type="dxa"/>
          </w:tcPr>
          <w:p w14:paraId="7D933993"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112,9 </w:t>
            </w:r>
          </w:p>
        </w:tc>
        <w:tc>
          <w:tcPr>
            <w:tcW w:w="1446" w:type="dxa"/>
          </w:tcPr>
          <w:p w14:paraId="1414BFFB" w14:textId="3D876BCD"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16</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522,1 </w:t>
            </w:r>
          </w:p>
        </w:tc>
        <w:tc>
          <w:tcPr>
            <w:tcW w:w="1446" w:type="dxa"/>
          </w:tcPr>
          <w:p w14:paraId="7B15B228"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 xml:space="preserve">113,8 </w:t>
            </w:r>
          </w:p>
        </w:tc>
        <w:tc>
          <w:tcPr>
            <w:tcW w:w="2510" w:type="dxa"/>
          </w:tcPr>
          <w:p w14:paraId="0A60AEA8" w14:textId="11636ACC"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2</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 xml:space="preserve">821,1 </w:t>
            </w:r>
          </w:p>
        </w:tc>
      </w:tr>
      <w:tr w:rsidR="005E7DC9" w:rsidRPr="00AC21BC" w14:paraId="11FA9DE8" w14:textId="77777777" w:rsidTr="00860800">
        <w:trPr>
          <w:trHeight w:val="20"/>
        </w:trPr>
        <w:tc>
          <w:tcPr>
            <w:tcW w:w="1446" w:type="dxa"/>
          </w:tcPr>
          <w:p w14:paraId="70504196" w14:textId="77777777" w:rsidR="005E7DC9" w:rsidRPr="00860800" w:rsidRDefault="005E7DC9" w:rsidP="00E65C9C">
            <w:pPr>
              <w:pStyle w:val="Default"/>
              <w:jc w:val="center"/>
              <w:rPr>
                <w:rFonts w:asciiTheme="majorHAnsi" w:hAnsiTheme="majorHAnsi" w:cstheme="majorHAnsi"/>
                <w:b/>
                <w:bCs/>
                <w:sz w:val="20"/>
                <w:szCs w:val="20"/>
                <w:lang w:val="ro-MD"/>
              </w:rPr>
            </w:pPr>
            <w:r w:rsidRPr="00860800">
              <w:rPr>
                <w:rFonts w:asciiTheme="majorHAnsi" w:hAnsiTheme="majorHAnsi" w:cstheme="majorHAnsi"/>
                <w:b/>
                <w:bCs/>
                <w:sz w:val="20"/>
                <w:szCs w:val="20"/>
                <w:lang w:val="ro-MD"/>
              </w:rPr>
              <w:t>2022</w:t>
            </w:r>
          </w:p>
        </w:tc>
        <w:tc>
          <w:tcPr>
            <w:tcW w:w="1447" w:type="dxa"/>
          </w:tcPr>
          <w:p w14:paraId="51F0FB12" w14:textId="51D6EE79"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23</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559,4</w:t>
            </w:r>
          </w:p>
        </w:tc>
        <w:tc>
          <w:tcPr>
            <w:tcW w:w="1447" w:type="dxa"/>
          </w:tcPr>
          <w:p w14:paraId="24DCCAD1"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117,8</w:t>
            </w:r>
          </w:p>
        </w:tc>
        <w:tc>
          <w:tcPr>
            <w:tcW w:w="1446" w:type="dxa"/>
          </w:tcPr>
          <w:p w14:paraId="455D6F45" w14:textId="0F3F7B21"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18</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656,8</w:t>
            </w:r>
          </w:p>
        </w:tc>
        <w:tc>
          <w:tcPr>
            <w:tcW w:w="1446" w:type="dxa"/>
          </w:tcPr>
          <w:p w14:paraId="2C827E83" w14:textId="77777777"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112,9</w:t>
            </w:r>
          </w:p>
        </w:tc>
        <w:tc>
          <w:tcPr>
            <w:tcW w:w="2510" w:type="dxa"/>
          </w:tcPr>
          <w:p w14:paraId="253C3644" w14:textId="2E04C45D" w:rsidR="005E7DC9" w:rsidRPr="00860800" w:rsidRDefault="005E7DC9" w:rsidP="00E65C9C">
            <w:pPr>
              <w:pStyle w:val="Default"/>
              <w:jc w:val="right"/>
              <w:rPr>
                <w:rFonts w:asciiTheme="majorHAnsi" w:hAnsiTheme="majorHAnsi" w:cstheme="majorHAnsi"/>
                <w:sz w:val="20"/>
                <w:szCs w:val="20"/>
                <w:lang w:val="ro-MD"/>
              </w:rPr>
            </w:pPr>
            <w:r w:rsidRPr="00860800">
              <w:rPr>
                <w:rFonts w:asciiTheme="majorHAnsi" w:hAnsiTheme="majorHAnsi" w:cstheme="majorHAnsi"/>
                <w:sz w:val="20"/>
                <w:szCs w:val="20"/>
                <w:lang w:val="ro-MD"/>
              </w:rPr>
              <w:t>4</w:t>
            </w:r>
            <w:r w:rsidR="00EB56AE" w:rsidRPr="00860800">
              <w:rPr>
                <w:rFonts w:asciiTheme="majorHAnsi" w:hAnsiTheme="majorHAnsi" w:cstheme="majorHAnsi"/>
                <w:sz w:val="20"/>
                <w:szCs w:val="20"/>
                <w:lang w:val="ro-MD"/>
              </w:rPr>
              <w:t xml:space="preserve"> </w:t>
            </w:r>
            <w:r w:rsidRPr="00860800">
              <w:rPr>
                <w:rFonts w:asciiTheme="majorHAnsi" w:hAnsiTheme="majorHAnsi" w:cstheme="majorHAnsi"/>
                <w:sz w:val="20"/>
                <w:szCs w:val="20"/>
                <w:lang w:val="ro-MD"/>
              </w:rPr>
              <w:t>902,6</w:t>
            </w:r>
          </w:p>
        </w:tc>
      </w:tr>
    </w:tbl>
    <w:p w14:paraId="56888088" w14:textId="5848910B" w:rsidR="005E7DC9" w:rsidRPr="00653E85" w:rsidRDefault="005E7DC9" w:rsidP="005E7DC9">
      <w:pPr>
        <w:tabs>
          <w:tab w:val="left" w:pos="426"/>
          <w:tab w:val="left" w:pos="709"/>
          <w:tab w:val="left" w:pos="993"/>
        </w:tabs>
        <w:spacing w:line="276" w:lineRule="auto"/>
        <w:jc w:val="both"/>
        <w:rPr>
          <w:rFonts w:asciiTheme="majorHAnsi" w:hAnsiTheme="majorHAnsi" w:cstheme="majorHAnsi"/>
          <w:i/>
          <w:sz w:val="20"/>
          <w:szCs w:val="20"/>
          <w:lang w:val="ro-MD"/>
        </w:rPr>
      </w:pPr>
      <w:r w:rsidRPr="00653E85">
        <w:rPr>
          <w:rFonts w:asciiTheme="majorHAnsi" w:hAnsiTheme="majorHAnsi" w:cstheme="majorHAnsi"/>
          <w:i/>
          <w:sz w:val="20"/>
          <w:szCs w:val="20"/>
          <w:lang w:val="ro-MD"/>
        </w:rPr>
        <w:t>Sursa: Rapoartele privind executarea BASS în anii 2018-2022</w:t>
      </w:r>
      <w:r w:rsidR="00B20FA2" w:rsidRPr="00653E85">
        <w:rPr>
          <w:rFonts w:asciiTheme="majorHAnsi" w:hAnsiTheme="majorHAnsi" w:cstheme="majorHAnsi"/>
          <w:i/>
          <w:sz w:val="20"/>
          <w:szCs w:val="20"/>
          <w:lang w:val="ro-MD"/>
        </w:rPr>
        <w:t>.</w:t>
      </w:r>
    </w:p>
    <w:p w14:paraId="4DB7C489" w14:textId="40E74EAB" w:rsidR="005E7DC9" w:rsidRPr="00653E85" w:rsidRDefault="005E7DC9" w:rsidP="005E7DC9">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Sustenabilitatea sistemului public de asigurări sociale poate fi asigurată doar în condiții de acoperire a </w:t>
      </w:r>
      <w:r w:rsidR="00B94D89" w:rsidRPr="00653E85">
        <w:rPr>
          <w:rFonts w:asciiTheme="majorHAnsi" w:hAnsiTheme="majorHAnsi" w:cstheme="majorHAnsi"/>
          <w:sz w:val="24"/>
          <w:szCs w:val="24"/>
          <w:lang w:val="ro-MD"/>
        </w:rPr>
        <w:t>cheltuielilor</w:t>
      </w:r>
      <w:r w:rsidRPr="00653E85">
        <w:rPr>
          <w:rFonts w:asciiTheme="majorHAnsi" w:hAnsiTheme="majorHAnsi" w:cstheme="majorHAnsi"/>
          <w:sz w:val="24"/>
          <w:szCs w:val="24"/>
          <w:lang w:val="ro-MD"/>
        </w:rPr>
        <w:t xml:space="preserve"> pentru prestațiile de asigurări sociale cu veniturile proprii, încasate la bugetul asigurărilor sociale de stat. În acest context, menționăm că ritmul de creștere a cheltuielilor suportate din BASS (168,7%) în anul 2022</w:t>
      </w:r>
      <w:r w:rsidR="00B20FA2"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față de 2018, a depășit ritmul de creștere a veniturilor proprii (142,3%) cu 26,5 puncte procentuale (Tabel</w:t>
      </w:r>
      <w:r w:rsidR="00B20FA2" w:rsidRPr="00653E85">
        <w:rPr>
          <w:rFonts w:asciiTheme="majorHAnsi" w:hAnsiTheme="majorHAnsi" w:cstheme="majorHAnsi"/>
          <w:sz w:val="24"/>
          <w:szCs w:val="24"/>
          <w:lang w:val="ro-MD"/>
        </w:rPr>
        <w:t>ul</w:t>
      </w:r>
      <w:r w:rsidRPr="00653E85">
        <w:rPr>
          <w:rFonts w:asciiTheme="majorHAnsi" w:hAnsiTheme="majorHAnsi" w:cstheme="majorHAnsi"/>
          <w:sz w:val="24"/>
          <w:szCs w:val="24"/>
          <w:lang w:val="ro-MD"/>
        </w:rPr>
        <w:t xml:space="preserve"> nr.</w:t>
      </w:r>
      <w:r w:rsidR="00E939D7" w:rsidRPr="00653E85">
        <w:rPr>
          <w:rFonts w:asciiTheme="majorHAnsi" w:hAnsiTheme="majorHAnsi" w:cstheme="majorHAnsi"/>
          <w:sz w:val="24"/>
          <w:szCs w:val="24"/>
          <w:lang w:val="ro-MD"/>
        </w:rPr>
        <w:t>5</w:t>
      </w:r>
      <w:r w:rsidRPr="00653E85">
        <w:rPr>
          <w:rFonts w:asciiTheme="majorHAnsi" w:hAnsiTheme="majorHAnsi" w:cstheme="majorHAnsi"/>
          <w:sz w:val="24"/>
          <w:szCs w:val="24"/>
          <w:lang w:val="ro-MD"/>
        </w:rPr>
        <w:t xml:space="preserve">), ceea ce a determinat solicitarea mijloacelor financiare necesare acoperirii deficitului. Acest fapt a fost cauzat de </w:t>
      </w:r>
      <w:r w:rsidR="00B94D89" w:rsidRPr="00653E85">
        <w:rPr>
          <w:rFonts w:asciiTheme="majorHAnsi" w:hAnsiTheme="majorHAnsi" w:cstheme="majorHAnsi"/>
          <w:sz w:val="24"/>
          <w:szCs w:val="24"/>
          <w:lang w:val="ro-MD"/>
        </w:rPr>
        <w:t>insuficiența</w:t>
      </w:r>
      <w:r w:rsidRPr="00653E85">
        <w:rPr>
          <w:rFonts w:asciiTheme="majorHAnsi" w:hAnsiTheme="majorHAnsi" w:cstheme="majorHAnsi"/>
          <w:sz w:val="24"/>
          <w:szCs w:val="24"/>
          <w:lang w:val="ro-MD"/>
        </w:rPr>
        <w:t xml:space="preserve"> veniturilor proprii utilizate pentru acoperirea cheltuielilor, </w:t>
      </w:r>
      <w:r w:rsidR="00B94D89" w:rsidRPr="00653E85">
        <w:rPr>
          <w:rFonts w:asciiTheme="majorHAnsi" w:hAnsiTheme="majorHAnsi" w:cstheme="majorHAnsi"/>
          <w:sz w:val="24"/>
          <w:szCs w:val="24"/>
          <w:lang w:val="ro-MD"/>
        </w:rPr>
        <w:t>reieșind</w:t>
      </w:r>
      <w:r w:rsidRPr="00653E85">
        <w:rPr>
          <w:rFonts w:asciiTheme="majorHAnsi" w:hAnsiTheme="majorHAnsi" w:cstheme="majorHAnsi"/>
          <w:sz w:val="24"/>
          <w:szCs w:val="24"/>
          <w:lang w:val="ro-MD"/>
        </w:rPr>
        <w:t xml:space="preserve"> din necesitatea asigurării </w:t>
      </w:r>
      <w:r w:rsidR="00B94D89" w:rsidRPr="00653E85">
        <w:rPr>
          <w:rFonts w:asciiTheme="majorHAnsi" w:hAnsiTheme="majorHAnsi" w:cstheme="majorHAnsi"/>
          <w:sz w:val="24"/>
          <w:szCs w:val="24"/>
          <w:lang w:val="ro-MD"/>
        </w:rPr>
        <w:t>plății</w:t>
      </w:r>
      <w:r w:rsidRPr="00653E85">
        <w:rPr>
          <w:rFonts w:asciiTheme="majorHAnsi" w:hAnsiTheme="majorHAnsi" w:cstheme="majorHAnsi"/>
          <w:sz w:val="24"/>
          <w:szCs w:val="24"/>
          <w:lang w:val="ro-MD"/>
        </w:rPr>
        <w:t xml:space="preserve"> </w:t>
      </w:r>
      <w:r w:rsidR="00B94D89" w:rsidRPr="00653E85">
        <w:rPr>
          <w:rFonts w:asciiTheme="majorHAnsi" w:hAnsiTheme="majorHAnsi" w:cstheme="majorHAnsi"/>
          <w:sz w:val="24"/>
          <w:szCs w:val="24"/>
          <w:lang w:val="ro-MD"/>
        </w:rPr>
        <w:t>prestațiilor</w:t>
      </w:r>
      <w:r w:rsidRPr="00653E85">
        <w:rPr>
          <w:rFonts w:asciiTheme="majorHAnsi" w:hAnsiTheme="majorHAnsi" w:cstheme="majorHAnsi"/>
          <w:sz w:val="24"/>
          <w:szCs w:val="24"/>
          <w:lang w:val="ro-MD"/>
        </w:rPr>
        <w:t xml:space="preserve"> sociale către beneficiari/cetățeni în termenele stabilite.</w:t>
      </w:r>
    </w:p>
    <w:p w14:paraId="1DFBA186" w14:textId="04EDC46F" w:rsidR="005E7DC9" w:rsidRPr="00653E85" w:rsidRDefault="005E7DC9" w:rsidP="005E7DC9">
      <w:pPr>
        <w:spacing w:after="0" w:line="276" w:lineRule="auto"/>
        <w:jc w:val="right"/>
        <w:rPr>
          <w:rFonts w:asciiTheme="majorHAnsi" w:hAnsiTheme="majorHAnsi" w:cstheme="majorHAnsi"/>
          <w:b/>
          <w:sz w:val="24"/>
          <w:szCs w:val="24"/>
          <w:lang w:val="ro-MD"/>
        </w:rPr>
      </w:pPr>
      <w:r w:rsidRPr="00653E85">
        <w:rPr>
          <w:rFonts w:asciiTheme="majorHAnsi" w:hAnsiTheme="majorHAnsi" w:cstheme="majorHAnsi"/>
          <w:b/>
          <w:sz w:val="24"/>
          <w:szCs w:val="24"/>
          <w:lang w:val="ro-MD"/>
        </w:rPr>
        <w:t>Tabel</w:t>
      </w:r>
      <w:r w:rsidR="00B20FA2" w:rsidRPr="00653E85">
        <w:rPr>
          <w:rFonts w:asciiTheme="majorHAnsi" w:hAnsiTheme="majorHAnsi" w:cstheme="majorHAnsi"/>
          <w:b/>
          <w:sz w:val="24"/>
          <w:szCs w:val="24"/>
          <w:lang w:val="ro-MD"/>
        </w:rPr>
        <w:t>ul</w:t>
      </w:r>
      <w:r w:rsidRPr="00653E85">
        <w:rPr>
          <w:rFonts w:asciiTheme="majorHAnsi" w:hAnsiTheme="majorHAnsi" w:cstheme="majorHAnsi"/>
          <w:b/>
          <w:sz w:val="24"/>
          <w:szCs w:val="24"/>
          <w:lang w:val="ro-MD"/>
        </w:rPr>
        <w:t xml:space="preserve"> nr.</w:t>
      </w:r>
      <w:r w:rsidR="00E939D7" w:rsidRPr="00653E85">
        <w:rPr>
          <w:rFonts w:asciiTheme="majorHAnsi" w:hAnsiTheme="majorHAnsi" w:cstheme="majorHAnsi"/>
          <w:b/>
          <w:sz w:val="24"/>
          <w:szCs w:val="24"/>
          <w:lang w:val="ro-MD"/>
        </w:rPr>
        <w:t>5</w:t>
      </w:r>
    </w:p>
    <w:p w14:paraId="59705EC8" w14:textId="72BE588C" w:rsidR="005E7DC9" w:rsidRPr="00653E85" w:rsidRDefault="005E7DC9" w:rsidP="005E7DC9">
      <w:pPr>
        <w:tabs>
          <w:tab w:val="left" w:pos="426"/>
          <w:tab w:val="left" w:pos="709"/>
          <w:tab w:val="left" w:pos="993"/>
        </w:tabs>
        <w:spacing w:after="0"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 xml:space="preserve">Ritmul </w:t>
      </w:r>
      <w:r w:rsidR="00B20FA2" w:rsidRPr="00653E85">
        <w:rPr>
          <w:rFonts w:asciiTheme="majorHAnsi" w:hAnsiTheme="majorHAnsi" w:cstheme="majorHAnsi"/>
          <w:b/>
          <w:sz w:val="24"/>
          <w:szCs w:val="24"/>
          <w:lang w:val="ro-MD"/>
        </w:rPr>
        <w:t xml:space="preserve">de </w:t>
      </w:r>
      <w:r w:rsidRPr="00653E85">
        <w:rPr>
          <w:rFonts w:asciiTheme="majorHAnsi" w:hAnsiTheme="majorHAnsi" w:cstheme="majorHAnsi"/>
          <w:b/>
          <w:sz w:val="24"/>
          <w:szCs w:val="24"/>
          <w:lang w:val="ro-MD"/>
        </w:rPr>
        <w:t>creșter</w:t>
      </w:r>
      <w:r w:rsidR="00B20FA2" w:rsidRPr="00653E85">
        <w:rPr>
          <w:rFonts w:asciiTheme="majorHAnsi" w:hAnsiTheme="majorHAnsi" w:cstheme="majorHAnsi"/>
          <w:b/>
          <w:sz w:val="24"/>
          <w:szCs w:val="24"/>
          <w:lang w:val="ro-MD"/>
        </w:rPr>
        <w:t>e a</w:t>
      </w:r>
      <w:r w:rsidRPr="00653E85">
        <w:rPr>
          <w:rFonts w:asciiTheme="majorHAnsi" w:hAnsiTheme="majorHAnsi" w:cstheme="majorHAnsi"/>
          <w:b/>
          <w:sz w:val="24"/>
          <w:szCs w:val="24"/>
          <w:lang w:val="ro-MD"/>
        </w:rPr>
        <w:t xml:space="preserve"> cheltuielilor comparativ cu ritmul </w:t>
      </w:r>
      <w:r w:rsidR="00B20FA2" w:rsidRPr="00653E85">
        <w:rPr>
          <w:rFonts w:asciiTheme="majorHAnsi" w:hAnsiTheme="majorHAnsi" w:cstheme="majorHAnsi"/>
          <w:b/>
          <w:sz w:val="24"/>
          <w:szCs w:val="24"/>
          <w:lang w:val="ro-MD"/>
        </w:rPr>
        <w:t xml:space="preserve">de </w:t>
      </w:r>
      <w:r w:rsidRPr="00653E85">
        <w:rPr>
          <w:rFonts w:asciiTheme="majorHAnsi" w:hAnsiTheme="majorHAnsi" w:cstheme="majorHAnsi"/>
          <w:b/>
          <w:sz w:val="24"/>
          <w:szCs w:val="24"/>
          <w:lang w:val="ro-MD"/>
        </w:rPr>
        <w:t>creșter</w:t>
      </w:r>
      <w:r w:rsidR="00B20FA2" w:rsidRPr="00653E85">
        <w:rPr>
          <w:rFonts w:asciiTheme="majorHAnsi" w:hAnsiTheme="majorHAnsi" w:cstheme="majorHAnsi"/>
          <w:b/>
          <w:sz w:val="24"/>
          <w:szCs w:val="24"/>
          <w:lang w:val="ro-MD"/>
        </w:rPr>
        <w:t>e a</w:t>
      </w:r>
      <w:r w:rsidRPr="00653E85">
        <w:rPr>
          <w:rFonts w:asciiTheme="majorHAnsi" w:hAnsiTheme="majorHAnsi" w:cstheme="majorHAnsi"/>
          <w:b/>
          <w:sz w:val="24"/>
          <w:szCs w:val="24"/>
          <w:lang w:val="ro-MD"/>
        </w:rPr>
        <w:t xml:space="preserve"> veniturilor în anii 2018-2022</w:t>
      </w:r>
    </w:p>
    <w:tbl>
      <w:tblPr>
        <w:tblStyle w:val="af1"/>
        <w:tblW w:w="9634" w:type="dxa"/>
        <w:tblLook w:val="04A0" w:firstRow="1" w:lastRow="0" w:firstColumn="1" w:lastColumn="0" w:noHBand="0" w:noVBand="1"/>
      </w:tblPr>
      <w:tblGrid>
        <w:gridCol w:w="846"/>
        <w:gridCol w:w="6520"/>
        <w:gridCol w:w="2268"/>
      </w:tblGrid>
      <w:tr w:rsidR="005E7DC9" w:rsidRPr="00B7675F" w14:paraId="24AF948D" w14:textId="77777777" w:rsidTr="00E65C9C">
        <w:trPr>
          <w:trHeight w:val="633"/>
        </w:trPr>
        <w:tc>
          <w:tcPr>
            <w:tcW w:w="846" w:type="dxa"/>
            <w:vAlign w:val="center"/>
          </w:tcPr>
          <w:p w14:paraId="46F0F4F9" w14:textId="3784EC38" w:rsidR="005E7DC9" w:rsidRPr="00653E85" w:rsidRDefault="005E7DC9" w:rsidP="00E65C9C">
            <w:pPr>
              <w:tabs>
                <w:tab w:val="left" w:pos="426"/>
                <w:tab w:val="left" w:pos="709"/>
                <w:tab w:val="left" w:pos="993"/>
              </w:tabs>
              <w:spacing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Nr.</w:t>
            </w:r>
            <w:r w:rsidR="00B20FA2" w:rsidRPr="00653E85">
              <w:rPr>
                <w:rFonts w:asciiTheme="majorHAnsi" w:hAnsiTheme="majorHAnsi" w:cstheme="majorHAnsi"/>
                <w:b/>
                <w:sz w:val="24"/>
                <w:szCs w:val="24"/>
                <w:lang w:val="ro-MD"/>
              </w:rPr>
              <w:t>crt.</w:t>
            </w:r>
          </w:p>
        </w:tc>
        <w:tc>
          <w:tcPr>
            <w:tcW w:w="6520" w:type="dxa"/>
            <w:vAlign w:val="center"/>
          </w:tcPr>
          <w:p w14:paraId="24F2D7E4" w14:textId="77777777" w:rsidR="005E7DC9" w:rsidRPr="00653E85" w:rsidRDefault="005E7DC9" w:rsidP="00E65C9C">
            <w:pPr>
              <w:tabs>
                <w:tab w:val="left" w:pos="426"/>
                <w:tab w:val="left" w:pos="709"/>
                <w:tab w:val="left" w:pos="993"/>
              </w:tabs>
              <w:spacing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Indicatori</w:t>
            </w:r>
          </w:p>
        </w:tc>
        <w:tc>
          <w:tcPr>
            <w:tcW w:w="2268" w:type="dxa"/>
            <w:vAlign w:val="center"/>
          </w:tcPr>
          <w:p w14:paraId="1350FABB" w14:textId="77777777" w:rsidR="005E7DC9" w:rsidRPr="00653E85" w:rsidRDefault="005E7DC9" w:rsidP="00E65C9C">
            <w:pPr>
              <w:tabs>
                <w:tab w:val="left" w:pos="426"/>
                <w:tab w:val="left" w:pos="709"/>
                <w:tab w:val="left" w:pos="993"/>
              </w:tabs>
              <w:spacing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Valoare</w:t>
            </w:r>
          </w:p>
        </w:tc>
      </w:tr>
      <w:tr w:rsidR="005E7DC9" w:rsidRPr="00B7675F" w14:paraId="5705E14F" w14:textId="77777777" w:rsidTr="00E65C9C">
        <w:tc>
          <w:tcPr>
            <w:tcW w:w="846" w:type="dxa"/>
          </w:tcPr>
          <w:p w14:paraId="7EE2BD09"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1.</w:t>
            </w:r>
          </w:p>
        </w:tc>
        <w:tc>
          <w:tcPr>
            <w:tcW w:w="6520" w:type="dxa"/>
          </w:tcPr>
          <w:p w14:paraId="5B7AFDFA" w14:textId="3B4C46E2" w:rsidR="005E7DC9" w:rsidRPr="00653E85" w:rsidRDefault="005E7DC9" w:rsidP="00E65C9C">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bCs/>
                <w:sz w:val="24"/>
                <w:szCs w:val="24"/>
                <w:lang w:val="ro-MD"/>
              </w:rPr>
              <w:t>Veniturile proprii BASS în anul 2018, mil</w:t>
            </w:r>
            <w:r w:rsidR="00B94D89" w:rsidRPr="00653E85">
              <w:rPr>
                <w:rFonts w:asciiTheme="majorHAnsi" w:hAnsiTheme="majorHAnsi" w:cstheme="majorHAnsi"/>
                <w:bCs/>
                <w:sz w:val="24"/>
                <w:szCs w:val="24"/>
                <w:lang w:val="ro-MD"/>
              </w:rPr>
              <w:t>.</w:t>
            </w:r>
            <w:r w:rsidRPr="00653E85">
              <w:rPr>
                <w:rFonts w:asciiTheme="majorHAnsi" w:hAnsiTheme="majorHAnsi" w:cstheme="majorHAnsi"/>
                <w:bCs/>
                <w:sz w:val="24"/>
                <w:szCs w:val="24"/>
                <w:lang w:val="ro-MD"/>
              </w:rPr>
              <w:t xml:space="preserve"> lei </w:t>
            </w:r>
          </w:p>
        </w:tc>
        <w:tc>
          <w:tcPr>
            <w:tcW w:w="2268" w:type="dxa"/>
          </w:tcPr>
          <w:p w14:paraId="186E3577" w14:textId="46DF3D90"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13</w:t>
            </w:r>
            <w:r w:rsidR="00B94D89"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120,1</w:t>
            </w:r>
          </w:p>
        </w:tc>
      </w:tr>
      <w:tr w:rsidR="005E7DC9" w:rsidRPr="00B7675F" w14:paraId="313ECFB4" w14:textId="77777777" w:rsidTr="00E65C9C">
        <w:tc>
          <w:tcPr>
            <w:tcW w:w="846" w:type="dxa"/>
          </w:tcPr>
          <w:p w14:paraId="17A16DB1"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2.</w:t>
            </w:r>
          </w:p>
        </w:tc>
        <w:tc>
          <w:tcPr>
            <w:tcW w:w="6520" w:type="dxa"/>
          </w:tcPr>
          <w:p w14:paraId="26F9D88C" w14:textId="6A3AAEDD" w:rsidR="005E7DC9" w:rsidRPr="00653E85" w:rsidRDefault="005E7DC9" w:rsidP="00E65C9C">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bCs/>
                <w:sz w:val="24"/>
                <w:szCs w:val="24"/>
                <w:lang w:val="ro-MD"/>
              </w:rPr>
              <w:t>Veniturile proprii BASS în anul 2022, mil</w:t>
            </w:r>
            <w:r w:rsidR="00B94D89" w:rsidRPr="00653E85">
              <w:rPr>
                <w:rFonts w:asciiTheme="majorHAnsi" w:hAnsiTheme="majorHAnsi" w:cstheme="majorHAnsi"/>
                <w:bCs/>
                <w:sz w:val="24"/>
                <w:szCs w:val="24"/>
                <w:lang w:val="ro-MD"/>
              </w:rPr>
              <w:t>.</w:t>
            </w:r>
            <w:r w:rsidRPr="00653E85">
              <w:rPr>
                <w:rFonts w:asciiTheme="majorHAnsi" w:hAnsiTheme="majorHAnsi" w:cstheme="majorHAnsi"/>
                <w:bCs/>
                <w:sz w:val="24"/>
                <w:szCs w:val="24"/>
                <w:lang w:val="ro-MD"/>
              </w:rPr>
              <w:t xml:space="preserve"> lei</w:t>
            </w:r>
          </w:p>
        </w:tc>
        <w:tc>
          <w:tcPr>
            <w:tcW w:w="2268" w:type="dxa"/>
          </w:tcPr>
          <w:p w14:paraId="59F54401" w14:textId="4CAF5021"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18</w:t>
            </w:r>
            <w:r w:rsidR="00B94D89"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656,8</w:t>
            </w:r>
          </w:p>
        </w:tc>
      </w:tr>
      <w:tr w:rsidR="005E7DC9" w:rsidRPr="00B7675F" w14:paraId="101B1993" w14:textId="77777777" w:rsidTr="00E65C9C">
        <w:tc>
          <w:tcPr>
            <w:tcW w:w="846" w:type="dxa"/>
          </w:tcPr>
          <w:p w14:paraId="51B2F119"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3.</w:t>
            </w:r>
          </w:p>
        </w:tc>
        <w:tc>
          <w:tcPr>
            <w:tcW w:w="6520" w:type="dxa"/>
          </w:tcPr>
          <w:p w14:paraId="58D83B93" w14:textId="1571C7F2" w:rsidR="005E7DC9" w:rsidRPr="00653E85" w:rsidRDefault="005E7DC9" w:rsidP="00E65C9C">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bCs/>
                <w:sz w:val="24"/>
                <w:szCs w:val="24"/>
                <w:lang w:val="ro-MD"/>
              </w:rPr>
              <w:t>Cheltuielile suportate din BASS în anul 2018, mil</w:t>
            </w:r>
            <w:r w:rsidR="00B94D89" w:rsidRPr="00653E85">
              <w:rPr>
                <w:rFonts w:asciiTheme="majorHAnsi" w:hAnsiTheme="majorHAnsi" w:cstheme="majorHAnsi"/>
                <w:bCs/>
                <w:sz w:val="24"/>
                <w:szCs w:val="24"/>
                <w:lang w:val="ro-MD"/>
              </w:rPr>
              <w:t>.</w:t>
            </w:r>
            <w:r w:rsidRPr="00653E85">
              <w:rPr>
                <w:rFonts w:asciiTheme="majorHAnsi" w:hAnsiTheme="majorHAnsi" w:cstheme="majorHAnsi"/>
                <w:bCs/>
                <w:sz w:val="24"/>
                <w:szCs w:val="24"/>
                <w:lang w:val="ro-MD"/>
              </w:rPr>
              <w:t xml:space="preserve"> lei</w:t>
            </w:r>
          </w:p>
        </w:tc>
        <w:tc>
          <w:tcPr>
            <w:tcW w:w="2268" w:type="dxa"/>
          </w:tcPr>
          <w:p w14:paraId="7A725B07" w14:textId="502EC22F"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13</w:t>
            </w:r>
            <w:r w:rsidR="00B94D89"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962,5</w:t>
            </w:r>
          </w:p>
        </w:tc>
      </w:tr>
      <w:tr w:rsidR="005E7DC9" w:rsidRPr="00B7675F" w14:paraId="3465C927" w14:textId="77777777" w:rsidTr="00E65C9C">
        <w:tc>
          <w:tcPr>
            <w:tcW w:w="846" w:type="dxa"/>
          </w:tcPr>
          <w:p w14:paraId="7AB0E3F5"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4.</w:t>
            </w:r>
          </w:p>
        </w:tc>
        <w:tc>
          <w:tcPr>
            <w:tcW w:w="6520" w:type="dxa"/>
          </w:tcPr>
          <w:p w14:paraId="6F2619C0" w14:textId="5122E8AA" w:rsidR="005E7DC9" w:rsidRPr="00653E85" w:rsidRDefault="005E7DC9" w:rsidP="00E65C9C">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bCs/>
                <w:sz w:val="24"/>
                <w:szCs w:val="24"/>
                <w:lang w:val="ro-MD"/>
              </w:rPr>
              <w:t>Cheltuielile suportate din BASS în anul 2022, mil</w:t>
            </w:r>
            <w:r w:rsidR="00B94D89" w:rsidRPr="00653E85">
              <w:rPr>
                <w:rFonts w:asciiTheme="majorHAnsi" w:hAnsiTheme="majorHAnsi" w:cstheme="majorHAnsi"/>
                <w:bCs/>
                <w:sz w:val="24"/>
                <w:szCs w:val="24"/>
                <w:lang w:val="ro-MD"/>
              </w:rPr>
              <w:t>.</w:t>
            </w:r>
            <w:r w:rsidRPr="00653E85">
              <w:rPr>
                <w:rFonts w:asciiTheme="majorHAnsi" w:hAnsiTheme="majorHAnsi" w:cstheme="majorHAnsi"/>
                <w:bCs/>
                <w:sz w:val="24"/>
                <w:szCs w:val="24"/>
                <w:lang w:val="ro-MD"/>
              </w:rPr>
              <w:t xml:space="preserve"> lei</w:t>
            </w:r>
          </w:p>
        </w:tc>
        <w:tc>
          <w:tcPr>
            <w:tcW w:w="2268" w:type="dxa"/>
          </w:tcPr>
          <w:p w14:paraId="23B6BC62" w14:textId="36C7EE73"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23</w:t>
            </w:r>
            <w:r w:rsidR="00B94D89"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559,4</w:t>
            </w:r>
          </w:p>
        </w:tc>
      </w:tr>
      <w:tr w:rsidR="005E7DC9" w:rsidRPr="00B7675F" w14:paraId="1FEE0E70" w14:textId="77777777" w:rsidTr="00E65C9C">
        <w:tc>
          <w:tcPr>
            <w:tcW w:w="846" w:type="dxa"/>
          </w:tcPr>
          <w:p w14:paraId="3FE2B6EF"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5.</w:t>
            </w:r>
          </w:p>
        </w:tc>
        <w:tc>
          <w:tcPr>
            <w:tcW w:w="6520" w:type="dxa"/>
          </w:tcPr>
          <w:p w14:paraId="7790B986" w14:textId="0B57D77E" w:rsidR="005E7DC9" w:rsidRPr="00653E85" w:rsidRDefault="005E7DC9" w:rsidP="00B20FA2">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Ritmul creșterii veniturilor în ultimii </w:t>
            </w:r>
            <w:r w:rsidR="00B20FA2" w:rsidRPr="00653E85">
              <w:rPr>
                <w:rFonts w:asciiTheme="majorHAnsi" w:hAnsiTheme="majorHAnsi" w:cstheme="majorHAnsi"/>
                <w:sz w:val="24"/>
                <w:szCs w:val="24"/>
                <w:lang w:val="ro-MD"/>
              </w:rPr>
              <w:t>5</w:t>
            </w:r>
            <w:r w:rsidRPr="00653E85">
              <w:rPr>
                <w:rFonts w:asciiTheme="majorHAnsi" w:hAnsiTheme="majorHAnsi" w:cstheme="majorHAnsi"/>
                <w:sz w:val="24"/>
                <w:szCs w:val="24"/>
                <w:lang w:val="ro-MD"/>
              </w:rPr>
              <w:t xml:space="preserve"> ani, 2022/2018, %</w:t>
            </w:r>
          </w:p>
        </w:tc>
        <w:tc>
          <w:tcPr>
            <w:tcW w:w="2268" w:type="dxa"/>
          </w:tcPr>
          <w:p w14:paraId="062A4D8F" w14:textId="77777777"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142,2</w:t>
            </w:r>
          </w:p>
        </w:tc>
      </w:tr>
      <w:tr w:rsidR="005E7DC9" w:rsidRPr="00B7675F" w14:paraId="15F321A6" w14:textId="77777777" w:rsidTr="00E65C9C">
        <w:tc>
          <w:tcPr>
            <w:tcW w:w="846" w:type="dxa"/>
          </w:tcPr>
          <w:p w14:paraId="0AACADF7"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6.</w:t>
            </w:r>
          </w:p>
        </w:tc>
        <w:tc>
          <w:tcPr>
            <w:tcW w:w="6520" w:type="dxa"/>
          </w:tcPr>
          <w:p w14:paraId="1D9A96F4" w14:textId="77777777" w:rsidR="005E7DC9" w:rsidRPr="00653E85" w:rsidRDefault="005E7DC9" w:rsidP="00E65C9C">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Ritmul creșterii cheltuielilor în ultimii 5 ani, 2022/2018, %</w:t>
            </w:r>
          </w:p>
        </w:tc>
        <w:tc>
          <w:tcPr>
            <w:tcW w:w="2268" w:type="dxa"/>
          </w:tcPr>
          <w:p w14:paraId="4E9DC749" w14:textId="77777777"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168,7</w:t>
            </w:r>
          </w:p>
        </w:tc>
      </w:tr>
      <w:tr w:rsidR="005E7DC9" w:rsidRPr="00B7675F" w14:paraId="11EABB53" w14:textId="77777777" w:rsidTr="00E65C9C">
        <w:tc>
          <w:tcPr>
            <w:tcW w:w="846" w:type="dxa"/>
          </w:tcPr>
          <w:p w14:paraId="2B5EA6E3" w14:textId="77777777" w:rsidR="005E7DC9" w:rsidRPr="00653E85" w:rsidRDefault="005E7DC9" w:rsidP="00B94D89">
            <w:pPr>
              <w:tabs>
                <w:tab w:val="left" w:pos="426"/>
                <w:tab w:val="left" w:pos="709"/>
                <w:tab w:val="left" w:pos="993"/>
              </w:tabs>
              <w:spacing w:line="276" w:lineRule="auto"/>
              <w:jc w:val="center"/>
              <w:rPr>
                <w:rFonts w:asciiTheme="majorHAnsi" w:hAnsiTheme="majorHAnsi" w:cstheme="majorHAnsi"/>
                <w:sz w:val="24"/>
                <w:szCs w:val="24"/>
                <w:lang w:val="ro-MD"/>
              </w:rPr>
            </w:pPr>
            <w:r w:rsidRPr="00653E85">
              <w:rPr>
                <w:rFonts w:asciiTheme="majorHAnsi" w:hAnsiTheme="majorHAnsi" w:cstheme="majorHAnsi"/>
                <w:sz w:val="24"/>
                <w:szCs w:val="24"/>
                <w:lang w:val="ro-MD"/>
              </w:rPr>
              <w:t>7.</w:t>
            </w:r>
          </w:p>
        </w:tc>
        <w:tc>
          <w:tcPr>
            <w:tcW w:w="6520" w:type="dxa"/>
          </w:tcPr>
          <w:p w14:paraId="6935142D" w14:textId="77777777" w:rsidR="005E7DC9" w:rsidRPr="00653E85" w:rsidRDefault="005E7DC9" w:rsidP="00E65C9C">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Depășirea ritmului cheltuielilor față de ritmul veniturilor, %</w:t>
            </w:r>
          </w:p>
        </w:tc>
        <w:tc>
          <w:tcPr>
            <w:tcW w:w="2268" w:type="dxa"/>
          </w:tcPr>
          <w:p w14:paraId="3453E7A7" w14:textId="77777777" w:rsidR="005E7DC9" w:rsidRPr="00653E85" w:rsidRDefault="005E7DC9" w:rsidP="00E65C9C">
            <w:pPr>
              <w:tabs>
                <w:tab w:val="left" w:pos="426"/>
                <w:tab w:val="left" w:pos="709"/>
                <w:tab w:val="left" w:pos="993"/>
              </w:tabs>
              <w:spacing w:line="276" w:lineRule="auto"/>
              <w:jc w:val="right"/>
              <w:rPr>
                <w:rFonts w:asciiTheme="majorHAnsi" w:hAnsiTheme="majorHAnsi" w:cstheme="majorHAnsi"/>
                <w:sz w:val="24"/>
                <w:szCs w:val="24"/>
                <w:lang w:val="ro-MD"/>
              </w:rPr>
            </w:pPr>
            <w:r w:rsidRPr="00653E85">
              <w:rPr>
                <w:rFonts w:asciiTheme="majorHAnsi" w:hAnsiTheme="majorHAnsi" w:cstheme="majorHAnsi"/>
                <w:sz w:val="24"/>
                <w:szCs w:val="24"/>
                <w:lang w:val="ro-MD"/>
              </w:rPr>
              <w:t>26,5</w:t>
            </w:r>
          </w:p>
        </w:tc>
      </w:tr>
    </w:tbl>
    <w:p w14:paraId="752127D4" w14:textId="38AA727A" w:rsidR="005E7DC9" w:rsidRPr="00653E85" w:rsidRDefault="005E7DC9" w:rsidP="005E7DC9">
      <w:pPr>
        <w:tabs>
          <w:tab w:val="left" w:pos="426"/>
          <w:tab w:val="left" w:pos="709"/>
          <w:tab w:val="left" w:pos="993"/>
        </w:tabs>
        <w:spacing w:line="276" w:lineRule="auto"/>
        <w:jc w:val="both"/>
        <w:rPr>
          <w:rFonts w:asciiTheme="majorHAnsi" w:hAnsiTheme="majorHAnsi" w:cstheme="majorHAnsi"/>
          <w:i/>
          <w:sz w:val="20"/>
          <w:szCs w:val="20"/>
          <w:highlight w:val="yellow"/>
          <w:lang w:val="ro-MD"/>
        </w:rPr>
      </w:pPr>
      <w:r w:rsidRPr="00653E85">
        <w:rPr>
          <w:rFonts w:asciiTheme="majorHAnsi" w:hAnsiTheme="majorHAnsi" w:cstheme="majorHAnsi"/>
          <w:i/>
          <w:sz w:val="20"/>
          <w:szCs w:val="20"/>
          <w:lang w:val="ro-MD"/>
        </w:rPr>
        <w:t>Sursa: Rapoartele privind executarea BASS în anii 2018-2022</w:t>
      </w:r>
      <w:r w:rsidR="00B20FA2" w:rsidRPr="00653E85">
        <w:rPr>
          <w:rFonts w:asciiTheme="majorHAnsi" w:hAnsiTheme="majorHAnsi" w:cstheme="majorHAnsi"/>
          <w:i/>
          <w:sz w:val="20"/>
          <w:szCs w:val="20"/>
          <w:lang w:val="ro-MD"/>
        </w:rPr>
        <w:t>.</w:t>
      </w:r>
    </w:p>
    <w:p w14:paraId="1401F790" w14:textId="4A80C6AD" w:rsidR="005E7DC9" w:rsidRPr="00653E85" w:rsidRDefault="005E7DC9" w:rsidP="005E7DC9">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Diferența semnificativă de creștere a cheltuielilor este cauzată de mai mulți factori</w:t>
      </w:r>
      <w:r w:rsidR="00B20FA2"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în special, </w:t>
      </w:r>
      <w:r w:rsidR="00B20FA2"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realizarea de către CNAS a proceselor și politicilor noi ce au menirea</w:t>
      </w:r>
      <w:r w:rsidR="00363530" w:rsidRPr="00653E85">
        <w:rPr>
          <w:rFonts w:asciiTheme="majorHAnsi" w:hAnsiTheme="majorHAnsi" w:cstheme="majorHAnsi"/>
          <w:sz w:val="24"/>
          <w:szCs w:val="24"/>
          <w:lang w:val="ro-MD"/>
        </w:rPr>
        <w:t xml:space="preserve"> de</w:t>
      </w:r>
      <w:r w:rsidRPr="00653E85">
        <w:rPr>
          <w:rFonts w:asciiTheme="majorHAnsi" w:hAnsiTheme="majorHAnsi" w:cstheme="majorHAnsi"/>
          <w:sz w:val="24"/>
          <w:szCs w:val="24"/>
          <w:lang w:val="ro-MD"/>
        </w:rPr>
        <w:t xml:space="preserve"> major</w:t>
      </w:r>
      <w:r w:rsidR="00363530" w:rsidRPr="00653E85">
        <w:rPr>
          <w:rFonts w:asciiTheme="majorHAnsi" w:hAnsiTheme="majorHAnsi" w:cstheme="majorHAnsi"/>
          <w:sz w:val="24"/>
          <w:szCs w:val="24"/>
          <w:lang w:val="ro-MD"/>
        </w:rPr>
        <w:t>are a</w:t>
      </w:r>
      <w:r w:rsidRPr="00653E85">
        <w:rPr>
          <w:rFonts w:asciiTheme="majorHAnsi" w:hAnsiTheme="majorHAnsi" w:cstheme="majorHAnsi"/>
          <w:sz w:val="24"/>
          <w:szCs w:val="24"/>
          <w:lang w:val="ro-MD"/>
        </w:rPr>
        <w:t xml:space="preserve"> prestațiilor și </w:t>
      </w:r>
      <w:r w:rsidR="00363530"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susținere</w:t>
      </w:r>
      <w:r w:rsidR="00363530"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a cetățenilor. Printre cele mai semnificative</w:t>
      </w:r>
      <w:r w:rsidR="00363530"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se enumeră: implementarea reformei sistemului de pensii publice din anul 2017, conform căreia, pe lângă normele de stabilire a vârstei de pensionare, stagiului de cotizare necesar, modului de indexare anuală a pensiei și alte norme speciale, s-a implementat mecanismul de valorizare a venitului asigurat, luat în calcul la stabilirea dreptului la pensie; reexaminarea pensiilor pentru limită de vârstă pe etape; acordarea pensiei anticipate pentru bărbați; egalarea pensiei minime pentru angajații din domeniul agriculturii prin majorare până la pensia minimă acordată persoanelor care au activat în celelalte domenii ale economiei naționale. În anul 2019 au fost majorate cu 10% pensiile </w:t>
      </w:r>
      <w:r w:rsidR="00363530" w:rsidRPr="00653E85">
        <w:rPr>
          <w:rFonts w:asciiTheme="majorHAnsi" w:hAnsiTheme="majorHAnsi" w:cstheme="majorHAnsi"/>
          <w:sz w:val="24"/>
          <w:szCs w:val="24"/>
          <w:lang w:val="ro-MD"/>
        </w:rPr>
        <w:t xml:space="preserve">al căror </w:t>
      </w:r>
      <w:r w:rsidRPr="00653E85">
        <w:rPr>
          <w:rFonts w:asciiTheme="majorHAnsi" w:hAnsiTheme="majorHAnsi" w:cstheme="majorHAnsi"/>
          <w:sz w:val="24"/>
          <w:szCs w:val="24"/>
          <w:lang w:val="ro-MD"/>
        </w:rPr>
        <w:t xml:space="preserve">cuantum nu a depășit minimul de existență. Din anul 2022 se acordă pensia anticipată pentru carieră lungă, se reexaminează pensiile de dizabilitate pentru anii lucrați după stabilirea pensiei, s-a acordat o majorare suplimentară la pensie (171,71 lei) prin mecanismul de transpunere a creșterii economice în pensii, în </w:t>
      </w:r>
      <w:r w:rsidR="00363530" w:rsidRPr="00653E85">
        <w:rPr>
          <w:rFonts w:asciiTheme="majorHAnsi" w:hAnsiTheme="majorHAnsi" w:cstheme="majorHAnsi"/>
          <w:sz w:val="24"/>
          <w:szCs w:val="24"/>
          <w:lang w:val="ro-MD"/>
        </w:rPr>
        <w:t xml:space="preserve">funcție </w:t>
      </w:r>
      <w:r w:rsidRPr="00653E85">
        <w:rPr>
          <w:rFonts w:asciiTheme="majorHAnsi" w:hAnsiTheme="majorHAnsi" w:cstheme="majorHAnsi"/>
          <w:sz w:val="24"/>
          <w:szCs w:val="24"/>
          <w:lang w:val="ro-MD"/>
        </w:rPr>
        <w:t>de creșterea PIB. Toate aceste măsuri au crescut cheltuielile asigurărilor sociale de stat.</w:t>
      </w:r>
    </w:p>
    <w:p w14:paraId="2A83196B" w14:textId="49DC9B05" w:rsidR="005E7DC9" w:rsidRPr="00653E85" w:rsidRDefault="005E7DC9" w:rsidP="005E7DC9">
      <w:pPr>
        <w:pStyle w:val="Default"/>
        <w:spacing w:line="276" w:lineRule="auto"/>
        <w:jc w:val="both"/>
        <w:rPr>
          <w:sz w:val="28"/>
          <w:szCs w:val="28"/>
          <w:lang w:val="ro-MD"/>
        </w:rPr>
      </w:pPr>
      <w:r w:rsidRPr="00653E85">
        <w:rPr>
          <w:rFonts w:asciiTheme="majorHAnsi" w:hAnsiTheme="majorHAnsi" w:cstheme="majorHAnsi"/>
          <w:lang w:val="ro-MD"/>
        </w:rPr>
        <w:t xml:space="preserve">Pe de altă parte, ritmul </w:t>
      </w:r>
      <w:r w:rsidR="00363530" w:rsidRPr="00653E85">
        <w:rPr>
          <w:rFonts w:asciiTheme="majorHAnsi" w:hAnsiTheme="majorHAnsi" w:cstheme="majorHAnsi"/>
          <w:lang w:val="ro-MD"/>
        </w:rPr>
        <w:t xml:space="preserve">de </w:t>
      </w:r>
      <w:r w:rsidRPr="00653E85">
        <w:rPr>
          <w:rFonts w:asciiTheme="majorHAnsi" w:hAnsiTheme="majorHAnsi" w:cstheme="majorHAnsi"/>
          <w:lang w:val="ro-MD"/>
        </w:rPr>
        <w:t>creșter</w:t>
      </w:r>
      <w:r w:rsidR="00363530" w:rsidRPr="00653E85">
        <w:rPr>
          <w:rFonts w:asciiTheme="majorHAnsi" w:hAnsiTheme="majorHAnsi" w:cstheme="majorHAnsi"/>
          <w:lang w:val="ro-MD"/>
        </w:rPr>
        <w:t>e a</w:t>
      </w:r>
      <w:r w:rsidRPr="00653E85">
        <w:rPr>
          <w:rFonts w:asciiTheme="majorHAnsi" w:hAnsiTheme="majorHAnsi" w:cstheme="majorHAnsi"/>
          <w:lang w:val="ro-MD"/>
        </w:rPr>
        <w:t xml:space="preserve"> veniturilor într-un cuantum mai mic decât cheltuielile este influențat de implementarea politicilor preferențiale și de susținere a diferitor sectoare economice ale RM. Astfel, au fost excluși din sistemul unic de calculare a contribuțiilor un șir de plătitori</w:t>
      </w:r>
      <w:r w:rsidR="00363530" w:rsidRPr="00653E85">
        <w:rPr>
          <w:rFonts w:asciiTheme="majorHAnsi" w:hAnsiTheme="majorHAnsi" w:cstheme="majorHAnsi"/>
          <w:lang w:val="ro-MD"/>
        </w:rPr>
        <w:t>, fiind</w:t>
      </w:r>
      <w:r w:rsidRPr="00653E85">
        <w:rPr>
          <w:rFonts w:asciiTheme="majorHAnsi" w:hAnsiTheme="majorHAnsi" w:cstheme="majorHAnsi"/>
          <w:lang w:val="ro-MD"/>
        </w:rPr>
        <w:t xml:space="preserve"> transferați la sisteme preferențiale, precum: unele categorii de angajați din domeniul agriculturii, angajații la rezidenții parcurilor pentru tehnologia informației, angajații din domeniul transportului rutier de persoane în regim de taxi, persoanele ca</w:t>
      </w:r>
      <w:r w:rsidR="004147B7" w:rsidRPr="00653E85">
        <w:rPr>
          <w:rFonts w:asciiTheme="majorHAnsi" w:hAnsiTheme="majorHAnsi" w:cstheme="majorHAnsi"/>
          <w:lang w:val="ro-MD"/>
        </w:rPr>
        <w:t>re exercită independent profesia</w:t>
      </w:r>
      <w:r w:rsidRPr="00653E85">
        <w:rPr>
          <w:rFonts w:asciiTheme="majorHAnsi" w:hAnsiTheme="majorHAnsi" w:cstheme="majorHAnsi"/>
          <w:lang w:val="ro-MD"/>
        </w:rPr>
        <w:t xml:space="preserve"> de medic în una dintre formele de organizare a activității profesionale prevăzute de Legea ocrotirii sănătății nr. 411/1995. Totodată, din octombrie 2018</w:t>
      </w:r>
      <w:r w:rsidR="00363530" w:rsidRPr="00653E85">
        <w:rPr>
          <w:rFonts w:asciiTheme="majorHAnsi" w:hAnsiTheme="majorHAnsi" w:cstheme="majorHAnsi"/>
          <w:lang w:val="ro-MD"/>
        </w:rPr>
        <w:t>,</w:t>
      </w:r>
      <w:r w:rsidRPr="00653E85">
        <w:rPr>
          <w:rFonts w:asciiTheme="majorHAnsi" w:hAnsiTheme="majorHAnsi" w:cstheme="majorHAnsi"/>
          <w:lang w:val="ro-MD"/>
        </w:rPr>
        <w:t xml:space="preserve"> pentru angajatorii din sectorul privat</w:t>
      </w:r>
      <w:r w:rsidR="00363530" w:rsidRPr="00653E85">
        <w:rPr>
          <w:rFonts w:asciiTheme="majorHAnsi" w:hAnsiTheme="majorHAnsi" w:cstheme="majorHAnsi"/>
          <w:lang w:val="ro-MD"/>
        </w:rPr>
        <w:t>,</w:t>
      </w:r>
      <w:r w:rsidRPr="00653E85">
        <w:rPr>
          <w:rFonts w:asciiTheme="majorHAnsi" w:hAnsiTheme="majorHAnsi" w:cstheme="majorHAnsi"/>
          <w:lang w:val="ro-MD"/>
        </w:rPr>
        <w:t xml:space="preserve"> tariful contribuției a fost diminuat cu 5 puncte procentuale (de la 29% la 24%).</w:t>
      </w:r>
    </w:p>
    <w:p w14:paraId="0272EA01" w14:textId="77777777" w:rsidR="005E7DC9" w:rsidRPr="00653E85" w:rsidRDefault="005E7DC9" w:rsidP="005E7DC9">
      <w:pPr>
        <w:pStyle w:val="Default"/>
        <w:spacing w:line="276" w:lineRule="auto"/>
        <w:jc w:val="both"/>
        <w:rPr>
          <w:rFonts w:asciiTheme="majorHAnsi" w:hAnsiTheme="majorHAnsi" w:cstheme="majorHAnsi"/>
          <w:lang w:val="ro-MD"/>
        </w:rPr>
      </w:pPr>
      <w:r w:rsidRPr="00653E85">
        <w:rPr>
          <w:rFonts w:asciiTheme="majorHAnsi" w:hAnsiTheme="majorHAnsi" w:cstheme="majorHAnsi"/>
          <w:lang w:val="ro-MD"/>
        </w:rPr>
        <w:t xml:space="preserve"> </w:t>
      </w:r>
    </w:p>
    <w:p w14:paraId="3B2E0945" w14:textId="77377244" w:rsidR="005E7DC9" w:rsidRPr="00653E85"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Prin urmare, se denotă că implementarea politicilor noi în domeniul prestațiilor de asigurări sociale, corelat</w:t>
      </w:r>
      <w:r w:rsidR="00254978" w:rsidRPr="00653E85">
        <w:rPr>
          <w:rFonts w:asciiTheme="majorHAnsi" w:hAnsiTheme="majorHAnsi" w:cstheme="majorHAnsi"/>
          <w:sz w:val="24"/>
          <w:szCs w:val="24"/>
          <w:lang w:val="ro-MD"/>
        </w:rPr>
        <w:t>ă</w:t>
      </w:r>
      <w:r w:rsidRPr="00653E85">
        <w:rPr>
          <w:rFonts w:asciiTheme="majorHAnsi" w:hAnsiTheme="majorHAnsi" w:cstheme="majorHAnsi"/>
          <w:sz w:val="24"/>
          <w:szCs w:val="24"/>
          <w:lang w:val="ro-MD"/>
        </w:rPr>
        <w:t xml:space="preserve"> cu utilizarea asigurărilor sociale ca instrument de susținere economică a anumitor sectoare, a cauzat menținerea insuficienței mijloacelor proprii a</w:t>
      </w:r>
      <w:r w:rsidR="00254978"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sistemului public de asigurări sociale și </w:t>
      </w:r>
      <w:r w:rsidR="004147B7" w:rsidRPr="00653E85">
        <w:rPr>
          <w:rFonts w:asciiTheme="majorHAnsi" w:hAnsiTheme="majorHAnsi" w:cstheme="majorHAnsi"/>
          <w:sz w:val="24"/>
          <w:szCs w:val="24"/>
          <w:lang w:val="ro-MD"/>
        </w:rPr>
        <w:t xml:space="preserve">creșterea </w:t>
      </w:r>
      <w:r w:rsidRPr="00653E85">
        <w:rPr>
          <w:rFonts w:asciiTheme="majorHAnsi" w:hAnsiTheme="majorHAnsi" w:cstheme="majorHAnsi"/>
          <w:sz w:val="24"/>
          <w:szCs w:val="24"/>
          <w:lang w:val="ro-MD"/>
        </w:rPr>
        <w:t>dependenței de transferuri</w:t>
      </w:r>
      <w:r w:rsidR="004147B7"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w:t>
      </w:r>
      <w:r w:rsidR="00B94D89" w:rsidRPr="00653E85">
        <w:rPr>
          <w:rFonts w:asciiTheme="majorHAnsi" w:hAnsiTheme="majorHAnsi" w:cstheme="majorHAnsi"/>
          <w:sz w:val="24"/>
          <w:szCs w:val="24"/>
          <w:lang w:val="ro-MD"/>
        </w:rPr>
        <w:t>bugetului</w:t>
      </w:r>
      <w:r w:rsidRPr="00653E85">
        <w:rPr>
          <w:rFonts w:asciiTheme="majorHAnsi" w:hAnsiTheme="majorHAnsi" w:cstheme="majorHAnsi"/>
          <w:sz w:val="24"/>
          <w:szCs w:val="24"/>
          <w:lang w:val="ro-MD"/>
        </w:rPr>
        <w:t xml:space="preserve"> de stat pentru acoperirea deficitului bugetului asigurărilor sociale de stat.</w:t>
      </w:r>
    </w:p>
    <w:p w14:paraId="1913DD70" w14:textId="0271D829" w:rsidR="00183D72" w:rsidRPr="00653E85" w:rsidRDefault="00183D72" w:rsidP="00757017">
      <w:pPr>
        <w:pStyle w:val="aa"/>
        <w:numPr>
          <w:ilvl w:val="1"/>
          <w:numId w:val="2"/>
        </w:numPr>
        <w:spacing w:after="0" w:line="276" w:lineRule="auto"/>
        <w:ind w:left="0" w:firstLine="0"/>
        <w:jc w:val="both"/>
        <w:outlineLvl w:val="1"/>
        <w:rPr>
          <w:rFonts w:asciiTheme="majorHAnsi" w:hAnsiTheme="majorHAnsi" w:cstheme="majorHAnsi"/>
          <w:b/>
          <w:sz w:val="24"/>
          <w:szCs w:val="24"/>
          <w:lang w:val="ro-MD"/>
        </w:rPr>
      </w:pPr>
      <w:r w:rsidRPr="00653E85">
        <w:rPr>
          <w:rFonts w:asciiTheme="majorHAnsi" w:hAnsiTheme="majorHAnsi" w:cstheme="majorHAnsi"/>
          <w:b/>
          <w:sz w:val="24"/>
          <w:szCs w:val="24"/>
          <w:lang w:val="ro-MD"/>
        </w:rPr>
        <w:t xml:space="preserve">Creșterea dependenței BASS față de bugetul de stat odată cu solicitarea transferurilor cu destinație generală pentru acoperirea deficitului, care s-a majorat de </w:t>
      </w:r>
      <w:r w:rsidR="00E65C9C" w:rsidRPr="00653E85">
        <w:rPr>
          <w:rFonts w:asciiTheme="majorHAnsi" w:hAnsiTheme="majorHAnsi" w:cstheme="majorHAnsi"/>
          <w:b/>
          <w:sz w:val="24"/>
          <w:szCs w:val="24"/>
          <w:lang w:val="ro-MD"/>
        </w:rPr>
        <w:t>patru</w:t>
      </w:r>
      <w:r w:rsidRPr="00653E85">
        <w:rPr>
          <w:rFonts w:asciiTheme="majorHAnsi" w:hAnsiTheme="majorHAnsi" w:cstheme="majorHAnsi"/>
          <w:b/>
          <w:sz w:val="24"/>
          <w:szCs w:val="24"/>
          <w:lang w:val="ro-MD"/>
        </w:rPr>
        <w:t xml:space="preserve"> ori în ultimii cinci ani, poate afecta sustenabilitatea acestui buget.</w:t>
      </w:r>
    </w:p>
    <w:p w14:paraId="2A22C085" w14:textId="1EA278EC" w:rsidR="00183D72" w:rsidRPr="00653E85" w:rsidRDefault="00183D72" w:rsidP="00183D7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O problemă majoră pentru BASS este dependența financiară continuă față de bugetul de stat, transferurile primite cu destinație generală fiind anual în creștere, comparativ cu anul precedent, iar în ultimii cinci ani </w:t>
      </w:r>
      <w:r w:rsidR="00254978" w:rsidRPr="00653E85">
        <w:rPr>
          <w:rFonts w:asciiTheme="majorHAnsi" w:hAnsiTheme="majorHAnsi" w:cstheme="majorHAnsi"/>
          <w:sz w:val="24"/>
          <w:szCs w:val="24"/>
          <w:lang w:val="ro-MD"/>
        </w:rPr>
        <w:t xml:space="preserve">acestea </w:t>
      </w:r>
      <w:r w:rsidRPr="00653E85">
        <w:rPr>
          <w:rFonts w:asciiTheme="majorHAnsi" w:hAnsiTheme="majorHAnsi" w:cstheme="majorHAnsi"/>
          <w:sz w:val="24"/>
          <w:szCs w:val="24"/>
          <w:lang w:val="ro-MD"/>
        </w:rPr>
        <w:t>au crescut de 4 ori.</w:t>
      </w:r>
    </w:p>
    <w:p w14:paraId="124075F3" w14:textId="77777777" w:rsidR="00183D72" w:rsidRPr="00653E85" w:rsidRDefault="00183D72" w:rsidP="00FB7074">
      <w:pPr>
        <w:spacing w:line="276" w:lineRule="auto"/>
        <w:jc w:val="center"/>
        <w:rPr>
          <w:rFonts w:asciiTheme="majorHAnsi" w:hAnsiTheme="majorHAnsi" w:cstheme="majorHAnsi"/>
          <w:sz w:val="24"/>
          <w:szCs w:val="24"/>
          <w:lang w:val="ro-MD"/>
        </w:rPr>
      </w:pPr>
      <w:r w:rsidRPr="00653E85">
        <w:rPr>
          <w:noProof/>
          <w:lang w:val="ru-RU" w:eastAsia="ru-RU"/>
        </w:rPr>
        <w:drawing>
          <wp:inline distT="0" distB="0" distL="0" distR="0" wp14:anchorId="1AFD3136" wp14:editId="7275A8D6">
            <wp:extent cx="5621216" cy="1682261"/>
            <wp:effectExtent l="0" t="0" r="17780" b="1333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F9B7A1" w14:textId="6B906BF3" w:rsidR="00183D72" w:rsidRPr="00653E85" w:rsidRDefault="00183D72" w:rsidP="00183D72">
      <w:pPr>
        <w:spacing w:line="276" w:lineRule="auto"/>
        <w:jc w:val="both"/>
        <w:rPr>
          <w:rFonts w:asciiTheme="majorHAnsi" w:hAnsiTheme="majorHAnsi" w:cstheme="majorHAnsi"/>
          <w:i/>
          <w:sz w:val="20"/>
          <w:szCs w:val="20"/>
          <w:lang w:val="ro-MD"/>
        </w:rPr>
      </w:pPr>
      <w:r w:rsidRPr="00653E85">
        <w:rPr>
          <w:rFonts w:asciiTheme="majorHAnsi" w:hAnsiTheme="majorHAnsi" w:cstheme="majorHAnsi"/>
          <w:b/>
          <w:sz w:val="20"/>
          <w:szCs w:val="20"/>
          <w:lang w:val="ro-MD"/>
        </w:rPr>
        <w:t>Figura nr.</w:t>
      </w:r>
      <w:r w:rsidR="000C781C" w:rsidRPr="00653E85">
        <w:rPr>
          <w:rFonts w:asciiTheme="majorHAnsi" w:hAnsiTheme="majorHAnsi" w:cstheme="majorHAnsi"/>
          <w:b/>
          <w:sz w:val="20"/>
          <w:szCs w:val="20"/>
          <w:lang w:val="ro-MD"/>
        </w:rPr>
        <w:t>1</w:t>
      </w:r>
      <w:r w:rsidRPr="00653E85">
        <w:rPr>
          <w:rFonts w:asciiTheme="majorHAnsi" w:hAnsiTheme="majorHAnsi" w:cstheme="majorHAnsi"/>
          <w:i/>
          <w:sz w:val="20"/>
          <w:szCs w:val="20"/>
          <w:lang w:val="ro-MD"/>
        </w:rPr>
        <w:t xml:space="preserve"> </w:t>
      </w:r>
      <w:r w:rsidRPr="00653E85">
        <w:rPr>
          <w:rFonts w:asciiTheme="majorHAnsi" w:hAnsiTheme="majorHAnsi" w:cstheme="majorHAnsi"/>
          <w:bCs/>
          <w:i/>
          <w:sz w:val="20"/>
          <w:szCs w:val="20"/>
          <w:lang w:val="ro-MD"/>
        </w:rPr>
        <w:t>Dinamica transferurilor de la bugetul de stat pentru acoperirea deficitului bugetului asigurărilor sociale de stat în anii 2017-2022</w:t>
      </w:r>
      <w:r w:rsidR="00254978" w:rsidRPr="00653E85">
        <w:rPr>
          <w:rFonts w:asciiTheme="majorHAnsi" w:hAnsiTheme="majorHAnsi" w:cstheme="majorHAnsi"/>
          <w:bCs/>
          <w:i/>
          <w:sz w:val="20"/>
          <w:szCs w:val="20"/>
          <w:lang w:val="ro-MD"/>
        </w:rPr>
        <w:t>.</w:t>
      </w:r>
    </w:p>
    <w:p w14:paraId="000678DA" w14:textId="4F1BDDA0" w:rsidR="00183D72" w:rsidRPr="00653E85" w:rsidRDefault="00183D72" w:rsidP="00183D72">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 anul 202</w:t>
      </w:r>
      <w:r w:rsidR="00EB56AE" w:rsidRPr="00653E85">
        <w:rPr>
          <w:rFonts w:asciiTheme="majorHAnsi" w:hAnsiTheme="majorHAnsi" w:cstheme="majorHAnsi"/>
          <w:sz w:val="24"/>
          <w:szCs w:val="24"/>
          <w:lang w:val="ro-MD"/>
        </w:rPr>
        <w:t>2</w:t>
      </w:r>
      <w:r w:rsidRPr="00653E85">
        <w:rPr>
          <w:rFonts w:asciiTheme="majorHAnsi" w:hAnsiTheme="majorHAnsi" w:cstheme="majorHAnsi"/>
          <w:sz w:val="24"/>
          <w:szCs w:val="24"/>
          <w:lang w:val="ro-MD"/>
        </w:rPr>
        <w:t xml:space="preserve">, transferurile cu destinație generală au însumat 4 434,1 mil. lei, ceea ce constituie o creștere cu 56,3% față de anul precedent (2 840,0 mil. lei).  </w:t>
      </w:r>
    </w:p>
    <w:p w14:paraId="1357031D" w14:textId="3057B7D9" w:rsidR="00183D72" w:rsidRPr="00653E85" w:rsidRDefault="00183D72" w:rsidP="00183D72">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Astfel, evoluția transferurilor</w:t>
      </w:r>
      <w:r w:rsidR="0025497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corelată cu obligațiile față de beneficiari</w:t>
      </w:r>
      <w:r w:rsidR="0025497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care urmează a fi realizate în exercițiile financiare viitoare</w:t>
      </w:r>
      <w:r w:rsidR="0025497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po</w:t>
      </w:r>
      <w:r w:rsidR="00254978" w:rsidRPr="00653E85">
        <w:rPr>
          <w:rFonts w:asciiTheme="majorHAnsi" w:hAnsiTheme="majorHAnsi" w:cstheme="majorHAnsi"/>
          <w:sz w:val="24"/>
          <w:szCs w:val="24"/>
          <w:lang w:val="ro-MD"/>
        </w:rPr>
        <w:t>a</w:t>
      </w:r>
      <w:r w:rsidRPr="00653E85">
        <w:rPr>
          <w:rFonts w:asciiTheme="majorHAnsi" w:hAnsiTheme="majorHAnsi" w:cstheme="majorHAnsi"/>
          <w:sz w:val="24"/>
          <w:szCs w:val="24"/>
          <w:lang w:val="ro-MD"/>
        </w:rPr>
        <w:t>t</w:t>
      </w:r>
      <w:r w:rsidR="00254978" w:rsidRPr="00653E85">
        <w:rPr>
          <w:rFonts w:asciiTheme="majorHAnsi" w:hAnsiTheme="majorHAnsi" w:cstheme="majorHAnsi"/>
          <w:sz w:val="24"/>
          <w:szCs w:val="24"/>
          <w:lang w:val="ro-MD"/>
        </w:rPr>
        <w:t>e</w:t>
      </w:r>
      <w:r w:rsidRPr="00653E85">
        <w:rPr>
          <w:rFonts w:asciiTheme="majorHAnsi" w:hAnsiTheme="majorHAnsi" w:cstheme="majorHAnsi"/>
          <w:sz w:val="24"/>
          <w:szCs w:val="24"/>
          <w:lang w:val="ro-MD"/>
        </w:rPr>
        <w:t xml:space="preserve"> afecta sustenabilitatea BASS. Aceasta poate condiționa perturbarea echilibrului bugetului asigurărilor sociale de stat, ceea ce va impune majorarea poverii bugetului asigurărilor sociale de stat a</w:t>
      </w:r>
      <w:r w:rsidR="004147B7" w:rsidRPr="00653E85">
        <w:rPr>
          <w:rFonts w:asciiTheme="majorHAnsi" w:hAnsiTheme="majorHAnsi" w:cstheme="majorHAnsi"/>
          <w:sz w:val="24"/>
          <w:szCs w:val="24"/>
          <w:lang w:val="ro-MD"/>
        </w:rPr>
        <w:t>supra</w:t>
      </w:r>
      <w:r w:rsidRPr="00653E85">
        <w:rPr>
          <w:rFonts w:asciiTheme="majorHAnsi" w:hAnsiTheme="majorHAnsi" w:cstheme="majorHAnsi"/>
          <w:sz w:val="24"/>
          <w:szCs w:val="24"/>
          <w:lang w:val="ro-MD"/>
        </w:rPr>
        <w:t xml:space="preserve"> bugetului de stat, odată cu solicitarea transferurilor cu destinație generală (resurse financiare pentru acoperirea deficitului)</w:t>
      </w:r>
      <w:r w:rsidR="0025497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și denotă motive de îngrijorare cu referire la evoluția veniturilor BASS față de cheltuielile ce urmează a fi suportate.</w:t>
      </w:r>
    </w:p>
    <w:p w14:paraId="0C1F20B1" w14:textId="76199275" w:rsidR="00183D72" w:rsidRPr="00653E85" w:rsidRDefault="00183D72" w:rsidP="00183D72">
      <w:pPr>
        <w:tabs>
          <w:tab w:val="left" w:pos="426"/>
          <w:tab w:val="left" w:pos="709"/>
          <w:tab w:val="left" w:pos="993"/>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Concomitent se menționează că, pentru acoperirea decalajului temporar de casă, în scopul onorării obligațiilor față de beneficiari și asigurării transferurilor în termen a </w:t>
      </w:r>
      <w:r w:rsidR="00B94D89" w:rsidRPr="00653E85">
        <w:rPr>
          <w:rFonts w:asciiTheme="majorHAnsi" w:hAnsiTheme="majorHAnsi" w:cstheme="majorHAnsi"/>
          <w:sz w:val="24"/>
          <w:szCs w:val="24"/>
          <w:lang w:val="ro-MD"/>
        </w:rPr>
        <w:t>prestațiilor</w:t>
      </w:r>
      <w:r w:rsidRPr="00653E85">
        <w:rPr>
          <w:rFonts w:asciiTheme="majorHAnsi" w:hAnsiTheme="majorHAnsi" w:cstheme="majorHAnsi"/>
          <w:sz w:val="24"/>
          <w:szCs w:val="24"/>
          <w:lang w:val="ro-MD"/>
        </w:rPr>
        <w:t xml:space="preserve"> sociale, în perioada noiembrie-decembrie 2022, CNAS a fost nevoită de a contracta 2 împrumuturi de la bugetul de stat, în sumă totală de 690,0 mil. lei, care au fost restituite în același an bugetar</w:t>
      </w:r>
      <w:r w:rsidRPr="00653E85">
        <w:rPr>
          <w:rStyle w:val="a5"/>
          <w:rFonts w:asciiTheme="majorHAnsi" w:hAnsiTheme="majorHAnsi" w:cstheme="majorHAnsi"/>
          <w:sz w:val="24"/>
          <w:szCs w:val="24"/>
          <w:lang w:val="ro-MD"/>
        </w:rPr>
        <w:footnoteReference w:id="21"/>
      </w:r>
      <w:r w:rsidRPr="00653E85">
        <w:rPr>
          <w:rFonts w:asciiTheme="majorHAnsi" w:hAnsiTheme="majorHAnsi" w:cstheme="majorHAnsi"/>
          <w:sz w:val="24"/>
          <w:szCs w:val="24"/>
          <w:lang w:val="ro-MD"/>
        </w:rPr>
        <w:t xml:space="preserve">. Analiza transferurilor primite de la bugetul de stat este prezentată în </w:t>
      </w:r>
      <w:r w:rsidR="00B07ED2" w:rsidRPr="00653E85">
        <w:rPr>
          <w:rFonts w:asciiTheme="majorHAnsi" w:hAnsiTheme="majorHAnsi" w:cstheme="majorHAnsi"/>
          <w:sz w:val="24"/>
          <w:szCs w:val="24"/>
          <w:lang w:val="ro-MD"/>
        </w:rPr>
        <w:t>Anexa nr. 15</w:t>
      </w:r>
      <w:r w:rsidRPr="00653E85">
        <w:rPr>
          <w:rFonts w:asciiTheme="majorHAnsi" w:hAnsiTheme="majorHAnsi" w:cstheme="majorHAnsi"/>
          <w:sz w:val="24"/>
          <w:szCs w:val="24"/>
          <w:lang w:val="ro-MD"/>
        </w:rPr>
        <w:t xml:space="preserve"> la prezentul Raport de audit.</w:t>
      </w:r>
    </w:p>
    <w:p w14:paraId="2135ED6E" w14:textId="5ACBB9FD" w:rsidR="00183D72" w:rsidRPr="00653E85" w:rsidRDefault="00183D72" w:rsidP="00183D72">
      <w:pPr>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Menționăm că</w:t>
      </w:r>
      <w:r w:rsidR="0025497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pe parcursul anului 2022, CNAS a semnalat Ministerul Finanțelor și </w:t>
      </w:r>
      <w:r w:rsidR="00254978" w:rsidRPr="00653E85">
        <w:rPr>
          <w:rFonts w:asciiTheme="majorHAnsi" w:hAnsiTheme="majorHAnsi" w:cstheme="majorHAnsi"/>
          <w:sz w:val="24"/>
          <w:szCs w:val="24"/>
          <w:lang w:val="ro-MD"/>
        </w:rPr>
        <w:t>și-</w:t>
      </w:r>
      <w:r w:rsidRPr="00653E85">
        <w:rPr>
          <w:rFonts w:asciiTheme="majorHAnsi" w:hAnsiTheme="majorHAnsi" w:cstheme="majorHAnsi"/>
          <w:sz w:val="24"/>
          <w:szCs w:val="24"/>
          <w:lang w:val="ro-MD"/>
        </w:rPr>
        <w:t xml:space="preserve">a expus îngrijorarea referitor la asigurarea sustenabilității bugetului asigurărilor sociale de stat și dezacordul </w:t>
      </w:r>
      <w:r w:rsidR="00254978" w:rsidRPr="00653E85">
        <w:rPr>
          <w:rFonts w:asciiTheme="majorHAnsi" w:hAnsiTheme="majorHAnsi" w:cstheme="majorHAnsi"/>
          <w:sz w:val="24"/>
          <w:szCs w:val="24"/>
          <w:lang w:val="ro-MD"/>
        </w:rPr>
        <w:t xml:space="preserve">privind </w:t>
      </w:r>
      <w:r w:rsidRPr="00653E85">
        <w:rPr>
          <w:rFonts w:asciiTheme="majorHAnsi" w:hAnsiTheme="majorHAnsi" w:cstheme="majorHAnsi"/>
          <w:sz w:val="24"/>
          <w:szCs w:val="24"/>
          <w:lang w:val="ro-MD"/>
        </w:rPr>
        <w:t>utiliz</w:t>
      </w:r>
      <w:r w:rsidR="00254978" w:rsidRPr="00653E85">
        <w:rPr>
          <w:rFonts w:asciiTheme="majorHAnsi" w:hAnsiTheme="majorHAnsi" w:cstheme="majorHAnsi"/>
          <w:sz w:val="24"/>
          <w:szCs w:val="24"/>
          <w:lang w:val="ro-MD"/>
        </w:rPr>
        <w:t>area</w:t>
      </w:r>
      <w:r w:rsidRPr="00653E85">
        <w:rPr>
          <w:rFonts w:asciiTheme="majorHAnsi" w:hAnsiTheme="majorHAnsi" w:cstheme="majorHAnsi"/>
          <w:sz w:val="24"/>
          <w:szCs w:val="24"/>
          <w:lang w:val="ro-MD"/>
        </w:rPr>
        <w:t xml:space="preserve"> asigurărilor sociale ca instrument de susținere economică a anumitor sectoare</w:t>
      </w:r>
      <w:r w:rsidRPr="00653E85">
        <w:rPr>
          <w:rStyle w:val="a5"/>
          <w:rFonts w:asciiTheme="majorHAnsi" w:hAnsiTheme="majorHAnsi" w:cstheme="majorHAnsi"/>
          <w:sz w:val="24"/>
          <w:szCs w:val="24"/>
          <w:lang w:val="ro-MD"/>
        </w:rPr>
        <w:footnoteReference w:id="22"/>
      </w:r>
      <w:r w:rsidRPr="00653E85">
        <w:rPr>
          <w:rFonts w:asciiTheme="majorHAnsi" w:hAnsiTheme="majorHAnsi" w:cstheme="majorHAnsi"/>
          <w:sz w:val="24"/>
          <w:szCs w:val="24"/>
          <w:lang w:val="ro-MD"/>
        </w:rPr>
        <w:t xml:space="preserve">. </w:t>
      </w:r>
    </w:p>
    <w:p w14:paraId="00FF6EEF" w14:textId="54AB1214" w:rsidR="00183D72" w:rsidRPr="00653E85" w:rsidRDefault="00183D72" w:rsidP="0068377C">
      <w:pPr>
        <w:spacing w:line="276" w:lineRule="auto"/>
        <w:jc w:val="both"/>
        <w:rPr>
          <w:rFonts w:asciiTheme="majorHAnsi" w:hAnsiTheme="majorHAnsi" w:cstheme="majorHAnsi"/>
          <w:sz w:val="24"/>
          <w:szCs w:val="24"/>
          <w:lang w:val="ro-MD"/>
        </w:rPr>
      </w:pPr>
      <w:r w:rsidRPr="00653E85">
        <w:rPr>
          <w:rFonts w:asciiTheme="majorHAnsi" w:hAnsiTheme="majorHAnsi" w:cstheme="majorHAnsi"/>
          <w:b/>
          <w:sz w:val="24"/>
          <w:szCs w:val="24"/>
          <w:lang w:val="ro-MD"/>
        </w:rPr>
        <w:t>Cu referire la transferurile cu destinație specială</w:t>
      </w:r>
      <w:r w:rsidRPr="00653E85">
        <w:rPr>
          <w:rFonts w:asciiTheme="majorHAnsi" w:hAnsiTheme="majorHAnsi" w:cstheme="majorHAnsi"/>
          <w:sz w:val="24"/>
          <w:szCs w:val="24"/>
          <w:lang w:val="ro-MD"/>
        </w:rPr>
        <w:t xml:space="preserve"> în sumă de 10 359,9 mil. lei, se denotă că acestea au fost utilizate preponderent la plata </w:t>
      </w:r>
      <w:r w:rsidR="00B94D89" w:rsidRPr="00653E85">
        <w:rPr>
          <w:rFonts w:asciiTheme="majorHAnsi" w:hAnsiTheme="majorHAnsi" w:cstheme="majorHAnsi"/>
          <w:sz w:val="24"/>
          <w:szCs w:val="24"/>
          <w:lang w:val="ro-MD"/>
        </w:rPr>
        <w:t>prestațiilor</w:t>
      </w:r>
      <w:r w:rsidRPr="00653E85">
        <w:rPr>
          <w:rFonts w:asciiTheme="majorHAnsi" w:hAnsiTheme="majorHAnsi" w:cstheme="majorHAnsi"/>
          <w:sz w:val="24"/>
          <w:szCs w:val="24"/>
          <w:lang w:val="ro-MD"/>
        </w:rPr>
        <w:t xml:space="preserve"> de </w:t>
      </w:r>
      <w:r w:rsidR="00B94D89" w:rsidRPr="00653E85">
        <w:rPr>
          <w:rFonts w:asciiTheme="majorHAnsi" w:hAnsiTheme="majorHAnsi" w:cstheme="majorHAnsi"/>
          <w:sz w:val="24"/>
          <w:szCs w:val="24"/>
          <w:lang w:val="ro-MD"/>
        </w:rPr>
        <w:t>asistență</w:t>
      </w:r>
      <w:r w:rsidRPr="00653E85">
        <w:rPr>
          <w:rFonts w:asciiTheme="majorHAnsi" w:hAnsiTheme="majorHAnsi" w:cstheme="majorHAnsi"/>
          <w:sz w:val="24"/>
          <w:szCs w:val="24"/>
          <w:lang w:val="ro-MD"/>
        </w:rPr>
        <w:t xml:space="preserve"> socială (99,2%, sau 10 285,0 mil. lei), care </w:t>
      </w:r>
      <w:r w:rsidR="00254978" w:rsidRPr="00653E85">
        <w:rPr>
          <w:rFonts w:asciiTheme="majorHAnsi" w:hAnsiTheme="majorHAnsi" w:cstheme="majorHAnsi"/>
          <w:sz w:val="24"/>
          <w:szCs w:val="24"/>
          <w:lang w:val="ro-MD"/>
        </w:rPr>
        <w:t xml:space="preserve">potrivit </w:t>
      </w:r>
      <w:r w:rsidR="00B94D89" w:rsidRPr="00653E85">
        <w:rPr>
          <w:rFonts w:asciiTheme="majorHAnsi" w:hAnsiTheme="majorHAnsi" w:cstheme="majorHAnsi"/>
          <w:sz w:val="24"/>
          <w:szCs w:val="24"/>
          <w:lang w:val="ro-MD"/>
        </w:rPr>
        <w:t>legislației</w:t>
      </w:r>
      <w:r w:rsidRPr="00653E85">
        <w:rPr>
          <w:rFonts w:asciiTheme="majorHAnsi" w:hAnsiTheme="majorHAnsi" w:cstheme="majorHAnsi"/>
          <w:sz w:val="24"/>
          <w:szCs w:val="24"/>
          <w:lang w:val="ro-MD"/>
        </w:rPr>
        <w:t xml:space="preserve"> sunt </w:t>
      </w:r>
      <w:r w:rsidR="00B94D89" w:rsidRPr="00653E85">
        <w:rPr>
          <w:rFonts w:asciiTheme="majorHAnsi" w:hAnsiTheme="majorHAnsi" w:cstheme="majorHAnsi"/>
          <w:sz w:val="24"/>
          <w:szCs w:val="24"/>
          <w:lang w:val="ro-MD"/>
        </w:rPr>
        <w:t>finanțate</w:t>
      </w:r>
      <w:r w:rsidRPr="00653E85">
        <w:rPr>
          <w:rFonts w:asciiTheme="majorHAnsi" w:hAnsiTheme="majorHAnsi" w:cstheme="majorHAnsi"/>
          <w:sz w:val="24"/>
          <w:szCs w:val="24"/>
          <w:lang w:val="ro-MD"/>
        </w:rPr>
        <w:t xml:space="preserve"> din bugetul de stat şi acordate unor categorii de </w:t>
      </w:r>
      <w:r w:rsidR="00B94D89" w:rsidRPr="00653E85">
        <w:rPr>
          <w:rFonts w:asciiTheme="majorHAnsi" w:hAnsiTheme="majorHAnsi" w:cstheme="majorHAnsi"/>
          <w:sz w:val="24"/>
          <w:szCs w:val="24"/>
          <w:lang w:val="ro-MD"/>
        </w:rPr>
        <w:t>populație</w:t>
      </w:r>
      <w:r w:rsidRPr="00653E85">
        <w:rPr>
          <w:rFonts w:asciiTheme="majorHAnsi" w:hAnsiTheme="majorHAnsi" w:cstheme="majorHAnsi"/>
          <w:sz w:val="24"/>
          <w:szCs w:val="24"/>
          <w:lang w:val="ro-MD"/>
        </w:rPr>
        <w:t xml:space="preserve"> prin intermediul Casei </w:t>
      </w:r>
      <w:r w:rsidR="00B94D89" w:rsidRPr="00653E85">
        <w:rPr>
          <w:rFonts w:asciiTheme="majorHAnsi" w:hAnsiTheme="majorHAnsi" w:cstheme="majorHAnsi"/>
          <w:sz w:val="24"/>
          <w:szCs w:val="24"/>
          <w:lang w:val="ro-MD"/>
        </w:rPr>
        <w:t>Naționale</w:t>
      </w:r>
      <w:r w:rsidRPr="00653E85">
        <w:rPr>
          <w:rFonts w:asciiTheme="majorHAnsi" w:hAnsiTheme="majorHAnsi" w:cstheme="majorHAnsi"/>
          <w:sz w:val="24"/>
          <w:szCs w:val="24"/>
          <w:lang w:val="ro-MD"/>
        </w:rPr>
        <w:t xml:space="preserve"> de Asigurări Sociale. Totodată, unele dintre ele au fost utilizate pentru compensarea </w:t>
      </w:r>
      <w:r w:rsidR="00B94D89" w:rsidRPr="00653E85">
        <w:rPr>
          <w:rFonts w:asciiTheme="majorHAnsi" w:hAnsiTheme="majorHAnsi" w:cstheme="majorHAnsi"/>
          <w:sz w:val="24"/>
          <w:szCs w:val="24"/>
          <w:lang w:val="ro-MD"/>
        </w:rPr>
        <w:t>diferenței</w:t>
      </w:r>
      <w:r w:rsidRPr="00653E85">
        <w:rPr>
          <w:rFonts w:asciiTheme="majorHAnsi" w:hAnsiTheme="majorHAnsi" w:cstheme="majorHAnsi"/>
          <w:sz w:val="24"/>
          <w:szCs w:val="24"/>
          <w:lang w:val="ro-MD"/>
        </w:rPr>
        <w:t xml:space="preserve"> de tarife de asigurări sociale de stat obligatorii în sectorul agrar (73,7 mil. lei) și pentru compensarea veniturilor ratate ale bugetului asigurărilor sociale de stat, în legătură cu scutirea </w:t>
      </w:r>
      <w:r w:rsidR="00B94D89" w:rsidRPr="00653E85">
        <w:rPr>
          <w:rFonts w:asciiTheme="majorHAnsi" w:hAnsiTheme="majorHAnsi" w:cstheme="majorHAnsi"/>
          <w:sz w:val="24"/>
          <w:szCs w:val="24"/>
          <w:lang w:val="ro-MD"/>
        </w:rPr>
        <w:t>deținătorilor</w:t>
      </w:r>
      <w:r w:rsidRPr="00653E85">
        <w:rPr>
          <w:rFonts w:asciiTheme="majorHAnsi" w:hAnsiTheme="majorHAnsi" w:cstheme="majorHAnsi"/>
          <w:sz w:val="24"/>
          <w:szCs w:val="24"/>
          <w:lang w:val="ro-MD"/>
        </w:rPr>
        <w:t xml:space="preserve"> de terenuri agricole situate după traseul </w:t>
      </w:r>
      <w:r w:rsidR="00B94D89" w:rsidRPr="00653E85">
        <w:rPr>
          <w:rFonts w:asciiTheme="majorHAnsi" w:hAnsiTheme="majorHAnsi" w:cstheme="majorHAnsi"/>
          <w:sz w:val="24"/>
          <w:szCs w:val="24"/>
          <w:lang w:val="ro-MD"/>
        </w:rPr>
        <w:t>Râbnița</w:t>
      </w:r>
      <w:r w:rsidRPr="00653E85">
        <w:rPr>
          <w:rFonts w:asciiTheme="majorHAnsi" w:hAnsiTheme="majorHAnsi" w:cstheme="majorHAnsi"/>
          <w:sz w:val="24"/>
          <w:szCs w:val="24"/>
          <w:lang w:val="ro-MD"/>
        </w:rPr>
        <w:t xml:space="preserve"> - Tiraspol de plata </w:t>
      </w:r>
      <w:r w:rsidR="00B94D89" w:rsidRPr="00653E85">
        <w:rPr>
          <w:rFonts w:asciiTheme="majorHAnsi" w:hAnsiTheme="majorHAnsi" w:cstheme="majorHAnsi"/>
          <w:sz w:val="24"/>
          <w:szCs w:val="24"/>
          <w:lang w:val="ro-MD"/>
        </w:rPr>
        <w:t>contribuțiilor</w:t>
      </w:r>
      <w:r w:rsidRPr="00653E85">
        <w:rPr>
          <w:rFonts w:asciiTheme="majorHAnsi" w:hAnsiTheme="majorHAnsi" w:cstheme="majorHAnsi"/>
          <w:sz w:val="24"/>
          <w:szCs w:val="24"/>
          <w:lang w:val="ro-MD"/>
        </w:rPr>
        <w:t xml:space="preserve"> de asigurări sociale de stat obligatorii (1,2 mil. lei).</w:t>
      </w:r>
    </w:p>
    <w:p w14:paraId="6F473923" w14:textId="5E1C7CAB" w:rsidR="00883E08" w:rsidRPr="00653E85" w:rsidRDefault="00883E08" w:rsidP="0068377C">
      <w:pPr>
        <w:pStyle w:val="aa"/>
        <w:numPr>
          <w:ilvl w:val="1"/>
          <w:numId w:val="2"/>
        </w:numPr>
        <w:ind w:left="0" w:firstLine="0"/>
        <w:jc w:val="both"/>
        <w:outlineLvl w:val="1"/>
        <w:rPr>
          <w:rFonts w:asciiTheme="majorHAnsi" w:hAnsiTheme="majorHAnsi" w:cstheme="majorHAnsi"/>
          <w:b/>
          <w:sz w:val="24"/>
          <w:szCs w:val="24"/>
          <w:lang w:val="ro-MD"/>
        </w:rPr>
      </w:pPr>
      <w:r w:rsidRPr="00653E85">
        <w:rPr>
          <w:rFonts w:asciiTheme="majorHAnsi" w:hAnsiTheme="majorHAnsi" w:cstheme="majorHAnsi"/>
          <w:b/>
          <w:sz w:val="24"/>
          <w:szCs w:val="24"/>
          <w:lang w:val="ro-MD"/>
        </w:rPr>
        <w:t>Micșorarea cotei contribuțiilor</w:t>
      </w:r>
      <w:r w:rsidR="004C1F58" w:rsidRPr="00653E85">
        <w:rPr>
          <w:rFonts w:asciiTheme="majorHAnsi" w:hAnsiTheme="majorHAnsi" w:cstheme="majorHAnsi"/>
          <w:b/>
          <w:sz w:val="24"/>
          <w:szCs w:val="24"/>
          <w:lang w:val="ro-MD"/>
        </w:rPr>
        <w:t xml:space="preserve"> pentru sectorul privat,</w:t>
      </w:r>
      <w:r w:rsidRPr="00653E85">
        <w:rPr>
          <w:rFonts w:asciiTheme="majorHAnsi" w:hAnsiTheme="majorHAnsi" w:cstheme="majorHAnsi"/>
          <w:b/>
          <w:sz w:val="24"/>
          <w:szCs w:val="24"/>
          <w:lang w:val="ro-MD"/>
        </w:rPr>
        <w:t xml:space="preserve"> de la 29% la 24%</w:t>
      </w:r>
      <w:r w:rsidR="004C1F58" w:rsidRPr="00653E85">
        <w:rPr>
          <w:rFonts w:asciiTheme="majorHAnsi" w:hAnsiTheme="majorHAnsi" w:cstheme="majorHAnsi"/>
          <w:b/>
          <w:sz w:val="24"/>
          <w:szCs w:val="24"/>
          <w:lang w:val="ro-MD"/>
        </w:rPr>
        <w:t>,</w:t>
      </w:r>
      <w:r w:rsidRPr="00653E85">
        <w:rPr>
          <w:rFonts w:asciiTheme="majorHAnsi" w:hAnsiTheme="majorHAnsi" w:cstheme="majorHAnsi"/>
          <w:b/>
          <w:sz w:val="24"/>
          <w:szCs w:val="24"/>
          <w:lang w:val="ro-MD"/>
        </w:rPr>
        <w:t xml:space="preserve"> nu a avut impactul așteptat, </w:t>
      </w:r>
      <w:r w:rsidR="004C1F58" w:rsidRPr="00653E85">
        <w:rPr>
          <w:rFonts w:asciiTheme="majorHAnsi" w:hAnsiTheme="majorHAnsi" w:cstheme="majorHAnsi"/>
          <w:b/>
          <w:sz w:val="24"/>
          <w:szCs w:val="24"/>
          <w:lang w:val="ro-MD"/>
        </w:rPr>
        <w:t xml:space="preserve">și anume </w:t>
      </w:r>
      <w:r w:rsidRPr="00653E85">
        <w:rPr>
          <w:rFonts w:asciiTheme="majorHAnsi" w:hAnsiTheme="majorHAnsi" w:cstheme="majorHAnsi"/>
          <w:b/>
          <w:sz w:val="24"/>
          <w:szCs w:val="24"/>
          <w:lang w:val="ro-MD"/>
        </w:rPr>
        <w:t xml:space="preserve">de lărgire a bazei de calcul și </w:t>
      </w:r>
      <w:r w:rsidR="004C1F58" w:rsidRPr="00653E85">
        <w:rPr>
          <w:rFonts w:asciiTheme="majorHAnsi" w:hAnsiTheme="majorHAnsi" w:cstheme="majorHAnsi"/>
          <w:b/>
          <w:sz w:val="24"/>
          <w:szCs w:val="24"/>
          <w:lang w:val="ro-MD"/>
        </w:rPr>
        <w:t xml:space="preserve">de </w:t>
      </w:r>
      <w:r w:rsidRPr="00653E85">
        <w:rPr>
          <w:rFonts w:asciiTheme="majorHAnsi" w:hAnsiTheme="majorHAnsi" w:cstheme="majorHAnsi"/>
          <w:b/>
          <w:sz w:val="24"/>
          <w:szCs w:val="24"/>
          <w:lang w:val="ro-MD"/>
        </w:rPr>
        <w:t>scoatere</w:t>
      </w:r>
      <w:r w:rsidR="004C1F58" w:rsidRPr="00653E85">
        <w:rPr>
          <w:rFonts w:asciiTheme="majorHAnsi" w:hAnsiTheme="majorHAnsi" w:cstheme="majorHAnsi"/>
          <w:b/>
          <w:sz w:val="24"/>
          <w:szCs w:val="24"/>
          <w:lang w:val="ro-MD"/>
        </w:rPr>
        <w:t xml:space="preserve"> </w:t>
      </w:r>
      <w:r w:rsidRPr="00653E85">
        <w:rPr>
          <w:rFonts w:asciiTheme="majorHAnsi" w:hAnsiTheme="majorHAnsi" w:cstheme="majorHAnsi"/>
          <w:b/>
          <w:sz w:val="24"/>
          <w:szCs w:val="24"/>
          <w:lang w:val="ro-MD"/>
        </w:rPr>
        <w:t>a fondului de remunerare a muncii din tenebritate</w:t>
      </w:r>
      <w:r w:rsidR="004C1F58" w:rsidRPr="00653E85">
        <w:rPr>
          <w:rFonts w:asciiTheme="majorHAnsi" w:hAnsiTheme="majorHAnsi" w:cstheme="majorHAnsi"/>
          <w:b/>
          <w:sz w:val="24"/>
          <w:szCs w:val="24"/>
          <w:lang w:val="ro-MD"/>
        </w:rPr>
        <w:t>.</w:t>
      </w:r>
    </w:p>
    <w:p w14:paraId="1A67DBDE" w14:textId="35D2B1DD" w:rsidR="00883E08" w:rsidRPr="00653E85" w:rsidRDefault="00883E08" w:rsidP="00883E08">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Pe parcursul dezvoltării sistemului public de asigurări sociale în Republica Moldova</w:t>
      </w:r>
      <w:r w:rsidR="004C1F5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tariful contribuției aplicat la fondul de remunerare a muncii a variat de la cota de 46% în anul 1992 până la cota de 29%, stabilită în anul 2005 și păstrată până în anul 2018. Din anul 2018</w:t>
      </w:r>
      <w:r w:rsidR="004C1F5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pentru angajatorii din sectorul privat tariful contribuției a fost diminuat cu 5 puncte procentuale </w:t>
      </w:r>
      <w:r w:rsidRPr="00B7675F">
        <w:rPr>
          <w:rFonts w:asciiTheme="majorHAnsi" w:hAnsiTheme="majorHAnsi" w:cstheme="majorHAnsi"/>
          <w:sz w:val="24"/>
          <w:szCs w:val="24"/>
          <w:lang w:val="ro-MD"/>
        </w:rPr>
        <w:t>ș</w:t>
      </w:r>
      <w:r w:rsidRPr="0038225D">
        <w:rPr>
          <w:rFonts w:asciiTheme="majorHAnsi" w:hAnsiTheme="majorHAnsi" w:cstheme="majorHAnsi"/>
          <w:sz w:val="24"/>
          <w:szCs w:val="24"/>
          <w:lang w:val="ro-MD"/>
        </w:rPr>
        <w:t xml:space="preserve">i </w:t>
      </w:r>
      <w:r w:rsidRPr="00653E85">
        <w:rPr>
          <w:rFonts w:asciiTheme="majorHAnsi" w:hAnsiTheme="majorHAnsi" w:cstheme="majorHAnsi"/>
          <w:sz w:val="24"/>
          <w:szCs w:val="24"/>
          <w:lang w:val="ro-MD"/>
        </w:rPr>
        <w:t xml:space="preserve">constituie 24%. Astfel, potrivit pct.1.1 al </w:t>
      </w:r>
      <w:r w:rsidR="004C1F58" w:rsidRPr="00653E85">
        <w:rPr>
          <w:rFonts w:asciiTheme="majorHAnsi" w:hAnsiTheme="majorHAnsi" w:cstheme="majorHAnsi"/>
          <w:sz w:val="24"/>
          <w:szCs w:val="24"/>
          <w:lang w:val="ro-MD"/>
        </w:rPr>
        <w:t>A</w:t>
      </w:r>
      <w:r w:rsidRPr="00653E85">
        <w:rPr>
          <w:rFonts w:asciiTheme="majorHAnsi" w:hAnsiTheme="majorHAnsi" w:cstheme="majorHAnsi"/>
          <w:sz w:val="24"/>
          <w:szCs w:val="24"/>
          <w:lang w:val="ro-MD"/>
        </w:rPr>
        <w:t xml:space="preserve">nexei nr.1 </w:t>
      </w:r>
      <w:r w:rsidR="004C1F58" w:rsidRPr="00653E85">
        <w:rPr>
          <w:rFonts w:asciiTheme="majorHAnsi" w:hAnsiTheme="majorHAnsi" w:cstheme="majorHAnsi"/>
          <w:sz w:val="24"/>
          <w:szCs w:val="24"/>
          <w:lang w:val="ro-MD"/>
        </w:rPr>
        <w:t>la</w:t>
      </w:r>
      <w:r w:rsidRPr="00653E85">
        <w:rPr>
          <w:rFonts w:asciiTheme="majorHAnsi" w:hAnsiTheme="majorHAnsi" w:cstheme="majorHAnsi"/>
          <w:sz w:val="24"/>
          <w:szCs w:val="24"/>
          <w:lang w:val="ro-MD"/>
        </w:rPr>
        <w:t xml:space="preserve"> Legea </w:t>
      </w:r>
      <w:r w:rsidR="004C1F58" w:rsidRPr="00653E85">
        <w:rPr>
          <w:rFonts w:asciiTheme="majorHAnsi" w:hAnsiTheme="majorHAnsi" w:cstheme="majorHAnsi"/>
          <w:sz w:val="24"/>
          <w:szCs w:val="24"/>
          <w:lang w:val="ro-MD"/>
        </w:rPr>
        <w:t>nr.</w:t>
      </w:r>
      <w:r w:rsidRPr="00653E85">
        <w:rPr>
          <w:rFonts w:asciiTheme="majorHAnsi" w:hAnsiTheme="majorHAnsi" w:cstheme="majorHAnsi"/>
          <w:sz w:val="24"/>
          <w:szCs w:val="24"/>
          <w:lang w:val="ro-MD"/>
        </w:rPr>
        <w:t>489/1999, angajatorul, persoana juridică sau fizică asimilată angajatorului</w:t>
      </w:r>
      <w:r w:rsidR="004C1F5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achită contribuții de asigurare socială de: - 29% de la suma salariilor și recompenselor calculate lunar pentru toți angajați</w:t>
      </w:r>
      <w:r w:rsidR="004C1F58" w:rsidRPr="00653E85">
        <w:rPr>
          <w:rFonts w:asciiTheme="majorHAnsi" w:hAnsiTheme="majorHAnsi" w:cstheme="majorHAnsi"/>
          <w:sz w:val="24"/>
          <w:szCs w:val="24"/>
          <w:lang w:val="ro-MD"/>
        </w:rPr>
        <w:t>i</w:t>
      </w:r>
      <w:r w:rsidR="00A57E43"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pentru angajatorii autorităților/instituțiilor bugetare și autorităților/instituțiilor publice la autogestiune, cu excepția instituțiilor de învățământ superior și a instituțiilor medico-sanitare; - 24% la suma salariilor și recompenselor calculate lunar pentru toți angajații, pentru angajatorii sectorului privat, instituțiilor de învățământ superior și ai instituțiilor medico-sanitare.</w:t>
      </w:r>
    </w:p>
    <w:p w14:paraId="1D6A99B5" w14:textId="77777777" w:rsidR="00883E08" w:rsidRPr="00653E85" w:rsidRDefault="00883E08" w:rsidP="00883E08">
      <w:pPr>
        <w:spacing w:line="276" w:lineRule="auto"/>
        <w:jc w:val="both"/>
        <w:rPr>
          <w:rFonts w:asciiTheme="majorHAnsi" w:hAnsiTheme="majorHAnsi" w:cstheme="majorHAnsi"/>
          <w:i/>
          <w:sz w:val="24"/>
          <w:szCs w:val="24"/>
          <w:lang w:val="ro-MD"/>
        </w:rPr>
      </w:pPr>
      <w:r w:rsidRPr="00653E85">
        <w:rPr>
          <w:rFonts w:asciiTheme="majorHAnsi" w:hAnsiTheme="majorHAnsi" w:cstheme="majorHAnsi"/>
          <w:sz w:val="24"/>
          <w:szCs w:val="24"/>
          <w:lang w:val="ro-MD"/>
        </w:rPr>
        <w:t>Potrivit MMPS</w:t>
      </w:r>
      <w:r w:rsidRPr="00653E85">
        <w:rPr>
          <w:rStyle w:val="a5"/>
          <w:rFonts w:asciiTheme="majorHAnsi" w:hAnsiTheme="majorHAnsi" w:cstheme="majorHAnsi"/>
          <w:sz w:val="24"/>
          <w:szCs w:val="24"/>
          <w:lang w:val="ro-MD"/>
        </w:rPr>
        <w:footnoteReference w:id="23"/>
      </w:r>
      <w:r w:rsidRPr="00653E85">
        <w:rPr>
          <w:rFonts w:asciiTheme="majorHAnsi" w:hAnsiTheme="majorHAnsi" w:cstheme="majorHAnsi"/>
          <w:sz w:val="24"/>
          <w:szCs w:val="24"/>
          <w:lang w:val="ro-MD"/>
        </w:rPr>
        <w:t xml:space="preserve">, </w:t>
      </w:r>
      <w:r w:rsidRPr="00653E85">
        <w:rPr>
          <w:rFonts w:asciiTheme="majorHAnsi" w:hAnsiTheme="majorHAnsi" w:cstheme="majorHAnsi"/>
          <w:i/>
          <w:sz w:val="24"/>
          <w:szCs w:val="24"/>
          <w:lang w:val="ro-MD"/>
        </w:rPr>
        <w:t>„d</w:t>
      </w:r>
      <w:r w:rsidRPr="00653E85">
        <w:rPr>
          <w:rFonts w:asciiTheme="majorHAnsi" w:hAnsiTheme="majorHAnsi" w:cstheme="majorHAnsi"/>
          <w:i/>
          <w:color w:val="000000"/>
          <w:sz w:val="24"/>
          <w:szCs w:val="24"/>
          <w:lang w:val="ro-MD"/>
        </w:rPr>
        <w:t xml:space="preserve">iminuarea tarifului contribuției pe parcursul timpului a fost justificată prin creșterea anuală a numărului de persoane asigurate, participante la sistemul public de asigurări sociale și creșterea fondului de remunerare a muncii. Scopul urmărit, prin intenția de a micșora partea contribuției datorată de angajator în scopul lărgirii bazei de calcul, a fost de a scoate fondul de remunerare a muncii din tenebritate.” </w:t>
      </w:r>
    </w:p>
    <w:p w14:paraId="1D97883A" w14:textId="2854E508" w:rsidR="00883E08" w:rsidRPr="00653E85" w:rsidRDefault="00883E08" w:rsidP="00883E08">
      <w:pPr>
        <w:pStyle w:val="Default"/>
        <w:spacing w:line="276" w:lineRule="auto"/>
        <w:jc w:val="both"/>
        <w:rPr>
          <w:rFonts w:asciiTheme="majorHAnsi" w:hAnsiTheme="majorHAnsi" w:cstheme="majorHAnsi"/>
          <w:color w:val="auto"/>
          <w:lang w:val="ro-MD"/>
        </w:rPr>
      </w:pPr>
      <w:r w:rsidRPr="00653E85">
        <w:rPr>
          <w:rFonts w:asciiTheme="majorHAnsi" w:hAnsiTheme="majorHAnsi" w:cstheme="majorHAnsi"/>
          <w:color w:val="auto"/>
          <w:lang w:val="ro-MD"/>
        </w:rPr>
        <w:t>Auditul menționează că, deși diminuarea cotei de contribuții s-a realizat în scopul susținerii sectorului privat, de a prezenta și</w:t>
      </w:r>
      <w:r w:rsidR="00A57E43" w:rsidRPr="00653E85">
        <w:rPr>
          <w:rFonts w:asciiTheme="majorHAnsi" w:hAnsiTheme="majorHAnsi" w:cstheme="majorHAnsi"/>
          <w:color w:val="auto"/>
          <w:lang w:val="ro-MD"/>
        </w:rPr>
        <w:t xml:space="preserve"> a</w:t>
      </w:r>
      <w:r w:rsidRPr="00653E85">
        <w:rPr>
          <w:rFonts w:asciiTheme="majorHAnsi" w:hAnsiTheme="majorHAnsi" w:cstheme="majorHAnsi"/>
          <w:color w:val="auto"/>
          <w:lang w:val="ro-MD"/>
        </w:rPr>
        <w:t xml:space="preserve"> vira </w:t>
      </w:r>
      <w:r w:rsidR="00B94D89" w:rsidRPr="00653E85">
        <w:rPr>
          <w:rFonts w:asciiTheme="majorHAnsi" w:hAnsiTheme="majorHAnsi" w:cstheme="majorHAnsi"/>
          <w:color w:val="auto"/>
          <w:lang w:val="ro-MD"/>
        </w:rPr>
        <w:t>contribuții</w:t>
      </w:r>
      <w:r w:rsidRPr="00653E85">
        <w:rPr>
          <w:rFonts w:asciiTheme="majorHAnsi" w:hAnsiTheme="majorHAnsi" w:cstheme="majorHAnsi"/>
          <w:color w:val="auto"/>
          <w:lang w:val="ro-MD"/>
        </w:rPr>
        <w:t xml:space="preserve"> de asigurări sociale de stat obligatorii la bugetul asigurărilor sociale de stat, aferente salariilor calculate şi altor recompense, autoritățile publice nu dețin date privind impactul prevederii/facilității acordate. Concomitent precizăm că</w:t>
      </w:r>
      <w:r w:rsidR="00A57E43" w:rsidRPr="00653E85">
        <w:rPr>
          <w:rFonts w:asciiTheme="majorHAnsi" w:hAnsiTheme="majorHAnsi" w:cstheme="majorHAnsi"/>
          <w:color w:val="auto"/>
          <w:lang w:val="ro-MD"/>
        </w:rPr>
        <w:t>,</w:t>
      </w:r>
      <w:r w:rsidRPr="00653E85">
        <w:rPr>
          <w:rFonts w:asciiTheme="majorHAnsi" w:hAnsiTheme="majorHAnsi" w:cstheme="majorHAnsi"/>
          <w:color w:val="auto"/>
          <w:lang w:val="ro-MD"/>
        </w:rPr>
        <w:t xml:space="preserve"> potrivit </w:t>
      </w:r>
      <w:r w:rsidR="00933CC8" w:rsidRPr="00653E85">
        <w:rPr>
          <w:rFonts w:asciiTheme="majorHAnsi" w:hAnsiTheme="majorHAnsi" w:cstheme="majorHAnsi"/>
          <w:color w:val="auto"/>
          <w:lang w:val="ro-MD"/>
        </w:rPr>
        <w:t>cadrului legistativ</w:t>
      </w:r>
      <w:r w:rsidRPr="00653E85">
        <w:rPr>
          <w:vertAlign w:val="superscript"/>
          <w:lang w:val="ro-MD"/>
        </w:rPr>
        <w:footnoteReference w:id="24"/>
      </w:r>
      <w:r w:rsidRPr="00653E85">
        <w:rPr>
          <w:rFonts w:asciiTheme="majorHAnsi" w:hAnsiTheme="majorHAnsi" w:cstheme="majorHAnsi"/>
          <w:color w:val="auto"/>
          <w:lang w:val="ro-MD"/>
        </w:rPr>
        <w:t>, ajutorul de stat este o măsură de sprijin care poate fi acordat, inclusiv prin scutiri și/sau reduceri la plata impozitelor, a taxelor și a altor plăți obligatorii. De asemenea, ace</w:t>
      </w:r>
      <w:r w:rsidR="00A57E43" w:rsidRPr="00653E85">
        <w:rPr>
          <w:rFonts w:asciiTheme="majorHAnsi" w:hAnsiTheme="majorHAnsi" w:cstheme="majorHAnsi"/>
          <w:color w:val="auto"/>
          <w:lang w:val="ro-MD"/>
        </w:rPr>
        <w:t>e</w:t>
      </w:r>
      <w:r w:rsidRPr="00653E85">
        <w:rPr>
          <w:rFonts w:asciiTheme="majorHAnsi" w:hAnsiTheme="majorHAnsi" w:cstheme="majorHAnsi"/>
          <w:color w:val="auto"/>
          <w:lang w:val="ro-MD"/>
        </w:rPr>
        <w:t xml:space="preserve">ași lege prevede că furnizorul ajutorului de stat/autoritatea de stat are </w:t>
      </w:r>
      <w:r w:rsidR="00B94D89" w:rsidRPr="00653E85">
        <w:rPr>
          <w:rFonts w:asciiTheme="majorHAnsi" w:hAnsiTheme="majorHAnsi" w:cstheme="majorHAnsi"/>
          <w:color w:val="auto"/>
          <w:lang w:val="ro-MD"/>
        </w:rPr>
        <w:t>obligația</w:t>
      </w:r>
      <w:r w:rsidRPr="00653E85">
        <w:rPr>
          <w:rFonts w:asciiTheme="majorHAnsi" w:hAnsiTheme="majorHAnsi" w:cstheme="majorHAnsi"/>
          <w:color w:val="auto"/>
          <w:lang w:val="ro-MD"/>
        </w:rPr>
        <w:t xml:space="preserve"> să </w:t>
      </w:r>
      <w:r w:rsidR="00B94D89" w:rsidRPr="00653E85">
        <w:rPr>
          <w:rFonts w:asciiTheme="majorHAnsi" w:hAnsiTheme="majorHAnsi" w:cstheme="majorHAnsi"/>
          <w:color w:val="auto"/>
          <w:lang w:val="ro-MD"/>
        </w:rPr>
        <w:t>țină</w:t>
      </w:r>
      <w:r w:rsidRPr="00653E85">
        <w:rPr>
          <w:rFonts w:asciiTheme="majorHAnsi" w:hAnsiTheme="majorHAnsi" w:cstheme="majorHAnsi"/>
          <w:color w:val="auto"/>
          <w:lang w:val="ro-MD"/>
        </w:rPr>
        <w:t xml:space="preserve"> o </w:t>
      </w:r>
      <w:r w:rsidR="00B94D89" w:rsidRPr="00653E85">
        <w:rPr>
          <w:rFonts w:asciiTheme="majorHAnsi" w:hAnsiTheme="majorHAnsi" w:cstheme="majorHAnsi"/>
          <w:color w:val="auto"/>
          <w:lang w:val="ro-MD"/>
        </w:rPr>
        <w:t>evidență</w:t>
      </w:r>
      <w:r w:rsidRPr="00653E85">
        <w:rPr>
          <w:rFonts w:asciiTheme="majorHAnsi" w:hAnsiTheme="majorHAnsi" w:cstheme="majorHAnsi"/>
          <w:color w:val="auto"/>
          <w:lang w:val="ro-MD"/>
        </w:rPr>
        <w:t xml:space="preserve"> strictă a ajutoarelor de stat acordate</w:t>
      </w:r>
      <w:r w:rsidRPr="00653E85">
        <w:rPr>
          <w:rFonts w:asciiTheme="majorHAnsi" w:hAnsiTheme="majorHAnsi" w:cstheme="majorHAnsi"/>
          <w:color w:val="auto"/>
          <w:vertAlign w:val="superscript"/>
          <w:lang w:val="ro-MD"/>
        </w:rPr>
        <w:footnoteReference w:id="25"/>
      </w:r>
      <w:r w:rsidRPr="00653E85">
        <w:rPr>
          <w:rFonts w:asciiTheme="majorHAnsi" w:hAnsiTheme="majorHAnsi" w:cstheme="majorHAnsi"/>
          <w:color w:val="auto"/>
          <w:lang w:val="ro-MD"/>
        </w:rPr>
        <w:t>.</w:t>
      </w:r>
    </w:p>
    <w:p w14:paraId="5951D9E2" w14:textId="3709C277" w:rsidR="00883E08" w:rsidRPr="00653E85" w:rsidRDefault="00883E08" w:rsidP="00883E08">
      <w:pPr>
        <w:pStyle w:val="Default"/>
        <w:spacing w:line="276" w:lineRule="auto"/>
        <w:jc w:val="both"/>
        <w:rPr>
          <w:rFonts w:asciiTheme="majorHAnsi" w:hAnsiTheme="majorHAnsi" w:cstheme="majorHAnsi"/>
          <w:color w:val="auto"/>
          <w:lang w:val="ro-MD"/>
        </w:rPr>
      </w:pPr>
      <w:r w:rsidRPr="00653E85">
        <w:rPr>
          <w:rFonts w:asciiTheme="majorHAnsi" w:hAnsiTheme="majorHAnsi" w:cstheme="majorHAnsi"/>
          <w:color w:val="auto"/>
          <w:lang w:val="ro-MD"/>
        </w:rPr>
        <w:t>Astfel, reieșind din baza de calcul declarată de către sectorul privat, auditul a estimat că aplicarea prevederii de reducere a cotei de contribuții de asigurări sociale</w:t>
      </w:r>
      <w:r w:rsidR="001F0CB1" w:rsidRPr="00653E85">
        <w:rPr>
          <w:rFonts w:asciiTheme="majorHAnsi" w:hAnsiTheme="majorHAnsi" w:cstheme="majorHAnsi"/>
          <w:color w:val="auto"/>
          <w:lang w:val="ro-MD"/>
        </w:rPr>
        <w:t xml:space="preserve"> în anul 2022</w:t>
      </w:r>
      <w:r w:rsidRPr="00653E85">
        <w:rPr>
          <w:rFonts w:asciiTheme="majorHAnsi" w:hAnsiTheme="majorHAnsi" w:cstheme="majorHAnsi"/>
          <w:color w:val="auto"/>
          <w:lang w:val="ro-MD"/>
        </w:rPr>
        <w:t xml:space="preserve"> a fost cu </w:t>
      </w:r>
      <w:r w:rsidR="001F0CB1" w:rsidRPr="00653E85">
        <w:rPr>
          <w:rFonts w:asciiTheme="majorHAnsi" w:hAnsiTheme="majorHAnsi" w:cstheme="majorHAnsi"/>
          <w:color w:val="auto"/>
          <w:lang w:val="ro-MD"/>
        </w:rPr>
        <w:t>2</w:t>
      </w:r>
      <w:r w:rsidR="00B94D89" w:rsidRPr="00653E85">
        <w:rPr>
          <w:rFonts w:asciiTheme="majorHAnsi" w:hAnsiTheme="majorHAnsi" w:cstheme="majorHAnsi"/>
          <w:color w:val="auto"/>
          <w:lang w:val="ro-MD"/>
        </w:rPr>
        <w:t xml:space="preserve"> </w:t>
      </w:r>
      <w:r w:rsidR="001F0CB1" w:rsidRPr="00653E85">
        <w:rPr>
          <w:rFonts w:asciiTheme="majorHAnsi" w:hAnsiTheme="majorHAnsi" w:cstheme="majorHAnsi"/>
          <w:color w:val="auto"/>
          <w:lang w:val="ro-MD"/>
        </w:rPr>
        <w:t>618,9</w:t>
      </w:r>
      <w:r w:rsidRPr="00653E85">
        <w:rPr>
          <w:rFonts w:asciiTheme="majorHAnsi" w:hAnsiTheme="majorHAnsi" w:cstheme="majorHAnsi"/>
          <w:color w:val="auto"/>
          <w:lang w:val="ro-MD"/>
        </w:rPr>
        <w:t xml:space="preserve"> mil</w:t>
      </w:r>
      <w:r w:rsidR="00A57E43" w:rsidRPr="00653E85">
        <w:rPr>
          <w:rFonts w:asciiTheme="majorHAnsi" w:hAnsiTheme="majorHAnsi" w:cstheme="majorHAnsi"/>
          <w:color w:val="auto"/>
          <w:lang w:val="ro-MD"/>
        </w:rPr>
        <w:t>.</w:t>
      </w:r>
      <w:r w:rsidRPr="00653E85">
        <w:rPr>
          <w:rFonts w:asciiTheme="majorHAnsi" w:hAnsiTheme="majorHAnsi" w:cstheme="majorHAnsi"/>
          <w:color w:val="auto"/>
          <w:lang w:val="ro-MD"/>
        </w:rPr>
        <w:t xml:space="preserve"> lei mai mică, vezi tabelul de mai jos.</w:t>
      </w:r>
    </w:p>
    <w:p w14:paraId="34209183" w14:textId="25C7A224" w:rsidR="00883E08" w:rsidRPr="00653E85" w:rsidRDefault="002A3735" w:rsidP="00883E08">
      <w:pPr>
        <w:pStyle w:val="Default"/>
        <w:spacing w:line="276" w:lineRule="auto"/>
        <w:jc w:val="right"/>
        <w:rPr>
          <w:rFonts w:asciiTheme="majorHAnsi" w:hAnsiTheme="majorHAnsi" w:cstheme="majorHAnsi"/>
          <w:b/>
          <w:color w:val="auto"/>
          <w:lang w:val="ro-MD"/>
        </w:rPr>
      </w:pPr>
      <w:r w:rsidRPr="00653E85">
        <w:rPr>
          <w:rFonts w:asciiTheme="majorHAnsi" w:hAnsiTheme="majorHAnsi" w:cstheme="majorHAnsi"/>
          <w:b/>
          <w:color w:val="auto"/>
          <w:lang w:val="ro-MD"/>
        </w:rPr>
        <w:t>Tabel</w:t>
      </w:r>
      <w:r w:rsidR="00A57E43" w:rsidRPr="00653E85">
        <w:rPr>
          <w:rFonts w:asciiTheme="majorHAnsi" w:hAnsiTheme="majorHAnsi" w:cstheme="majorHAnsi"/>
          <w:b/>
          <w:color w:val="auto"/>
          <w:lang w:val="ro-MD"/>
        </w:rPr>
        <w:t>ul</w:t>
      </w:r>
      <w:r w:rsidRPr="00653E85">
        <w:rPr>
          <w:rFonts w:asciiTheme="majorHAnsi" w:hAnsiTheme="majorHAnsi" w:cstheme="majorHAnsi"/>
          <w:b/>
          <w:color w:val="auto"/>
          <w:lang w:val="ro-MD"/>
        </w:rPr>
        <w:t xml:space="preserve"> nr. </w:t>
      </w:r>
      <w:r w:rsidR="00933CC8" w:rsidRPr="00653E85">
        <w:rPr>
          <w:rFonts w:asciiTheme="majorHAnsi" w:hAnsiTheme="majorHAnsi" w:cstheme="majorHAnsi"/>
          <w:b/>
          <w:color w:val="auto"/>
          <w:lang w:val="ro-MD"/>
        </w:rPr>
        <w:t>6</w:t>
      </w:r>
    </w:p>
    <w:p w14:paraId="6F25AC18" w14:textId="64EF65E9" w:rsidR="0068377C" w:rsidRPr="00653E85" w:rsidRDefault="00A57E43" w:rsidP="000A7004">
      <w:pPr>
        <w:pStyle w:val="Default"/>
        <w:spacing w:line="276" w:lineRule="auto"/>
        <w:jc w:val="center"/>
        <w:rPr>
          <w:rFonts w:asciiTheme="majorHAnsi" w:hAnsiTheme="majorHAnsi" w:cstheme="majorHAnsi"/>
          <w:b/>
          <w:color w:val="auto"/>
          <w:lang w:val="ro-MD"/>
        </w:rPr>
      </w:pPr>
      <w:r w:rsidRPr="00653E85">
        <w:rPr>
          <w:rFonts w:asciiTheme="majorHAnsi" w:hAnsiTheme="majorHAnsi" w:cstheme="majorHAnsi"/>
          <w:b/>
          <w:color w:val="auto"/>
          <w:lang w:val="ro-MD"/>
        </w:rPr>
        <w:t>I</w:t>
      </w:r>
      <w:r w:rsidR="0068377C" w:rsidRPr="00653E85">
        <w:rPr>
          <w:rFonts w:asciiTheme="majorHAnsi" w:hAnsiTheme="majorHAnsi" w:cstheme="majorHAnsi"/>
          <w:b/>
          <w:color w:val="auto"/>
          <w:lang w:val="ro-MD"/>
        </w:rPr>
        <w:t xml:space="preserve">mpactul </w:t>
      </w:r>
      <w:r w:rsidRPr="00653E85">
        <w:rPr>
          <w:rFonts w:asciiTheme="majorHAnsi" w:hAnsiTheme="majorHAnsi" w:cstheme="majorHAnsi"/>
          <w:b/>
          <w:color w:val="auto"/>
          <w:lang w:val="ro-MD"/>
        </w:rPr>
        <w:t xml:space="preserve">privind </w:t>
      </w:r>
      <w:r w:rsidR="0068377C" w:rsidRPr="00653E85">
        <w:rPr>
          <w:rFonts w:asciiTheme="majorHAnsi" w:hAnsiTheme="majorHAnsi" w:cstheme="majorHAnsi"/>
          <w:b/>
          <w:color w:val="auto"/>
          <w:lang w:val="ro-MD"/>
        </w:rPr>
        <w:t>aplic</w:t>
      </w:r>
      <w:r w:rsidRPr="00653E85">
        <w:rPr>
          <w:rFonts w:asciiTheme="majorHAnsi" w:hAnsiTheme="majorHAnsi" w:cstheme="majorHAnsi"/>
          <w:b/>
          <w:color w:val="auto"/>
          <w:lang w:val="ro-MD"/>
        </w:rPr>
        <w:t>area</w:t>
      </w:r>
      <w:r w:rsidR="000A7004" w:rsidRPr="00653E85">
        <w:rPr>
          <w:rFonts w:asciiTheme="majorHAnsi" w:hAnsiTheme="majorHAnsi" w:cstheme="majorHAnsi"/>
          <w:b/>
          <w:color w:val="auto"/>
          <w:lang w:val="ro-MD"/>
        </w:rPr>
        <w:t xml:space="preserve"> cotei contribuției de asigurări sociale</w:t>
      </w:r>
    </w:p>
    <w:p w14:paraId="37F840F3" w14:textId="6B274712" w:rsidR="00883E08" w:rsidRPr="00653E85" w:rsidRDefault="00883E08" w:rsidP="000A7004">
      <w:pPr>
        <w:spacing w:after="0"/>
        <w:jc w:val="both"/>
        <w:rPr>
          <w:rFonts w:asciiTheme="majorHAnsi" w:hAnsiTheme="majorHAnsi" w:cstheme="majorHAnsi"/>
          <w:sz w:val="20"/>
          <w:szCs w:val="20"/>
          <w:lang w:val="ro-MD"/>
        </w:rPr>
      </w:pPr>
      <w:r w:rsidRPr="00653E85">
        <w:rPr>
          <w:rFonts w:asciiTheme="majorHAnsi" w:eastAsia="Times New Roman" w:hAnsiTheme="majorHAnsi" w:cstheme="majorHAnsi"/>
          <w:color w:val="000000"/>
          <w:sz w:val="20"/>
          <w:szCs w:val="20"/>
          <w:lang w:val="ro-MD"/>
        </w:rPr>
        <w:t xml:space="preserve">Notă: *Pentru anul 2018, contribuțiile de 18%+6% în sectorul privat </w:t>
      </w:r>
      <w:r w:rsidR="00A57E43" w:rsidRPr="00653E85">
        <w:rPr>
          <w:rFonts w:asciiTheme="majorHAnsi" w:eastAsia="Times New Roman" w:hAnsiTheme="majorHAnsi" w:cstheme="majorHAnsi"/>
          <w:color w:val="000000"/>
          <w:sz w:val="20"/>
          <w:szCs w:val="20"/>
          <w:lang w:val="ro-MD"/>
        </w:rPr>
        <w:t>sunt</w:t>
      </w:r>
      <w:r w:rsidRPr="00653E85">
        <w:rPr>
          <w:rFonts w:asciiTheme="majorHAnsi" w:eastAsia="Times New Roman" w:hAnsiTheme="majorHAnsi" w:cstheme="majorHAnsi"/>
          <w:color w:val="000000"/>
          <w:sz w:val="20"/>
          <w:szCs w:val="20"/>
          <w:lang w:val="ro-MD"/>
        </w:rPr>
        <w:t xml:space="preserve"> prezentat</w:t>
      </w:r>
      <w:r w:rsidR="00A57E43" w:rsidRPr="00653E85">
        <w:rPr>
          <w:rFonts w:asciiTheme="majorHAnsi" w:eastAsia="Times New Roman" w:hAnsiTheme="majorHAnsi" w:cstheme="majorHAnsi"/>
          <w:color w:val="000000"/>
          <w:sz w:val="20"/>
          <w:szCs w:val="20"/>
          <w:lang w:val="ro-MD"/>
        </w:rPr>
        <w:t>e</w:t>
      </w:r>
      <w:r w:rsidRPr="00653E85">
        <w:rPr>
          <w:rFonts w:asciiTheme="majorHAnsi" w:eastAsia="Times New Roman" w:hAnsiTheme="majorHAnsi" w:cstheme="majorHAnsi"/>
          <w:color w:val="000000"/>
          <w:sz w:val="20"/>
          <w:szCs w:val="20"/>
          <w:lang w:val="ro-MD"/>
        </w:rPr>
        <w:t xml:space="preserve"> pentru 3 luni (de la intrarea în vigoare a prevederilor legale)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988"/>
        <w:gridCol w:w="1081"/>
        <w:gridCol w:w="1081"/>
        <w:gridCol w:w="1079"/>
        <w:gridCol w:w="1081"/>
        <w:gridCol w:w="1185"/>
        <w:gridCol w:w="834"/>
      </w:tblGrid>
      <w:tr w:rsidR="009338F7" w:rsidRPr="00B7675F" w14:paraId="3F0A2F0C" w14:textId="77777777" w:rsidTr="00143761">
        <w:trPr>
          <w:trHeight w:val="804"/>
        </w:trPr>
        <w:tc>
          <w:tcPr>
            <w:tcW w:w="1344" w:type="pct"/>
            <w:shd w:val="clear" w:color="auto" w:fill="auto"/>
            <w:vAlign w:val="center"/>
            <w:hideMark/>
          </w:tcPr>
          <w:p w14:paraId="61BF8460"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Indicator</w:t>
            </w:r>
          </w:p>
        </w:tc>
        <w:tc>
          <w:tcPr>
            <w:tcW w:w="493" w:type="pct"/>
            <w:shd w:val="clear" w:color="auto" w:fill="auto"/>
            <w:vAlign w:val="center"/>
            <w:hideMark/>
          </w:tcPr>
          <w:p w14:paraId="0B4647DF"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 xml:space="preserve">2018 </w:t>
            </w:r>
          </w:p>
        </w:tc>
        <w:tc>
          <w:tcPr>
            <w:tcW w:w="539" w:type="pct"/>
            <w:shd w:val="clear" w:color="auto" w:fill="auto"/>
            <w:vAlign w:val="center"/>
            <w:hideMark/>
          </w:tcPr>
          <w:p w14:paraId="223FE631"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 xml:space="preserve">2019     </w:t>
            </w:r>
          </w:p>
        </w:tc>
        <w:tc>
          <w:tcPr>
            <w:tcW w:w="539" w:type="pct"/>
            <w:shd w:val="clear" w:color="auto" w:fill="auto"/>
            <w:vAlign w:val="center"/>
            <w:hideMark/>
          </w:tcPr>
          <w:p w14:paraId="086EB7C7"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 xml:space="preserve">2020 </w:t>
            </w:r>
          </w:p>
        </w:tc>
        <w:tc>
          <w:tcPr>
            <w:tcW w:w="538" w:type="pct"/>
            <w:shd w:val="clear" w:color="auto" w:fill="auto"/>
            <w:noWrap/>
            <w:vAlign w:val="center"/>
            <w:hideMark/>
          </w:tcPr>
          <w:p w14:paraId="1A8CF5D5"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2021</w:t>
            </w:r>
          </w:p>
        </w:tc>
        <w:tc>
          <w:tcPr>
            <w:tcW w:w="539" w:type="pct"/>
            <w:shd w:val="clear" w:color="auto" w:fill="auto"/>
            <w:noWrap/>
            <w:vAlign w:val="center"/>
            <w:hideMark/>
          </w:tcPr>
          <w:p w14:paraId="2CBFAA1F"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2022</w:t>
            </w:r>
          </w:p>
        </w:tc>
        <w:tc>
          <w:tcPr>
            <w:tcW w:w="591" w:type="pct"/>
            <w:vAlign w:val="center"/>
          </w:tcPr>
          <w:p w14:paraId="4FEE3483"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Devieri</w:t>
            </w:r>
          </w:p>
          <w:p w14:paraId="006169D9"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2022-2019</w:t>
            </w:r>
          </w:p>
        </w:tc>
        <w:tc>
          <w:tcPr>
            <w:tcW w:w="416" w:type="pct"/>
            <w:tcBorders>
              <w:bottom w:val="single" w:sz="4" w:space="0" w:color="auto"/>
            </w:tcBorders>
            <w:shd w:val="clear" w:color="auto" w:fill="auto"/>
            <w:vAlign w:val="center"/>
            <w:hideMark/>
          </w:tcPr>
          <w:p w14:paraId="34265EA8"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Total</w:t>
            </w:r>
          </w:p>
        </w:tc>
      </w:tr>
      <w:tr w:rsidR="009338F7" w:rsidRPr="00B7675F" w14:paraId="6EAEFC50" w14:textId="77777777" w:rsidTr="00143761">
        <w:trPr>
          <w:trHeight w:val="535"/>
        </w:trPr>
        <w:tc>
          <w:tcPr>
            <w:tcW w:w="1344" w:type="pct"/>
            <w:shd w:val="clear" w:color="auto" w:fill="auto"/>
            <w:vAlign w:val="bottom"/>
            <w:hideMark/>
          </w:tcPr>
          <w:p w14:paraId="04BBA353" w14:textId="2A126858" w:rsidR="009338F7" w:rsidRPr="00653E85" w:rsidRDefault="009338F7" w:rsidP="00143761">
            <w:pPr>
              <w:spacing w:after="0" w:line="240" w:lineRule="auto"/>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Nr</w:t>
            </w:r>
            <w:r w:rsidR="00A57E43" w:rsidRPr="00653E85">
              <w:rPr>
                <w:rFonts w:asciiTheme="majorHAnsi" w:eastAsia="Times New Roman" w:hAnsiTheme="majorHAnsi" w:cstheme="majorHAnsi"/>
                <w:color w:val="000000"/>
                <w:lang w:val="ro-MD"/>
              </w:rPr>
              <w:t>.</w:t>
            </w:r>
            <w:r w:rsidRPr="00653E85">
              <w:rPr>
                <w:rFonts w:asciiTheme="majorHAnsi" w:eastAsia="Times New Roman" w:hAnsiTheme="majorHAnsi" w:cstheme="majorHAnsi"/>
                <w:color w:val="000000"/>
                <w:lang w:val="ro-MD"/>
              </w:rPr>
              <w:t xml:space="preserve"> mediu al salariaților în autoritățile publice, 29%</w:t>
            </w:r>
          </w:p>
        </w:tc>
        <w:tc>
          <w:tcPr>
            <w:tcW w:w="493" w:type="pct"/>
            <w:shd w:val="clear" w:color="auto" w:fill="auto"/>
            <w:noWrap/>
            <w:vAlign w:val="center"/>
            <w:hideMark/>
          </w:tcPr>
          <w:p w14:paraId="2D7550F7"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c>
          <w:tcPr>
            <w:tcW w:w="539" w:type="pct"/>
            <w:shd w:val="clear" w:color="auto" w:fill="auto"/>
            <w:noWrap/>
            <w:vAlign w:val="center"/>
            <w:hideMark/>
          </w:tcPr>
          <w:p w14:paraId="08AFD4D9"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189515</w:t>
            </w:r>
          </w:p>
        </w:tc>
        <w:tc>
          <w:tcPr>
            <w:tcW w:w="539" w:type="pct"/>
            <w:shd w:val="clear" w:color="auto" w:fill="auto"/>
            <w:noWrap/>
            <w:vAlign w:val="center"/>
            <w:hideMark/>
          </w:tcPr>
          <w:p w14:paraId="5C853663"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183526</w:t>
            </w:r>
          </w:p>
        </w:tc>
        <w:tc>
          <w:tcPr>
            <w:tcW w:w="538" w:type="pct"/>
            <w:shd w:val="clear" w:color="auto" w:fill="auto"/>
            <w:noWrap/>
            <w:vAlign w:val="center"/>
            <w:hideMark/>
          </w:tcPr>
          <w:p w14:paraId="7D845E96"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185235</w:t>
            </w:r>
          </w:p>
        </w:tc>
        <w:tc>
          <w:tcPr>
            <w:tcW w:w="539" w:type="pct"/>
            <w:tcBorders>
              <w:right w:val="single" w:sz="4" w:space="0" w:color="auto"/>
            </w:tcBorders>
            <w:shd w:val="clear" w:color="auto" w:fill="auto"/>
            <w:noWrap/>
            <w:vAlign w:val="center"/>
            <w:hideMark/>
          </w:tcPr>
          <w:p w14:paraId="5A2D8C8A"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181845</w:t>
            </w:r>
          </w:p>
        </w:tc>
        <w:tc>
          <w:tcPr>
            <w:tcW w:w="591" w:type="pct"/>
            <w:tcBorders>
              <w:right w:val="single" w:sz="4" w:space="0" w:color="auto"/>
            </w:tcBorders>
            <w:vAlign w:val="center"/>
          </w:tcPr>
          <w:p w14:paraId="20756147"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-7670</w:t>
            </w:r>
          </w:p>
        </w:tc>
        <w:tc>
          <w:tcPr>
            <w:tcW w:w="416" w:type="pct"/>
            <w:tcBorders>
              <w:top w:val="single" w:sz="4" w:space="0" w:color="auto"/>
              <w:left w:val="single" w:sz="4" w:space="0" w:color="auto"/>
              <w:right w:val="single" w:sz="4" w:space="0" w:color="auto"/>
            </w:tcBorders>
            <w:shd w:val="clear" w:color="auto" w:fill="auto"/>
            <w:noWrap/>
            <w:vAlign w:val="center"/>
            <w:hideMark/>
          </w:tcPr>
          <w:p w14:paraId="52219DC9"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3A97C1EB" w14:textId="77777777" w:rsidTr="00143761">
        <w:trPr>
          <w:trHeight w:val="804"/>
        </w:trPr>
        <w:tc>
          <w:tcPr>
            <w:tcW w:w="1344" w:type="pct"/>
            <w:shd w:val="clear" w:color="auto" w:fill="auto"/>
            <w:vAlign w:val="bottom"/>
            <w:hideMark/>
          </w:tcPr>
          <w:p w14:paraId="4A12702A" w14:textId="6A6E08CA" w:rsidR="009338F7" w:rsidRPr="00653E85" w:rsidRDefault="009338F7" w:rsidP="00143761">
            <w:pPr>
              <w:spacing w:after="0" w:line="240" w:lineRule="auto"/>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Baza de calcul declarată a contribuțiilor în autoritățile publice, mil</w:t>
            </w:r>
            <w:r w:rsidR="00A57E43" w:rsidRPr="00653E85">
              <w:rPr>
                <w:rFonts w:asciiTheme="majorHAnsi" w:eastAsia="Times New Roman" w:hAnsiTheme="majorHAnsi" w:cstheme="majorHAnsi"/>
                <w:color w:val="000000"/>
                <w:lang w:val="ro-MD"/>
              </w:rPr>
              <w:t>.</w:t>
            </w:r>
            <w:r w:rsidRPr="00653E85">
              <w:rPr>
                <w:rFonts w:asciiTheme="majorHAnsi" w:eastAsia="Times New Roman" w:hAnsiTheme="majorHAnsi" w:cstheme="majorHAnsi"/>
                <w:color w:val="000000"/>
                <w:lang w:val="ro-MD"/>
              </w:rPr>
              <w:t xml:space="preserve"> lei</w:t>
            </w:r>
          </w:p>
        </w:tc>
        <w:tc>
          <w:tcPr>
            <w:tcW w:w="493" w:type="pct"/>
            <w:shd w:val="clear" w:color="auto" w:fill="auto"/>
            <w:noWrap/>
            <w:vAlign w:val="center"/>
            <w:hideMark/>
          </w:tcPr>
          <w:p w14:paraId="4065D2B3"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c>
          <w:tcPr>
            <w:tcW w:w="539" w:type="pct"/>
            <w:shd w:val="clear" w:color="auto" w:fill="auto"/>
            <w:noWrap/>
            <w:vAlign w:val="center"/>
            <w:hideMark/>
          </w:tcPr>
          <w:p w14:paraId="1D50F5E5"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14491,9</w:t>
            </w:r>
          </w:p>
        </w:tc>
        <w:tc>
          <w:tcPr>
            <w:tcW w:w="539" w:type="pct"/>
            <w:shd w:val="clear" w:color="auto" w:fill="auto"/>
            <w:noWrap/>
            <w:vAlign w:val="center"/>
            <w:hideMark/>
          </w:tcPr>
          <w:p w14:paraId="45F61600"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15781,1</w:t>
            </w:r>
          </w:p>
        </w:tc>
        <w:tc>
          <w:tcPr>
            <w:tcW w:w="538" w:type="pct"/>
            <w:shd w:val="clear" w:color="auto" w:fill="auto"/>
            <w:noWrap/>
            <w:vAlign w:val="center"/>
            <w:hideMark/>
          </w:tcPr>
          <w:p w14:paraId="0CB6E69A"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16884,9</w:t>
            </w:r>
          </w:p>
        </w:tc>
        <w:tc>
          <w:tcPr>
            <w:tcW w:w="539" w:type="pct"/>
            <w:tcBorders>
              <w:right w:val="single" w:sz="4" w:space="0" w:color="auto"/>
            </w:tcBorders>
            <w:shd w:val="clear" w:color="auto" w:fill="auto"/>
            <w:noWrap/>
            <w:vAlign w:val="center"/>
            <w:hideMark/>
          </w:tcPr>
          <w:p w14:paraId="5FB96B4C"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19146,4</w:t>
            </w:r>
          </w:p>
        </w:tc>
        <w:tc>
          <w:tcPr>
            <w:tcW w:w="591" w:type="pct"/>
            <w:tcBorders>
              <w:right w:val="single" w:sz="4" w:space="0" w:color="auto"/>
            </w:tcBorders>
            <w:vAlign w:val="center"/>
          </w:tcPr>
          <w:p w14:paraId="67563C24"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4654,5</w:t>
            </w:r>
          </w:p>
        </w:tc>
        <w:tc>
          <w:tcPr>
            <w:tcW w:w="416" w:type="pct"/>
            <w:tcBorders>
              <w:left w:val="single" w:sz="4" w:space="0" w:color="auto"/>
              <w:right w:val="single" w:sz="4" w:space="0" w:color="auto"/>
            </w:tcBorders>
            <w:shd w:val="clear" w:color="auto" w:fill="auto"/>
            <w:noWrap/>
            <w:vAlign w:val="center"/>
            <w:hideMark/>
          </w:tcPr>
          <w:p w14:paraId="724E22BE"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5D4B6901" w14:textId="77777777" w:rsidTr="00143761">
        <w:trPr>
          <w:trHeight w:val="535"/>
        </w:trPr>
        <w:tc>
          <w:tcPr>
            <w:tcW w:w="1344" w:type="pct"/>
            <w:shd w:val="clear" w:color="auto" w:fill="auto"/>
            <w:vAlign w:val="bottom"/>
            <w:hideMark/>
          </w:tcPr>
          <w:p w14:paraId="6AF7279D" w14:textId="77777777" w:rsidR="009338F7" w:rsidRPr="00653E85" w:rsidRDefault="009338F7" w:rsidP="00143761">
            <w:pPr>
              <w:spacing w:after="0" w:line="240" w:lineRule="auto"/>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Contribuții calculate conform tarifului, 29%</w:t>
            </w:r>
          </w:p>
        </w:tc>
        <w:tc>
          <w:tcPr>
            <w:tcW w:w="493" w:type="pct"/>
            <w:shd w:val="clear" w:color="auto" w:fill="auto"/>
            <w:noWrap/>
            <w:vAlign w:val="center"/>
            <w:hideMark/>
          </w:tcPr>
          <w:p w14:paraId="26B7AAAC" w14:textId="77777777" w:rsidR="009338F7" w:rsidRPr="00653E85" w:rsidRDefault="009338F7" w:rsidP="00143761">
            <w:pPr>
              <w:spacing w:after="0" w:line="240" w:lineRule="auto"/>
              <w:jc w:val="center"/>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x</w:t>
            </w:r>
          </w:p>
        </w:tc>
        <w:tc>
          <w:tcPr>
            <w:tcW w:w="539" w:type="pct"/>
            <w:shd w:val="clear" w:color="auto" w:fill="auto"/>
            <w:noWrap/>
            <w:vAlign w:val="center"/>
            <w:hideMark/>
          </w:tcPr>
          <w:p w14:paraId="6F1B4D0B"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4202,65</w:t>
            </w:r>
          </w:p>
        </w:tc>
        <w:tc>
          <w:tcPr>
            <w:tcW w:w="539" w:type="pct"/>
            <w:shd w:val="clear" w:color="auto" w:fill="auto"/>
            <w:noWrap/>
            <w:vAlign w:val="center"/>
            <w:hideMark/>
          </w:tcPr>
          <w:p w14:paraId="0567808F"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4576,52</w:t>
            </w:r>
          </w:p>
        </w:tc>
        <w:tc>
          <w:tcPr>
            <w:tcW w:w="538" w:type="pct"/>
            <w:shd w:val="clear" w:color="auto" w:fill="auto"/>
            <w:noWrap/>
            <w:vAlign w:val="center"/>
            <w:hideMark/>
          </w:tcPr>
          <w:p w14:paraId="6EBB8E3E"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4896,62</w:t>
            </w:r>
          </w:p>
        </w:tc>
        <w:tc>
          <w:tcPr>
            <w:tcW w:w="539" w:type="pct"/>
            <w:tcBorders>
              <w:right w:val="single" w:sz="4" w:space="0" w:color="auto"/>
            </w:tcBorders>
            <w:shd w:val="clear" w:color="auto" w:fill="auto"/>
            <w:noWrap/>
            <w:vAlign w:val="center"/>
            <w:hideMark/>
          </w:tcPr>
          <w:p w14:paraId="2C4CC561"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5552,46</w:t>
            </w:r>
          </w:p>
        </w:tc>
        <w:tc>
          <w:tcPr>
            <w:tcW w:w="591" w:type="pct"/>
            <w:tcBorders>
              <w:right w:val="single" w:sz="4" w:space="0" w:color="auto"/>
            </w:tcBorders>
            <w:vAlign w:val="center"/>
          </w:tcPr>
          <w:p w14:paraId="183CE099"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1349,81</w:t>
            </w:r>
          </w:p>
        </w:tc>
        <w:tc>
          <w:tcPr>
            <w:tcW w:w="416" w:type="pct"/>
            <w:tcBorders>
              <w:left w:val="single" w:sz="4" w:space="0" w:color="auto"/>
              <w:right w:val="single" w:sz="4" w:space="0" w:color="auto"/>
            </w:tcBorders>
            <w:shd w:val="clear" w:color="auto" w:fill="auto"/>
            <w:noWrap/>
            <w:vAlign w:val="center"/>
            <w:hideMark/>
          </w:tcPr>
          <w:p w14:paraId="7281168F"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39A83429" w14:textId="77777777" w:rsidTr="00143761">
        <w:trPr>
          <w:trHeight w:val="535"/>
        </w:trPr>
        <w:tc>
          <w:tcPr>
            <w:tcW w:w="1344" w:type="pct"/>
            <w:shd w:val="clear" w:color="auto" w:fill="auto"/>
            <w:vAlign w:val="bottom"/>
            <w:hideMark/>
          </w:tcPr>
          <w:p w14:paraId="31082B59" w14:textId="154BE375" w:rsidR="009338F7" w:rsidRPr="00653E85" w:rsidRDefault="009338F7" w:rsidP="00143761">
            <w:pPr>
              <w:spacing w:after="0" w:line="240" w:lineRule="auto"/>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Nr</w:t>
            </w:r>
            <w:r w:rsidR="00A57E43" w:rsidRPr="00653E85">
              <w:rPr>
                <w:rFonts w:asciiTheme="majorHAnsi" w:eastAsia="Times New Roman" w:hAnsiTheme="majorHAnsi" w:cstheme="majorHAnsi"/>
                <w:color w:val="000000"/>
                <w:lang w:val="ro-MD"/>
              </w:rPr>
              <w:t>.</w:t>
            </w:r>
            <w:r w:rsidRPr="00653E85">
              <w:rPr>
                <w:rFonts w:asciiTheme="majorHAnsi" w:eastAsia="Times New Roman" w:hAnsiTheme="majorHAnsi" w:cstheme="majorHAnsi"/>
                <w:color w:val="000000"/>
                <w:lang w:val="ro-MD"/>
              </w:rPr>
              <w:t xml:space="preserve"> mediu al salariaților </w:t>
            </w:r>
            <w:r w:rsidR="00A57E43" w:rsidRPr="00653E85">
              <w:rPr>
                <w:rFonts w:asciiTheme="majorHAnsi" w:eastAsia="Times New Roman" w:hAnsiTheme="majorHAnsi" w:cstheme="majorHAnsi"/>
                <w:color w:val="000000"/>
                <w:lang w:val="ro-MD"/>
              </w:rPr>
              <w:t xml:space="preserve">din </w:t>
            </w:r>
            <w:r w:rsidRPr="00653E85">
              <w:rPr>
                <w:rFonts w:asciiTheme="majorHAnsi" w:eastAsia="Times New Roman" w:hAnsiTheme="majorHAnsi" w:cstheme="majorHAnsi"/>
                <w:color w:val="000000"/>
                <w:lang w:val="ro-MD"/>
              </w:rPr>
              <w:t>sectorul privat, 24%</w:t>
            </w:r>
          </w:p>
        </w:tc>
        <w:tc>
          <w:tcPr>
            <w:tcW w:w="493" w:type="pct"/>
            <w:shd w:val="clear" w:color="auto" w:fill="auto"/>
            <w:noWrap/>
            <w:vAlign w:val="center"/>
            <w:hideMark/>
          </w:tcPr>
          <w:p w14:paraId="2173C2F6"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551004</w:t>
            </w:r>
          </w:p>
        </w:tc>
        <w:tc>
          <w:tcPr>
            <w:tcW w:w="539" w:type="pct"/>
            <w:shd w:val="clear" w:color="auto" w:fill="auto"/>
            <w:noWrap/>
            <w:vAlign w:val="center"/>
            <w:hideMark/>
          </w:tcPr>
          <w:p w14:paraId="710B11BC"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558602</w:t>
            </w:r>
          </w:p>
        </w:tc>
        <w:tc>
          <w:tcPr>
            <w:tcW w:w="539" w:type="pct"/>
            <w:shd w:val="clear" w:color="auto" w:fill="auto"/>
            <w:noWrap/>
            <w:vAlign w:val="center"/>
            <w:hideMark/>
          </w:tcPr>
          <w:p w14:paraId="50B4463E"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540933</w:t>
            </w:r>
          </w:p>
        </w:tc>
        <w:tc>
          <w:tcPr>
            <w:tcW w:w="538" w:type="pct"/>
            <w:shd w:val="clear" w:color="auto" w:fill="auto"/>
            <w:noWrap/>
            <w:vAlign w:val="center"/>
            <w:hideMark/>
          </w:tcPr>
          <w:p w14:paraId="2EF7968F"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550769</w:t>
            </w:r>
          </w:p>
        </w:tc>
        <w:tc>
          <w:tcPr>
            <w:tcW w:w="539" w:type="pct"/>
            <w:tcBorders>
              <w:right w:val="single" w:sz="4" w:space="0" w:color="auto"/>
            </w:tcBorders>
            <w:shd w:val="clear" w:color="auto" w:fill="auto"/>
            <w:noWrap/>
            <w:vAlign w:val="center"/>
            <w:hideMark/>
          </w:tcPr>
          <w:p w14:paraId="6B57C436"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552622</w:t>
            </w:r>
          </w:p>
        </w:tc>
        <w:tc>
          <w:tcPr>
            <w:tcW w:w="591" w:type="pct"/>
            <w:tcBorders>
              <w:right w:val="single" w:sz="4" w:space="0" w:color="auto"/>
            </w:tcBorders>
            <w:vAlign w:val="center"/>
          </w:tcPr>
          <w:p w14:paraId="210F4AC6"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-5980</w:t>
            </w:r>
          </w:p>
        </w:tc>
        <w:tc>
          <w:tcPr>
            <w:tcW w:w="416" w:type="pct"/>
            <w:tcBorders>
              <w:left w:val="single" w:sz="4" w:space="0" w:color="auto"/>
              <w:right w:val="single" w:sz="4" w:space="0" w:color="auto"/>
            </w:tcBorders>
            <w:shd w:val="clear" w:color="auto" w:fill="auto"/>
            <w:noWrap/>
            <w:vAlign w:val="center"/>
            <w:hideMark/>
          </w:tcPr>
          <w:p w14:paraId="62B44AD8"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3413E840" w14:textId="77777777" w:rsidTr="00143761">
        <w:trPr>
          <w:trHeight w:val="804"/>
        </w:trPr>
        <w:tc>
          <w:tcPr>
            <w:tcW w:w="1344" w:type="pct"/>
            <w:shd w:val="clear" w:color="auto" w:fill="auto"/>
            <w:vAlign w:val="bottom"/>
            <w:hideMark/>
          </w:tcPr>
          <w:p w14:paraId="04E5CDC2" w14:textId="15D9896B" w:rsidR="009338F7" w:rsidRPr="00653E85" w:rsidRDefault="009338F7" w:rsidP="00143761">
            <w:pPr>
              <w:spacing w:after="0" w:line="240" w:lineRule="auto"/>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Baza de calcul declarată a contribuțiilor în sectorul privat, mil</w:t>
            </w:r>
            <w:r w:rsidR="00A57E43" w:rsidRPr="00653E85">
              <w:rPr>
                <w:rFonts w:asciiTheme="majorHAnsi" w:eastAsia="Times New Roman" w:hAnsiTheme="majorHAnsi" w:cstheme="majorHAnsi"/>
                <w:color w:val="000000"/>
                <w:lang w:val="ro-MD"/>
              </w:rPr>
              <w:t>.</w:t>
            </w:r>
            <w:r w:rsidRPr="00653E85">
              <w:rPr>
                <w:rFonts w:asciiTheme="majorHAnsi" w:eastAsia="Times New Roman" w:hAnsiTheme="majorHAnsi" w:cstheme="majorHAnsi"/>
                <w:color w:val="000000"/>
                <w:lang w:val="ro-MD"/>
              </w:rPr>
              <w:t xml:space="preserve"> lei</w:t>
            </w:r>
          </w:p>
        </w:tc>
        <w:tc>
          <w:tcPr>
            <w:tcW w:w="493" w:type="pct"/>
            <w:shd w:val="clear" w:color="auto" w:fill="auto"/>
            <w:noWrap/>
            <w:vAlign w:val="center"/>
            <w:hideMark/>
          </w:tcPr>
          <w:p w14:paraId="7F133C2D"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8940,5*</w:t>
            </w:r>
          </w:p>
        </w:tc>
        <w:tc>
          <w:tcPr>
            <w:tcW w:w="539" w:type="pct"/>
            <w:shd w:val="clear" w:color="auto" w:fill="auto"/>
            <w:noWrap/>
            <w:vAlign w:val="center"/>
            <w:hideMark/>
          </w:tcPr>
          <w:p w14:paraId="1FF88D1A"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37969,7</w:t>
            </w:r>
          </w:p>
        </w:tc>
        <w:tc>
          <w:tcPr>
            <w:tcW w:w="539" w:type="pct"/>
            <w:shd w:val="clear" w:color="auto" w:fill="auto"/>
            <w:noWrap/>
            <w:vAlign w:val="center"/>
            <w:hideMark/>
          </w:tcPr>
          <w:p w14:paraId="1D49D093"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38961,3</w:t>
            </w:r>
          </w:p>
        </w:tc>
        <w:tc>
          <w:tcPr>
            <w:tcW w:w="538" w:type="pct"/>
            <w:shd w:val="clear" w:color="auto" w:fill="auto"/>
            <w:noWrap/>
            <w:vAlign w:val="center"/>
            <w:hideMark/>
          </w:tcPr>
          <w:p w14:paraId="33D35EBC"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45622,9</w:t>
            </w:r>
          </w:p>
        </w:tc>
        <w:tc>
          <w:tcPr>
            <w:tcW w:w="539" w:type="pct"/>
            <w:tcBorders>
              <w:right w:val="single" w:sz="4" w:space="0" w:color="auto"/>
            </w:tcBorders>
            <w:shd w:val="clear" w:color="auto" w:fill="auto"/>
            <w:noWrap/>
            <w:vAlign w:val="center"/>
            <w:hideMark/>
          </w:tcPr>
          <w:p w14:paraId="4EE62923"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52378,5</w:t>
            </w:r>
          </w:p>
        </w:tc>
        <w:tc>
          <w:tcPr>
            <w:tcW w:w="591" w:type="pct"/>
            <w:tcBorders>
              <w:right w:val="single" w:sz="4" w:space="0" w:color="auto"/>
            </w:tcBorders>
            <w:vAlign w:val="center"/>
          </w:tcPr>
          <w:p w14:paraId="6EC5118F"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14408,8</w:t>
            </w:r>
          </w:p>
        </w:tc>
        <w:tc>
          <w:tcPr>
            <w:tcW w:w="416" w:type="pct"/>
            <w:tcBorders>
              <w:left w:val="single" w:sz="4" w:space="0" w:color="auto"/>
              <w:right w:val="single" w:sz="4" w:space="0" w:color="auto"/>
            </w:tcBorders>
            <w:shd w:val="clear" w:color="auto" w:fill="auto"/>
            <w:noWrap/>
            <w:vAlign w:val="center"/>
            <w:hideMark/>
          </w:tcPr>
          <w:p w14:paraId="193F7FBB"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7AB9395C" w14:textId="77777777" w:rsidTr="00143761">
        <w:trPr>
          <w:trHeight w:val="535"/>
        </w:trPr>
        <w:tc>
          <w:tcPr>
            <w:tcW w:w="1344" w:type="pct"/>
            <w:shd w:val="clear" w:color="auto" w:fill="auto"/>
            <w:vAlign w:val="bottom"/>
            <w:hideMark/>
          </w:tcPr>
          <w:p w14:paraId="7AC1A561" w14:textId="77777777" w:rsidR="009338F7" w:rsidRPr="00653E85" w:rsidRDefault="009338F7" w:rsidP="00143761">
            <w:pPr>
              <w:spacing w:after="0" w:line="240" w:lineRule="auto"/>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Contribuții calculate conform tarifului, 24%</w:t>
            </w:r>
          </w:p>
        </w:tc>
        <w:tc>
          <w:tcPr>
            <w:tcW w:w="493" w:type="pct"/>
            <w:shd w:val="clear" w:color="auto" w:fill="auto"/>
            <w:noWrap/>
            <w:vAlign w:val="center"/>
            <w:hideMark/>
          </w:tcPr>
          <w:p w14:paraId="71F27B0A"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2145,7</w:t>
            </w:r>
          </w:p>
        </w:tc>
        <w:tc>
          <w:tcPr>
            <w:tcW w:w="539" w:type="pct"/>
            <w:shd w:val="clear" w:color="auto" w:fill="auto"/>
            <w:noWrap/>
            <w:vAlign w:val="center"/>
            <w:hideMark/>
          </w:tcPr>
          <w:p w14:paraId="7E6711C2"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9112,7</w:t>
            </w:r>
          </w:p>
        </w:tc>
        <w:tc>
          <w:tcPr>
            <w:tcW w:w="539" w:type="pct"/>
            <w:shd w:val="clear" w:color="auto" w:fill="auto"/>
            <w:noWrap/>
            <w:vAlign w:val="center"/>
            <w:hideMark/>
          </w:tcPr>
          <w:p w14:paraId="53214BAB"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9350,7</w:t>
            </w:r>
          </w:p>
        </w:tc>
        <w:tc>
          <w:tcPr>
            <w:tcW w:w="538" w:type="pct"/>
            <w:shd w:val="clear" w:color="auto" w:fill="auto"/>
            <w:noWrap/>
            <w:vAlign w:val="center"/>
            <w:hideMark/>
          </w:tcPr>
          <w:p w14:paraId="3F60B344"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10949,5</w:t>
            </w:r>
          </w:p>
        </w:tc>
        <w:tc>
          <w:tcPr>
            <w:tcW w:w="539" w:type="pct"/>
            <w:tcBorders>
              <w:right w:val="single" w:sz="4" w:space="0" w:color="auto"/>
            </w:tcBorders>
            <w:shd w:val="clear" w:color="auto" w:fill="auto"/>
            <w:noWrap/>
            <w:vAlign w:val="center"/>
            <w:hideMark/>
          </w:tcPr>
          <w:p w14:paraId="7BCA10DD" w14:textId="77777777" w:rsidR="009338F7" w:rsidRPr="00653E85" w:rsidRDefault="009338F7" w:rsidP="00143761">
            <w:pPr>
              <w:spacing w:after="0" w:line="240" w:lineRule="auto"/>
              <w:jc w:val="right"/>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12570,8</w:t>
            </w:r>
          </w:p>
        </w:tc>
        <w:tc>
          <w:tcPr>
            <w:tcW w:w="591" w:type="pct"/>
            <w:tcBorders>
              <w:right w:val="single" w:sz="4" w:space="0" w:color="auto"/>
            </w:tcBorders>
            <w:vAlign w:val="center"/>
          </w:tcPr>
          <w:p w14:paraId="11F5F456"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3458,1</w:t>
            </w:r>
          </w:p>
        </w:tc>
        <w:tc>
          <w:tcPr>
            <w:tcW w:w="416" w:type="pct"/>
            <w:tcBorders>
              <w:left w:val="single" w:sz="4" w:space="0" w:color="auto"/>
              <w:right w:val="single" w:sz="4" w:space="0" w:color="auto"/>
            </w:tcBorders>
            <w:shd w:val="clear" w:color="auto" w:fill="auto"/>
            <w:noWrap/>
            <w:vAlign w:val="center"/>
            <w:hideMark/>
          </w:tcPr>
          <w:p w14:paraId="23AB3912"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58810F18" w14:textId="77777777" w:rsidTr="00143761">
        <w:trPr>
          <w:trHeight w:val="535"/>
        </w:trPr>
        <w:tc>
          <w:tcPr>
            <w:tcW w:w="1344" w:type="pct"/>
            <w:shd w:val="clear" w:color="auto" w:fill="auto"/>
            <w:vAlign w:val="bottom"/>
            <w:hideMark/>
          </w:tcPr>
          <w:p w14:paraId="2EDA65C0" w14:textId="77777777" w:rsidR="009338F7" w:rsidRPr="00653E85" w:rsidRDefault="009338F7" w:rsidP="00143761">
            <w:pPr>
              <w:spacing w:after="0" w:line="240" w:lineRule="auto"/>
              <w:rPr>
                <w:rFonts w:asciiTheme="majorHAnsi" w:eastAsia="Times New Roman" w:hAnsiTheme="majorHAnsi" w:cstheme="majorHAnsi"/>
                <w:b/>
                <w:bCs/>
                <w:color w:val="000000"/>
                <w:lang w:val="ro-MD"/>
              </w:rPr>
            </w:pPr>
            <w:r w:rsidRPr="00653E85">
              <w:rPr>
                <w:rFonts w:asciiTheme="majorHAnsi" w:eastAsia="Times New Roman" w:hAnsiTheme="majorHAnsi" w:cstheme="majorHAnsi"/>
                <w:b/>
                <w:bCs/>
                <w:color w:val="000000"/>
                <w:lang w:val="ro-MD"/>
              </w:rPr>
              <w:t>Contribuții calculate conform tarifului, 29%</w:t>
            </w:r>
          </w:p>
        </w:tc>
        <w:tc>
          <w:tcPr>
            <w:tcW w:w="493" w:type="pct"/>
            <w:shd w:val="clear" w:color="auto" w:fill="auto"/>
            <w:noWrap/>
            <w:vAlign w:val="center"/>
            <w:hideMark/>
          </w:tcPr>
          <w:p w14:paraId="0B7E3CD0"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2592,7</w:t>
            </w:r>
          </w:p>
        </w:tc>
        <w:tc>
          <w:tcPr>
            <w:tcW w:w="539" w:type="pct"/>
            <w:shd w:val="clear" w:color="auto" w:fill="auto"/>
            <w:noWrap/>
            <w:vAlign w:val="center"/>
            <w:hideMark/>
          </w:tcPr>
          <w:p w14:paraId="04EFA4AC"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11011,2</w:t>
            </w:r>
          </w:p>
        </w:tc>
        <w:tc>
          <w:tcPr>
            <w:tcW w:w="539" w:type="pct"/>
            <w:shd w:val="clear" w:color="auto" w:fill="auto"/>
            <w:noWrap/>
            <w:vAlign w:val="center"/>
            <w:hideMark/>
          </w:tcPr>
          <w:p w14:paraId="788D1B4B"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11298,8</w:t>
            </w:r>
          </w:p>
        </w:tc>
        <w:tc>
          <w:tcPr>
            <w:tcW w:w="538" w:type="pct"/>
            <w:shd w:val="clear" w:color="auto" w:fill="auto"/>
            <w:noWrap/>
            <w:vAlign w:val="center"/>
            <w:hideMark/>
          </w:tcPr>
          <w:p w14:paraId="585D1105"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13230,6</w:t>
            </w:r>
          </w:p>
        </w:tc>
        <w:tc>
          <w:tcPr>
            <w:tcW w:w="539" w:type="pct"/>
            <w:tcBorders>
              <w:right w:val="single" w:sz="4" w:space="0" w:color="auto"/>
            </w:tcBorders>
            <w:shd w:val="clear" w:color="auto" w:fill="auto"/>
            <w:noWrap/>
            <w:vAlign w:val="center"/>
            <w:hideMark/>
          </w:tcPr>
          <w:p w14:paraId="0562C190"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15189,8</w:t>
            </w:r>
          </w:p>
        </w:tc>
        <w:tc>
          <w:tcPr>
            <w:tcW w:w="591" w:type="pct"/>
            <w:tcBorders>
              <w:right w:val="single" w:sz="4" w:space="0" w:color="auto"/>
            </w:tcBorders>
            <w:vAlign w:val="center"/>
          </w:tcPr>
          <w:p w14:paraId="38A8757F"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4178,6</w:t>
            </w:r>
          </w:p>
        </w:tc>
        <w:tc>
          <w:tcPr>
            <w:tcW w:w="416" w:type="pct"/>
            <w:tcBorders>
              <w:left w:val="single" w:sz="4" w:space="0" w:color="auto"/>
              <w:bottom w:val="single" w:sz="4" w:space="0" w:color="auto"/>
              <w:right w:val="single" w:sz="4" w:space="0" w:color="auto"/>
            </w:tcBorders>
            <w:shd w:val="clear" w:color="auto" w:fill="auto"/>
            <w:noWrap/>
            <w:vAlign w:val="center"/>
            <w:hideMark/>
          </w:tcPr>
          <w:p w14:paraId="31B06E37" w14:textId="77777777"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r>
      <w:tr w:rsidR="009338F7" w:rsidRPr="00B7675F" w14:paraId="1E75584D" w14:textId="77777777" w:rsidTr="00143761">
        <w:trPr>
          <w:trHeight w:val="1340"/>
        </w:trPr>
        <w:tc>
          <w:tcPr>
            <w:tcW w:w="1344" w:type="pct"/>
            <w:shd w:val="clear" w:color="auto" w:fill="auto"/>
            <w:vAlign w:val="center"/>
            <w:hideMark/>
          </w:tcPr>
          <w:p w14:paraId="6A2CE0C3" w14:textId="5872B3E6" w:rsidR="009338F7" w:rsidRPr="00653E85" w:rsidRDefault="009338F7" w:rsidP="00143761">
            <w:pPr>
              <w:spacing w:after="0" w:line="240" w:lineRule="auto"/>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Suma facilității contribuțiilor acordate sectorului privat pentru dezvoltarea și scoaterea economiei din tenebritate, estimate de audit, mil</w:t>
            </w:r>
            <w:r w:rsidR="003E1F5D" w:rsidRPr="00653E85">
              <w:rPr>
                <w:rFonts w:asciiTheme="majorHAnsi" w:eastAsia="Times New Roman" w:hAnsiTheme="majorHAnsi" w:cstheme="majorHAnsi"/>
                <w:color w:val="000000"/>
                <w:lang w:val="ro-MD"/>
              </w:rPr>
              <w:t>.</w:t>
            </w:r>
            <w:r w:rsidRPr="00653E85">
              <w:rPr>
                <w:rFonts w:asciiTheme="majorHAnsi" w:eastAsia="Times New Roman" w:hAnsiTheme="majorHAnsi" w:cstheme="majorHAnsi"/>
                <w:color w:val="000000"/>
                <w:lang w:val="ro-MD"/>
              </w:rPr>
              <w:t xml:space="preserve"> lei</w:t>
            </w:r>
          </w:p>
        </w:tc>
        <w:tc>
          <w:tcPr>
            <w:tcW w:w="493" w:type="pct"/>
            <w:shd w:val="clear" w:color="auto" w:fill="auto"/>
            <w:noWrap/>
            <w:vAlign w:val="center"/>
            <w:hideMark/>
          </w:tcPr>
          <w:p w14:paraId="56B778E6"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447,0</w:t>
            </w:r>
          </w:p>
        </w:tc>
        <w:tc>
          <w:tcPr>
            <w:tcW w:w="539" w:type="pct"/>
            <w:shd w:val="clear" w:color="auto" w:fill="auto"/>
            <w:noWrap/>
            <w:vAlign w:val="center"/>
            <w:hideMark/>
          </w:tcPr>
          <w:p w14:paraId="57A5E426"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1898,5</w:t>
            </w:r>
          </w:p>
        </w:tc>
        <w:tc>
          <w:tcPr>
            <w:tcW w:w="539" w:type="pct"/>
            <w:shd w:val="clear" w:color="auto" w:fill="auto"/>
            <w:noWrap/>
            <w:vAlign w:val="center"/>
            <w:hideMark/>
          </w:tcPr>
          <w:p w14:paraId="122E626B"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1948,1</w:t>
            </w:r>
          </w:p>
        </w:tc>
        <w:tc>
          <w:tcPr>
            <w:tcW w:w="538" w:type="pct"/>
            <w:shd w:val="clear" w:color="auto" w:fill="auto"/>
            <w:noWrap/>
            <w:vAlign w:val="center"/>
            <w:hideMark/>
          </w:tcPr>
          <w:p w14:paraId="188269D5"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2281,1</w:t>
            </w:r>
          </w:p>
        </w:tc>
        <w:tc>
          <w:tcPr>
            <w:tcW w:w="539" w:type="pct"/>
            <w:shd w:val="clear" w:color="auto" w:fill="auto"/>
            <w:noWrap/>
            <w:vAlign w:val="center"/>
            <w:hideMark/>
          </w:tcPr>
          <w:p w14:paraId="5E22C461"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2618,9</w:t>
            </w:r>
          </w:p>
        </w:tc>
        <w:tc>
          <w:tcPr>
            <w:tcW w:w="591" w:type="pct"/>
            <w:vAlign w:val="center"/>
          </w:tcPr>
          <w:p w14:paraId="76D49952" w14:textId="7E4A2DC6" w:rsidR="009338F7" w:rsidRPr="00653E85" w:rsidRDefault="009338F7" w:rsidP="00143761">
            <w:pPr>
              <w:spacing w:after="0" w:line="240" w:lineRule="auto"/>
              <w:jc w:val="center"/>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x</w:t>
            </w:r>
          </w:p>
        </w:tc>
        <w:tc>
          <w:tcPr>
            <w:tcW w:w="416" w:type="pct"/>
            <w:tcBorders>
              <w:top w:val="single" w:sz="4" w:space="0" w:color="auto"/>
            </w:tcBorders>
            <w:shd w:val="clear" w:color="auto" w:fill="auto"/>
            <w:noWrap/>
            <w:vAlign w:val="center"/>
            <w:hideMark/>
          </w:tcPr>
          <w:p w14:paraId="550AE80F" w14:textId="77777777" w:rsidR="009338F7" w:rsidRPr="00653E85" w:rsidRDefault="009338F7" w:rsidP="00143761">
            <w:pPr>
              <w:spacing w:after="0" w:line="240" w:lineRule="auto"/>
              <w:jc w:val="right"/>
              <w:rPr>
                <w:rFonts w:asciiTheme="majorHAnsi" w:eastAsia="Times New Roman" w:hAnsiTheme="majorHAnsi" w:cstheme="majorHAnsi"/>
                <w:color w:val="000000"/>
                <w:lang w:val="ro-MD"/>
              </w:rPr>
            </w:pPr>
            <w:r w:rsidRPr="00653E85">
              <w:rPr>
                <w:rFonts w:asciiTheme="majorHAnsi" w:eastAsia="Times New Roman" w:hAnsiTheme="majorHAnsi" w:cstheme="majorHAnsi"/>
                <w:color w:val="000000"/>
                <w:lang w:val="ro-MD"/>
              </w:rPr>
              <w:t>9193,6</w:t>
            </w:r>
          </w:p>
        </w:tc>
      </w:tr>
    </w:tbl>
    <w:p w14:paraId="49E07D86" w14:textId="548EBF17" w:rsidR="00883E08" w:rsidRPr="00653E85" w:rsidRDefault="00883E08" w:rsidP="00883E08">
      <w:pPr>
        <w:pStyle w:val="Default"/>
        <w:spacing w:line="276" w:lineRule="auto"/>
        <w:jc w:val="both"/>
        <w:rPr>
          <w:rFonts w:asciiTheme="majorHAnsi" w:hAnsiTheme="majorHAnsi" w:cstheme="majorHAnsi"/>
          <w:i/>
          <w:color w:val="auto"/>
          <w:sz w:val="20"/>
          <w:szCs w:val="20"/>
          <w:lang w:val="ro-MD"/>
        </w:rPr>
      </w:pPr>
      <w:r w:rsidRPr="00653E85">
        <w:rPr>
          <w:rFonts w:asciiTheme="majorHAnsi" w:hAnsiTheme="majorHAnsi" w:cstheme="majorHAnsi"/>
          <w:color w:val="auto"/>
          <w:sz w:val="20"/>
          <w:szCs w:val="20"/>
          <w:lang w:val="ro-MD"/>
        </w:rPr>
        <w:t xml:space="preserve">Sursa: </w:t>
      </w:r>
      <w:r w:rsidRPr="00653E85">
        <w:rPr>
          <w:rFonts w:asciiTheme="majorHAnsi" w:hAnsiTheme="majorHAnsi" w:cstheme="majorHAnsi"/>
          <w:i/>
          <w:color w:val="auto"/>
          <w:sz w:val="20"/>
          <w:szCs w:val="20"/>
          <w:lang w:val="ro-MD"/>
        </w:rPr>
        <w:t>Elaborat de audit în baza dărilor de seamă generalizatoare privind calcularea, utilizarea și transferarea contribuțiilor de asigurări sociale de stat pe anii 2018-2022</w:t>
      </w:r>
      <w:r w:rsidR="003E1F5D" w:rsidRPr="00653E85">
        <w:rPr>
          <w:rFonts w:asciiTheme="majorHAnsi" w:hAnsiTheme="majorHAnsi" w:cstheme="majorHAnsi"/>
          <w:i/>
          <w:color w:val="auto"/>
          <w:sz w:val="20"/>
          <w:szCs w:val="20"/>
          <w:lang w:val="ro-MD"/>
        </w:rPr>
        <w:t>.</w:t>
      </w:r>
    </w:p>
    <w:p w14:paraId="443C4FF3" w14:textId="77777777" w:rsidR="00883E08" w:rsidRPr="00653E85" w:rsidRDefault="00883E08" w:rsidP="00883E08">
      <w:pPr>
        <w:pStyle w:val="Default"/>
        <w:spacing w:line="276" w:lineRule="auto"/>
        <w:jc w:val="both"/>
        <w:rPr>
          <w:rFonts w:asciiTheme="majorHAnsi" w:hAnsiTheme="majorHAnsi" w:cstheme="majorHAnsi"/>
          <w:color w:val="auto"/>
          <w:lang w:val="ro-MD"/>
        </w:rPr>
      </w:pPr>
    </w:p>
    <w:p w14:paraId="58D4080D" w14:textId="0345AD8D" w:rsidR="00883E08" w:rsidRPr="00653E85" w:rsidRDefault="00883E08" w:rsidP="00883E08">
      <w:pPr>
        <w:pStyle w:val="Default"/>
        <w:spacing w:line="276" w:lineRule="auto"/>
        <w:jc w:val="both"/>
        <w:rPr>
          <w:rFonts w:asciiTheme="majorHAnsi" w:hAnsiTheme="majorHAnsi" w:cstheme="majorHAnsi"/>
          <w:color w:val="auto"/>
          <w:lang w:val="ro-MD"/>
        </w:rPr>
      </w:pPr>
      <w:r w:rsidRPr="00653E85">
        <w:rPr>
          <w:rFonts w:asciiTheme="majorHAnsi" w:hAnsiTheme="majorHAnsi" w:cstheme="majorHAnsi"/>
          <w:color w:val="auto"/>
          <w:lang w:val="ro-MD"/>
        </w:rPr>
        <w:t>Datele din tabelul de mai sus indică că intențiile de a micșora partea contribuției datorat</w:t>
      </w:r>
      <w:r w:rsidR="003E1F5D" w:rsidRPr="00653E85">
        <w:rPr>
          <w:rFonts w:asciiTheme="majorHAnsi" w:hAnsiTheme="majorHAnsi" w:cstheme="majorHAnsi"/>
          <w:color w:val="auto"/>
          <w:lang w:val="ro-MD"/>
        </w:rPr>
        <w:t>e</w:t>
      </w:r>
      <w:r w:rsidRPr="00653E85">
        <w:rPr>
          <w:rFonts w:asciiTheme="majorHAnsi" w:hAnsiTheme="majorHAnsi" w:cstheme="majorHAnsi"/>
          <w:color w:val="auto"/>
          <w:lang w:val="ro-MD"/>
        </w:rPr>
        <w:t xml:space="preserve"> de angajator în scopul lărgirii bazei de calcul din contul scoaterii fondului de remunerare a muncii din tenebritate nu s-au soldat cu rezultate majore. Astfel, deși baza de calcul a înregistrat în anul 2022 o creștere cu 14 408,8 mil. lei față de anul 2019, numărul de beneficiari a scăzut cu 5 980 </w:t>
      </w:r>
      <w:r w:rsidR="003E1F5D" w:rsidRPr="00653E85">
        <w:rPr>
          <w:rFonts w:asciiTheme="majorHAnsi" w:hAnsiTheme="majorHAnsi" w:cstheme="majorHAnsi"/>
          <w:color w:val="auto"/>
          <w:lang w:val="ro-MD"/>
        </w:rPr>
        <w:t xml:space="preserve">de </w:t>
      </w:r>
      <w:r w:rsidRPr="00653E85">
        <w:rPr>
          <w:rFonts w:asciiTheme="majorHAnsi" w:hAnsiTheme="majorHAnsi" w:cstheme="majorHAnsi"/>
          <w:color w:val="auto"/>
          <w:lang w:val="ro-MD"/>
        </w:rPr>
        <w:t>persoane. Prin urmare, baza de calcul s-a majorat datorită creșterii salariului mediu pe economie. În același timp, sectorul economic a fost influențat inclusiv de criza pandemică din această perioadă.</w:t>
      </w:r>
    </w:p>
    <w:p w14:paraId="5945AE57" w14:textId="77777777" w:rsidR="00883E08" w:rsidRPr="00653E85" w:rsidRDefault="00883E08" w:rsidP="00883E08">
      <w:pPr>
        <w:pStyle w:val="Default"/>
        <w:jc w:val="both"/>
        <w:rPr>
          <w:rFonts w:asciiTheme="majorHAnsi" w:hAnsiTheme="majorHAnsi" w:cstheme="majorHAnsi"/>
          <w:color w:val="auto"/>
          <w:highlight w:val="yellow"/>
          <w:lang w:val="ro-MD"/>
        </w:rPr>
      </w:pPr>
    </w:p>
    <w:p w14:paraId="613E34B7" w14:textId="76956AB2" w:rsidR="00883E08" w:rsidRPr="00653E85" w:rsidRDefault="00883E08" w:rsidP="00883E08">
      <w:pPr>
        <w:autoSpaceDE w:val="0"/>
        <w:autoSpaceDN w:val="0"/>
        <w:adjustRightInd w:val="0"/>
        <w:spacing w:after="84"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Subsecvent, auditul menționează că, deși pentru asigurarea unui salariat, de către autoritățile/instituțiile bugetare și autoritățile/instituțiile publice la autogestiune</w:t>
      </w:r>
      <w:r w:rsidR="003E1F5D"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sunt suportate cheltuieli în cuantum mai mare pentru achitarea contribuțiilor comparativ cu sectorul privat, cadrul legal nu prevede anumite măsuri de beneficiere de prestații sociale în alte condiții decât angajații din sectorul privat. Astfel, reieșind din faptul că pentru angajații autorităților/instituțiilor bugetare se achită un tarif mai mare, se denotă că nu se asigură principiul contributivităţii, conform căruia drepturile de asigurări sociale se cuvin </w:t>
      </w:r>
      <w:r w:rsidR="003E1F5D" w:rsidRPr="00653E85">
        <w:rPr>
          <w:rFonts w:asciiTheme="majorHAnsi" w:hAnsiTheme="majorHAnsi" w:cstheme="majorHAnsi"/>
          <w:sz w:val="24"/>
          <w:szCs w:val="24"/>
          <w:lang w:val="ro-MD"/>
        </w:rPr>
        <w:t>în</w:t>
      </w:r>
      <w:r w:rsidRPr="00653E85">
        <w:rPr>
          <w:rFonts w:asciiTheme="majorHAnsi" w:hAnsiTheme="majorHAnsi" w:cstheme="majorHAnsi"/>
          <w:sz w:val="24"/>
          <w:szCs w:val="24"/>
          <w:lang w:val="ro-MD"/>
        </w:rPr>
        <w:t xml:space="preserve"> temeiul </w:t>
      </w:r>
      <w:r w:rsidR="00CA1DD1" w:rsidRPr="00653E85">
        <w:rPr>
          <w:rFonts w:asciiTheme="majorHAnsi" w:hAnsiTheme="majorHAnsi" w:cstheme="majorHAnsi"/>
          <w:sz w:val="24"/>
          <w:szCs w:val="24"/>
          <w:lang w:val="ro-MD"/>
        </w:rPr>
        <w:t>contribuțiilor</w:t>
      </w:r>
      <w:r w:rsidRPr="00653E85">
        <w:rPr>
          <w:rFonts w:asciiTheme="majorHAnsi" w:hAnsiTheme="majorHAnsi" w:cstheme="majorHAnsi"/>
          <w:sz w:val="24"/>
          <w:szCs w:val="24"/>
          <w:lang w:val="ro-MD"/>
        </w:rPr>
        <w:t xml:space="preserve"> de asigurări sociale plătite, precum și </w:t>
      </w:r>
      <w:r w:rsidR="003E1F5D" w:rsidRPr="00653E85">
        <w:rPr>
          <w:rFonts w:asciiTheme="majorHAnsi" w:hAnsiTheme="majorHAnsi" w:cstheme="majorHAnsi"/>
          <w:sz w:val="24"/>
          <w:szCs w:val="24"/>
          <w:lang w:val="ro-MD"/>
        </w:rPr>
        <w:t xml:space="preserve">conform </w:t>
      </w:r>
      <w:r w:rsidRPr="00653E85">
        <w:rPr>
          <w:rFonts w:asciiTheme="majorHAnsi" w:hAnsiTheme="majorHAnsi" w:cstheme="majorHAnsi"/>
          <w:sz w:val="24"/>
          <w:szCs w:val="24"/>
          <w:lang w:val="ro-MD"/>
        </w:rPr>
        <w:t>principiul</w:t>
      </w:r>
      <w:r w:rsidR="003E1F5D" w:rsidRPr="00653E85">
        <w:rPr>
          <w:rFonts w:asciiTheme="majorHAnsi" w:hAnsiTheme="majorHAnsi" w:cstheme="majorHAnsi"/>
          <w:sz w:val="24"/>
          <w:szCs w:val="24"/>
          <w:lang w:val="ro-MD"/>
        </w:rPr>
        <w:t>ui</w:t>
      </w:r>
      <w:r w:rsidRPr="00653E85">
        <w:rPr>
          <w:rFonts w:asciiTheme="majorHAnsi" w:hAnsiTheme="majorHAnsi" w:cstheme="majorHAnsi"/>
          <w:sz w:val="24"/>
          <w:szCs w:val="24"/>
          <w:lang w:val="ro-MD"/>
        </w:rPr>
        <w:t xml:space="preserve"> </w:t>
      </w:r>
      <w:r w:rsidR="00CA1DD1" w:rsidRPr="00653E85">
        <w:rPr>
          <w:rFonts w:asciiTheme="majorHAnsi" w:hAnsiTheme="majorHAnsi" w:cstheme="majorHAnsi"/>
          <w:sz w:val="24"/>
          <w:szCs w:val="24"/>
          <w:lang w:val="ro-MD"/>
        </w:rPr>
        <w:t>obligativității</w:t>
      </w:r>
      <w:r w:rsidRPr="00653E85">
        <w:rPr>
          <w:rFonts w:asciiTheme="majorHAnsi" w:hAnsiTheme="majorHAnsi" w:cstheme="majorHAnsi"/>
          <w:sz w:val="24"/>
          <w:szCs w:val="24"/>
          <w:lang w:val="ro-MD"/>
        </w:rPr>
        <w:t xml:space="preserve">, potrivit căruia persoanele fizice şi juridice au, conform legii, </w:t>
      </w:r>
      <w:r w:rsidR="00CA1DD1" w:rsidRPr="00653E85">
        <w:rPr>
          <w:rFonts w:asciiTheme="majorHAnsi" w:hAnsiTheme="majorHAnsi" w:cstheme="majorHAnsi"/>
          <w:sz w:val="24"/>
          <w:szCs w:val="24"/>
          <w:lang w:val="ro-MD"/>
        </w:rPr>
        <w:t>obligația</w:t>
      </w:r>
      <w:r w:rsidRPr="00653E85">
        <w:rPr>
          <w:rFonts w:asciiTheme="majorHAnsi" w:hAnsiTheme="majorHAnsi" w:cstheme="majorHAnsi"/>
          <w:sz w:val="24"/>
          <w:szCs w:val="24"/>
          <w:lang w:val="ro-MD"/>
        </w:rPr>
        <w:t xml:space="preserve"> de a participa la sistemul public, iar drepturile de asigurări sociale se exercită </w:t>
      </w:r>
      <w:r w:rsidRPr="00653E85">
        <w:rPr>
          <w:rFonts w:asciiTheme="majorHAnsi" w:hAnsiTheme="majorHAnsi" w:cstheme="majorHAnsi"/>
          <w:b/>
          <w:sz w:val="24"/>
          <w:szCs w:val="24"/>
          <w:lang w:val="ro-MD"/>
        </w:rPr>
        <w:t>corelativ</w:t>
      </w:r>
      <w:r w:rsidRPr="00653E85">
        <w:rPr>
          <w:rFonts w:asciiTheme="majorHAnsi" w:hAnsiTheme="majorHAnsi" w:cstheme="majorHAnsi"/>
          <w:sz w:val="24"/>
          <w:szCs w:val="24"/>
          <w:lang w:val="ro-MD"/>
        </w:rPr>
        <w:t xml:space="preserve"> îndeplinirii </w:t>
      </w:r>
      <w:r w:rsidR="00CA1DD1" w:rsidRPr="00653E85">
        <w:rPr>
          <w:rFonts w:asciiTheme="majorHAnsi" w:hAnsiTheme="majorHAnsi" w:cstheme="majorHAnsi"/>
          <w:sz w:val="24"/>
          <w:szCs w:val="24"/>
          <w:lang w:val="ro-MD"/>
        </w:rPr>
        <w:t>obligațiilor</w:t>
      </w:r>
      <w:r w:rsidRPr="00653E85">
        <w:rPr>
          <w:rFonts w:asciiTheme="majorHAnsi" w:hAnsiTheme="majorHAnsi" w:cstheme="majorHAnsi"/>
          <w:sz w:val="24"/>
          <w:szCs w:val="24"/>
          <w:vertAlign w:val="superscript"/>
          <w:lang w:val="ro-MD"/>
        </w:rPr>
        <w:footnoteReference w:id="26"/>
      </w:r>
      <w:r w:rsidRPr="00653E85">
        <w:rPr>
          <w:rFonts w:asciiTheme="majorHAnsi" w:hAnsiTheme="majorHAnsi" w:cstheme="majorHAnsi"/>
          <w:sz w:val="24"/>
          <w:szCs w:val="24"/>
          <w:lang w:val="ro-MD"/>
        </w:rPr>
        <w:t xml:space="preserve">. Acestea </w:t>
      </w:r>
      <w:r w:rsidR="003E1F5D" w:rsidRPr="00653E85">
        <w:rPr>
          <w:rFonts w:asciiTheme="majorHAnsi" w:hAnsiTheme="majorHAnsi" w:cstheme="majorHAnsi"/>
          <w:sz w:val="24"/>
          <w:szCs w:val="24"/>
          <w:lang w:val="ro-MD"/>
        </w:rPr>
        <w:t xml:space="preserve">sunt </w:t>
      </w:r>
      <w:r w:rsidRPr="00653E85">
        <w:rPr>
          <w:rFonts w:asciiTheme="majorHAnsi" w:hAnsiTheme="majorHAnsi" w:cstheme="majorHAnsi"/>
          <w:sz w:val="24"/>
          <w:szCs w:val="24"/>
          <w:lang w:val="ro-MD"/>
        </w:rPr>
        <w:t>principii fundamentale care stau la baza sistemului de asigurări sociale.</w:t>
      </w:r>
    </w:p>
    <w:p w14:paraId="5E3D01AE" w14:textId="48276386" w:rsidR="00883E08" w:rsidRPr="00653E85" w:rsidRDefault="00883E08" w:rsidP="001F0CB1">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Prin urmare, în condițiile în care cadrul legal este ambiguu, nu prevede evidența facilității acordate, nu există </w:t>
      </w:r>
      <w:r w:rsidR="00CA1DD1" w:rsidRPr="00653E85">
        <w:rPr>
          <w:rFonts w:asciiTheme="majorHAnsi" w:hAnsiTheme="majorHAnsi" w:cstheme="majorHAnsi"/>
          <w:sz w:val="24"/>
          <w:szCs w:val="24"/>
          <w:lang w:val="ro-MD"/>
        </w:rPr>
        <w:t>estimări</w:t>
      </w:r>
      <w:r w:rsidRPr="00653E85">
        <w:rPr>
          <w:rFonts w:asciiTheme="majorHAnsi" w:hAnsiTheme="majorHAnsi" w:cstheme="majorHAnsi"/>
          <w:sz w:val="24"/>
          <w:szCs w:val="24"/>
          <w:lang w:val="ro-MD"/>
        </w:rPr>
        <w:t xml:space="preserve"> ale impactului prevederii aplicate, precum și nu sunt acordate drepturi corelativ obligațiilor onorate, se conturează riscul </w:t>
      </w:r>
      <w:r w:rsidR="00CA1DD1" w:rsidRPr="00653E85">
        <w:rPr>
          <w:rFonts w:asciiTheme="majorHAnsi" w:hAnsiTheme="majorHAnsi" w:cstheme="majorHAnsi"/>
          <w:sz w:val="24"/>
          <w:szCs w:val="24"/>
          <w:lang w:val="ro-MD"/>
        </w:rPr>
        <w:t>susținerii</w:t>
      </w:r>
      <w:r w:rsidRPr="00653E85">
        <w:rPr>
          <w:rFonts w:asciiTheme="majorHAnsi" w:hAnsiTheme="majorHAnsi" w:cstheme="majorHAnsi"/>
          <w:sz w:val="24"/>
          <w:szCs w:val="24"/>
          <w:lang w:val="ro-MD"/>
        </w:rPr>
        <w:t xml:space="preserve"> BASS prin transferuri ascunse/indirecte de la bugetul de stat și bugetele unităților </w:t>
      </w:r>
      <w:r w:rsidR="00CA1DD1" w:rsidRPr="00653E85">
        <w:rPr>
          <w:rFonts w:asciiTheme="majorHAnsi" w:hAnsiTheme="majorHAnsi" w:cstheme="majorHAnsi"/>
          <w:sz w:val="24"/>
          <w:szCs w:val="24"/>
          <w:lang w:val="ro-MD"/>
        </w:rPr>
        <w:t>administrativ</w:t>
      </w:r>
      <w:r w:rsidR="003E1F5D"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teritoriale</w:t>
      </w:r>
      <w:r w:rsidR="003E1F5D"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care sunt estimate de audit la cca 9,2 miliarde lei.</w:t>
      </w:r>
    </w:p>
    <w:p w14:paraId="0BCA785A" w14:textId="2A21DDBB" w:rsidR="00FF3AE0" w:rsidRPr="00653E85" w:rsidRDefault="00FF3AE0" w:rsidP="00C238DE">
      <w:pPr>
        <w:pStyle w:val="aa"/>
        <w:numPr>
          <w:ilvl w:val="1"/>
          <w:numId w:val="2"/>
        </w:numPr>
        <w:spacing w:line="276" w:lineRule="auto"/>
        <w:ind w:left="0" w:firstLine="0"/>
        <w:jc w:val="both"/>
        <w:outlineLvl w:val="1"/>
        <w:rPr>
          <w:rFonts w:asciiTheme="majorHAnsi" w:hAnsiTheme="majorHAnsi" w:cstheme="majorHAnsi"/>
          <w:b/>
          <w:sz w:val="24"/>
          <w:szCs w:val="24"/>
          <w:lang w:val="ro-MD"/>
        </w:rPr>
      </w:pPr>
      <w:r w:rsidRPr="00653E85">
        <w:rPr>
          <w:rFonts w:asciiTheme="majorHAnsi" w:hAnsiTheme="majorHAnsi" w:cstheme="majorHAnsi"/>
          <w:b/>
          <w:sz w:val="24"/>
          <w:szCs w:val="24"/>
          <w:lang w:val="ro-MD"/>
        </w:rPr>
        <w:t>Creșterea constantă a numărului de beneficiari ai bugetului de asigurări sociale</w:t>
      </w:r>
      <w:r w:rsidR="00820F22" w:rsidRPr="00653E85">
        <w:rPr>
          <w:rFonts w:asciiTheme="majorHAnsi" w:hAnsiTheme="majorHAnsi" w:cstheme="majorHAnsi"/>
          <w:b/>
          <w:sz w:val="24"/>
          <w:szCs w:val="24"/>
          <w:lang w:val="ro-MD"/>
        </w:rPr>
        <w:t xml:space="preserve"> în raport</w:t>
      </w:r>
      <w:r w:rsidR="0079633B" w:rsidRPr="00653E85">
        <w:rPr>
          <w:rFonts w:asciiTheme="majorHAnsi" w:hAnsiTheme="majorHAnsi" w:cstheme="majorHAnsi"/>
          <w:b/>
          <w:sz w:val="24"/>
          <w:szCs w:val="24"/>
          <w:lang w:val="ro-MD"/>
        </w:rPr>
        <w:t xml:space="preserve"> cu numărul</w:t>
      </w:r>
      <w:r w:rsidR="00C238DE" w:rsidRPr="00653E85">
        <w:rPr>
          <w:rFonts w:asciiTheme="majorHAnsi" w:hAnsiTheme="majorHAnsi" w:cstheme="majorHAnsi"/>
          <w:b/>
          <w:sz w:val="24"/>
          <w:szCs w:val="24"/>
          <w:lang w:val="ro-MD"/>
        </w:rPr>
        <w:t xml:space="preserve"> </w:t>
      </w:r>
      <w:r w:rsidR="0079633B" w:rsidRPr="00653E85">
        <w:rPr>
          <w:rFonts w:asciiTheme="majorHAnsi" w:hAnsiTheme="majorHAnsi" w:cstheme="majorHAnsi"/>
          <w:b/>
          <w:sz w:val="24"/>
          <w:szCs w:val="24"/>
          <w:lang w:val="ro-MD"/>
        </w:rPr>
        <w:t>de contribuabili</w:t>
      </w:r>
      <w:r w:rsidR="003E1F5D" w:rsidRPr="00653E85">
        <w:rPr>
          <w:rFonts w:asciiTheme="majorHAnsi" w:hAnsiTheme="majorHAnsi" w:cstheme="majorHAnsi"/>
          <w:b/>
          <w:sz w:val="24"/>
          <w:szCs w:val="24"/>
          <w:lang w:val="ro-MD"/>
        </w:rPr>
        <w:t>,</w:t>
      </w:r>
      <w:r w:rsidRPr="00653E85">
        <w:rPr>
          <w:rFonts w:asciiTheme="majorHAnsi" w:hAnsiTheme="majorHAnsi" w:cstheme="majorHAnsi"/>
          <w:b/>
          <w:sz w:val="24"/>
          <w:szCs w:val="24"/>
          <w:lang w:val="ro-MD"/>
        </w:rPr>
        <w:t xml:space="preserve"> </w:t>
      </w:r>
      <w:r w:rsidR="0079633B" w:rsidRPr="00653E85">
        <w:rPr>
          <w:rFonts w:asciiTheme="majorHAnsi" w:hAnsiTheme="majorHAnsi" w:cstheme="majorHAnsi"/>
          <w:b/>
          <w:sz w:val="24"/>
          <w:szCs w:val="24"/>
          <w:lang w:val="ro-MD"/>
        </w:rPr>
        <w:t>duce la creșterea presiunii asupra acestui buget</w:t>
      </w:r>
      <w:r w:rsidR="003E1F5D" w:rsidRPr="00653E85">
        <w:rPr>
          <w:rFonts w:asciiTheme="majorHAnsi" w:hAnsiTheme="majorHAnsi" w:cstheme="majorHAnsi"/>
          <w:b/>
          <w:sz w:val="24"/>
          <w:szCs w:val="24"/>
          <w:lang w:val="ro-MD"/>
        </w:rPr>
        <w:t>.</w:t>
      </w:r>
    </w:p>
    <w:p w14:paraId="1A0DBFC1" w14:textId="7217A246" w:rsidR="00FF3AE0" w:rsidRPr="00653E85" w:rsidRDefault="009B0B3C" w:rsidP="00B73F86">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Numărul contribuabililor </w:t>
      </w:r>
      <w:r w:rsidR="00B73F86" w:rsidRPr="00653E85">
        <w:rPr>
          <w:rFonts w:asciiTheme="majorHAnsi" w:hAnsiTheme="majorHAnsi" w:cstheme="majorHAnsi"/>
          <w:sz w:val="24"/>
          <w:szCs w:val="24"/>
          <w:lang w:val="ro-MD"/>
        </w:rPr>
        <w:t>din</w:t>
      </w:r>
      <w:r w:rsidRPr="00653E85">
        <w:rPr>
          <w:rFonts w:asciiTheme="majorHAnsi" w:hAnsiTheme="majorHAnsi" w:cstheme="majorHAnsi"/>
          <w:sz w:val="24"/>
          <w:szCs w:val="24"/>
          <w:lang w:val="ro-MD"/>
        </w:rPr>
        <w:t xml:space="preserve"> sistemul unic de calculare a contribuțiilor</w:t>
      </w:r>
      <w:r w:rsidR="00C238DE" w:rsidRPr="00653E85">
        <w:rPr>
          <w:rFonts w:asciiTheme="majorHAnsi" w:hAnsiTheme="majorHAnsi" w:cstheme="majorHAnsi"/>
          <w:sz w:val="24"/>
          <w:szCs w:val="24"/>
          <w:lang w:val="ro-MD"/>
        </w:rPr>
        <w:t xml:space="preserve"> în anul 2022</w:t>
      </w:r>
      <w:r w:rsidRPr="00653E85">
        <w:rPr>
          <w:rFonts w:asciiTheme="majorHAnsi" w:hAnsiTheme="majorHAnsi" w:cstheme="majorHAnsi"/>
          <w:sz w:val="24"/>
          <w:szCs w:val="24"/>
          <w:lang w:val="ro-MD"/>
        </w:rPr>
        <w:t xml:space="preserve"> a constituit 734</w:t>
      </w:r>
      <w:r w:rsidR="001C5AAB"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467</w:t>
      </w:r>
      <w:r w:rsidR="00C238DE" w:rsidRPr="00653E85">
        <w:rPr>
          <w:rFonts w:asciiTheme="majorHAnsi" w:hAnsiTheme="majorHAnsi" w:cstheme="majorHAnsi"/>
          <w:sz w:val="24"/>
          <w:szCs w:val="24"/>
          <w:lang w:val="ro-MD"/>
        </w:rPr>
        <w:t xml:space="preserve"> </w:t>
      </w:r>
      <w:r w:rsidR="003E1F5D" w:rsidRPr="00653E85">
        <w:rPr>
          <w:rFonts w:asciiTheme="majorHAnsi" w:hAnsiTheme="majorHAnsi" w:cstheme="majorHAnsi"/>
          <w:sz w:val="24"/>
          <w:szCs w:val="24"/>
          <w:lang w:val="ro-MD"/>
        </w:rPr>
        <w:t xml:space="preserve">de </w:t>
      </w:r>
      <w:r w:rsidR="00C238DE" w:rsidRPr="00653E85">
        <w:rPr>
          <w:rFonts w:asciiTheme="majorHAnsi" w:hAnsiTheme="majorHAnsi" w:cstheme="majorHAnsi"/>
          <w:sz w:val="24"/>
          <w:szCs w:val="24"/>
          <w:lang w:val="ro-MD"/>
        </w:rPr>
        <w:t>persoane</w:t>
      </w:r>
      <w:r w:rsidRPr="00653E85">
        <w:rPr>
          <w:rStyle w:val="a5"/>
          <w:rFonts w:asciiTheme="majorHAnsi" w:hAnsiTheme="majorHAnsi" w:cstheme="majorHAnsi"/>
          <w:sz w:val="24"/>
          <w:szCs w:val="24"/>
          <w:lang w:val="ro-MD"/>
        </w:rPr>
        <w:footnoteReference w:id="27"/>
      </w:r>
      <w:r w:rsidR="00C238DE" w:rsidRPr="00653E85">
        <w:rPr>
          <w:rFonts w:asciiTheme="majorHAnsi" w:hAnsiTheme="majorHAnsi" w:cstheme="majorHAnsi"/>
          <w:sz w:val="24"/>
          <w:szCs w:val="24"/>
          <w:lang w:val="ro-MD"/>
        </w:rPr>
        <w:t>,</w:t>
      </w:r>
      <w:r w:rsidR="00B73F86" w:rsidRPr="00653E85">
        <w:rPr>
          <w:rFonts w:asciiTheme="majorHAnsi" w:hAnsiTheme="majorHAnsi" w:cstheme="majorHAnsi"/>
          <w:sz w:val="24"/>
          <w:szCs w:val="24"/>
          <w:lang w:val="ro-MD"/>
        </w:rPr>
        <w:t xml:space="preserve"> inclusiv 181</w:t>
      </w:r>
      <w:r w:rsidR="001C5AAB" w:rsidRPr="00653E85">
        <w:rPr>
          <w:rFonts w:asciiTheme="majorHAnsi" w:hAnsiTheme="majorHAnsi" w:cstheme="majorHAnsi"/>
          <w:sz w:val="24"/>
          <w:szCs w:val="24"/>
          <w:lang w:val="ro-MD"/>
        </w:rPr>
        <w:t xml:space="preserve"> </w:t>
      </w:r>
      <w:r w:rsidR="00B73F86" w:rsidRPr="00653E85">
        <w:rPr>
          <w:rFonts w:asciiTheme="majorHAnsi" w:hAnsiTheme="majorHAnsi" w:cstheme="majorHAnsi"/>
          <w:sz w:val="24"/>
          <w:szCs w:val="24"/>
          <w:lang w:val="ro-MD"/>
        </w:rPr>
        <w:t xml:space="preserve">845 </w:t>
      </w:r>
      <w:r w:rsidR="003E1F5D" w:rsidRPr="00653E85">
        <w:rPr>
          <w:rFonts w:asciiTheme="majorHAnsi" w:hAnsiTheme="majorHAnsi" w:cstheme="majorHAnsi"/>
          <w:sz w:val="24"/>
          <w:szCs w:val="24"/>
          <w:lang w:val="ro-MD"/>
        </w:rPr>
        <w:t xml:space="preserve">de </w:t>
      </w:r>
      <w:r w:rsidR="00B73F86" w:rsidRPr="00653E85">
        <w:rPr>
          <w:rFonts w:asciiTheme="majorHAnsi" w:hAnsiTheme="majorHAnsi" w:cstheme="majorHAnsi"/>
          <w:sz w:val="24"/>
          <w:szCs w:val="24"/>
          <w:lang w:val="ro-MD"/>
        </w:rPr>
        <w:t>salariați</w:t>
      </w:r>
      <w:r w:rsidR="00C238DE" w:rsidRPr="00653E85">
        <w:rPr>
          <w:rFonts w:asciiTheme="majorHAnsi" w:hAnsiTheme="majorHAnsi" w:cstheme="majorHAnsi"/>
          <w:sz w:val="24"/>
          <w:szCs w:val="24"/>
          <w:lang w:val="ro-MD"/>
        </w:rPr>
        <w:t xml:space="preserve"> </w:t>
      </w:r>
      <w:r w:rsidR="00B73F86" w:rsidRPr="00653E85">
        <w:rPr>
          <w:rFonts w:asciiTheme="majorHAnsi" w:hAnsiTheme="majorHAnsi" w:cstheme="majorHAnsi"/>
          <w:sz w:val="24"/>
          <w:szCs w:val="24"/>
          <w:lang w:val="ro-MD"/>
        </w:rPr>
        <w:t>din sectorul bugetar și cu excepția instituțiilor de învățământ superior și a instituțiilor medico-sanitare</w:t>
      </w:r>
      <w:r w:rsidR="003E1F5D" w:rsidRPr="00653E85">
        <w:rPr>
          <w:rFonts w:asciiTheme="majorHAnsi" w:hAnsiTheme="majorHAnsi" w:cstheme="majorHAnsi"/>
          <w:sz w:val="24"/>
          <w:szCs w:val="24"/>
          <w:lang w:val="ro-MD"/>
        </w:rPr>
        <w:t>,</w:t>
      </w:r>
      <w:r w:rsidR="00B73F86" w:rsidRPr="00653E85">
        <w:rPr>
          <w:rFonts w:asciiTheme="majorHAnsi" w:hAnsiTheme="majorHAnsi" w:cstheme="majorHAnsi"/>
          <w:sz w:val="24"/>
          <w:szCs w:val="24"/>
          <w:lang w:val="ro-MD"/>
        </w:rPr>
        <w:t xml:space="preserve"> și 552</w:t>
      </w:r>
      <w:r w:rsidR="001C5AAB" w:rsidRPr="00653E85">
        <w:rPr>
          <w:rFonts w:asciiTheme="majorHAnsi" w:hAnsiTheme="majorHAnsi" w:cstheme="majorHAnsi"/>
          <w:sz w:val="24"/>
          <w:szCs w:val="24"/>
          <w:lang w:val="ro-MD"/>
        </w:rPr>
        <w:t xml:space="preserve"> </w:t>
      </w:r>
      <w:r w:rsidR="00B73F86" w:rsidRPr="00653E85">
        <w:rPr>
          <w:rFonts w:asciiTheme="majorHAnsi" w:hAnsiTheme="majorHAnsi" w:cstheme="majorHAnsi"/>
          <w:sz w:val="24"/>
          <w:szCs w:val="24"/>
          <w:lang w:val="ro-MD"/>
        </w:rPr>
        <w:t xml:space="preserve">622 </w:t>
      </w:r>
      <w:r w:rsidR="003E1F5D" w:rsidRPr="00653E85">
        <w:rPr>
          <w:rFonts w:asciiTheme="majorHAnsi" w:hAnsiTheme="majorHAnsi" w:cstheme="majorHAnsi"/>
          <w:sz w:val="24"/>
          <w:szCs w:val="24"/>
          <w:lang w:val="ro-MD"/>
        </w:rPr>
        <w:t xml:space="preserve">de </w:t>
      </w:r>
      <w:r w:rsidR="00B73F86" w:rsidRPr="00653E85">
        <w:rPr>
          <w:rFonts w:asciiTheme="majorHAnsi" w:hAnsiTheme="majorHAnsi" w:cstheme="majorHAnsi"/>
          <w:sz w:val="24"/>
          <w:szCs w:val="24"/>
          <w:lang w:val="ro-MD"/>
        </w:rPr>
        <w:t>salariați din cadrul sectorului privat, instituțiilor de învățământ superior și ai instituțiilor medico-sanitare. T</w:t>
      </w:r>
      <w:r w:rsidR="00C238DE" w:rsidRPr="00653E85">
        <w:rPr>
          <w:rFonts w:asciiTheme="majorHAnsi" w:hAnsiTheme="majorHAnsi" w:cstheme="majorHAnsi"/>
          <w:sz w:val="24"/>
          <w:szCs w:val="24"/>
          <w:lang w:val="ro-MD"/>
        </w:rPr>
        <w:t>otodată</w:t>
      </w:r>
      <w:r w:rsidR="00B73F86" w:rsidRPr="00653E85">
        <w:rPr>
          <w:rFonts w:asciiTheme="majorHAnsi" w:hAnsiTheme="majorHAnsi" w:cstheme="majorHAnsi"/>
          <w:sz w:val="24"/>
          <w:szCs w:val="24"/>
          <w:lang w:val="ro-MD"/>
        </w:rPr>
        <w:t>,</w:t>
      </w:r>
      <w:r w:rsidR="00C238DE" w:rsidRPr="00653E85">
        <w:rPr>
          <w:rFonts w:asciiTheme="majorHAnsi" w:hAnsiTheme="majorHAnsi" w:cstheme="majorHAnsi"/>
          <w:sz w:val="24"/>
          <w:szCs w:val="24"/>
          <w:lang w:val="ro-MD"/>
        </w:rPr>
        <w:t xml:space="preserve"> numărul total de contribuabili, inclusiv cei care beneficiază de politici preferențiale, a constituit </w:t>
      </w:r>
      <w:r w:rsidR="0079633B" w:rsidRPr="00653E85">
        <w:rPr>
          <w:rFonts w:asciiTheme="majorHAnsi" w:hAnsiTheme="majorHAnsi" w:cstheme="majorHAnsi"/>
          <w:sz w:val="24"/>
          <w:szCs w:val="24"/>
          <w:lang w:val="ro-MD"/>
        </w:rPr>
        <w:t>804</w:t>
      </w:r>
      <w:r w:rsidR="001C5AAB" w:rsidRPr="00653E85">
        <w:rPr>
          <w:rFonts w:asciiTheme="majorHAnsi" w:hAnsiTheme="majorHAnsi" w:cstheme="majorHAnsi"/>
          <w:sz w:val="24"/>
          <w:szCs w:val="24"/>
          <w:lang w:val="ro-MD"/>
        </w:rPr>
        <w:t xml:space="preserve"> </w:t>
      </w:r>
      <w:r w:rsidR="0079633B" w:rsidRPr="00653E85">
        <w:rPr>
          <w:rFonts w:asciiTheme="majorHAnsi" w:hAnsiTheme="majorHAnsi" w:cstheme="majorHAnsi"/>
          <w:sz w:val="24"/>
          <w:szCs w:val="24"/>
          <w:lang w:val="ro-MD"/>
        </w:rPr>
        <w:t>420</w:t>
      </w:r>
      <w:r w:rsidR="00C238DE" w:rsidRPr="00653E85">
        <w:rPr>
          <w:rFonts w:asciiTheme="majorHAnsi" w:hAnsiTheme="majorHAnsi" w:cstheme="majorHAnsi"/>
          <w:sz w:val="24"/>
          <w:szCs w:val="24"/>
          <w:lang w:val="ro-MD"/>
        </w:rPr>
        <w:t xml:space="preserve"> </w:t>
      </w:r>
      <w:r w:rsidR="003E1F5D" w:rsidRPr="00653E85">
        <w:rPr>
          <w:rFonts w:asciiTheme="majorHAnsi" w:hAnsiTheme="majorHAnsi" w:cstheme="majorHAnsi"/>
          <w:sz w:val="24"/>
          <w:szCs w:val="24"/>
          <w:lang w:val="ro-MD"/>
        </w:rPr>
        <w:t xml:space="preserve">de </w:t>
      </w:r>
      <w:r w:rsidR="00C238DE" w:rsidRPr="00653E85">
        <w:rPr>
          <w:rFonts w:asciiTheme="majorHAnsi" w:hAnsiTheme="majorHAnsi" w:cstheme="majorHAnsi"/>
          <w:sz w:val="24"/>
          <w:szCs w:val="24"/>
          <w:lang w:val="ro-MD"/>
        </w:rPr>
        <w:t>persoane</w:t>
      </w:r>
      <w:r w:rsidR="001C5AAB" w:rsidRPr="00653E85">
        <w:rPr>
          <w:rFonts w:asciiTheme="majorHAnsi" w:hAnsiTheme="majorHAnsi" w:cstheme="majorHAnsi"/>
          <w:sz w:val="24"/>
          <w:szCs w:val="24"/>
          <w:lang w:val="ro-MD"/>
        </w:rPr>
        <w:t xml:space="preserve"> (Anexa nr.3</w:t>
      </w:r>
      <w:r w:rsidR="003E1F5D" w:rsidRPr="00653E85">
        <w:rPr>
          <w:rFonts w:asciiTheme="majorHAnsi" w:hAnsiTheme="majorHAnsi" w:cstheme="majorHAnsi"/>
          <w:sz w:val="24"/>
          <w:szCs w:val="24"/>
          <w:lang w:val="ro-MD"/>
        </w:rPr>
        <w:t xml:space="preserve"> la prezentul Raport de audit</w:t>
      </w:r>
      <w:r w:rsidR="0013227E" w:rsidRPr="00653E85">
        <w:rPr>
          <w:rFonts w:asciiTheme="majorHAnsi" w:hAnsiTheme="majorHAnsi" w:cstheme="majorHAnsi"/>
          <w:sz w:val="24"/>
          <w:szCs w:val="24"/>
          <w:lang w:val="ro-MD"/>
        </w:rPr>
        <w:t>)</w:t>
      </w:r>
      <w:r w:rsidR="00C238DE" w:rsidRPr="00653E85">
        <w:rPr>
          <w:rFonts w:asciiTheme="majorHAnsi" w:hAnsiTheme="majorHAnsi" w:cstheme="majorHAnsi"/>
          <w:sz w:val="24"/>
          <w:szCs w:val="24"/>
          <w:lang w:val="ro-MD"/>
        </w:rPr>
        <w:t xml:space="preserve">. </w:t>
      </w:r>
      <w:r w:rsidR="00A73FD1" w:rsidRPr="00653E85">
        <w:rPr>
          <w:rFonts w:asciiTheme="majorHAnsi" w:hAnsiTheme="majorHAnsi" w:cstheme="majorHAnsi"/>
          <w:sz w:val="24"/>
          <w:szCs w:val="24"/>
          <w:lang w:val="ro-MD"/>
        </w:rPr>
        <w:t xml:space="preserve">Astfel, în economia țării sunt aproximativ 25% </w:t>
      </w:r>
      <w:r w:rsidR="0068249D" w:rsidRPr="00653E85">
        <w:rPr>
          <w:rFonts w:asciiTheme="majorHAnsi" w:hAnsiTheme="majorHAnsi" w:cstheme="majorHAnsi"/>
          <w:sz w:val="24"/>
          <w:szCs w:val="24"/>
          <w:lang w:val="ro-MD"/>
        </w:rPr>
        <w:t xml:space="preserve">de </w:t>
      </w:r>
      <w:r w:rsidR="00A73FD1" w:rsidRPr="00653E85">
        <w:rPr>
          <w:rFonts w:asciiTheme="majorHAnsi" w:hAnsiTheme="majorHAnsi" w:cstheme="majorHAnsi"/>
          <w:sz w:val="24"/>
          <w:szCs w:val="24"/>
          <w:lang w:val="ro-MD"/>
        </w:rPr>
        <w:t>lucrători în sectorul bugetar și 75% în sectorul real.</w:t>
      </w:r>
    </w:p>
    <w:p w14:paraId="1957273E" w14:textId="529AA816" w:rsidR="00A73FD1" w:rsidRPr="00653E85" w:rsidRDefault="00F608BE" w:rsidP="00A73FD1">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 același timp, numărul beneficiarilor de prestații sociale</w:t>
      </w:r>
      <w:r w:rsidR="00B73F86" w:rsidRPr="00653E85">
        <w:rPr>
          <w:rFonts w:asciiTheme="majorHAnsi" w:hAnsiTheme="majorHAnsi" w:cstheme="majorHAnsi"/>
          <w:sz w:val="24"/>
          <w:szCs w:val="24"/>
          <w:lang w:val="ro-MD"/>
        </w:rPr>
        <w:t xml:space="preserve"> la finele anului 2022</w:t>
      </w:r>
      <w:r w:rsidRPr="00653E85">
        <w:rPr>
          <w:rFonts w:asciiTheme="majorHAnsi" w:hAnsiTheme="majorHAnsi" w:cstheme="majorHAnsi"/>
          <w:sz w:val="24"/>
          <w:szCs w:val="24"/>
          <w:lang w:val="ro-MD"/>
        </w:rPr>
        <w:t xml:space="preserve"> a constituit 2 310 026 </w:t>
      </w:r>
      <w:r w:rsidR="00B62DE4"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persoane</w:t>
      </w:r>
      <w:r w:rsidR="00B73F86" w:rsidRPr="00653E85">
        <w:rPr>
          <w:rFonts w:asciiTheme="majorHAnsi" w:hAnsiTheme="majorHAnsi" w:cstheme="majorHAnsi"/>
          <w:sz w:val="24"/>
          <w:szCs w:val="24"/>
          <w:lang w:val="ro-MD"/>
        </w:rPr>
        <w:t xml:space="preserve"> care au beneficiat de cel puțin o prestație pe parcursul anului</w:t>
      </w:r>
      <w:r w:rsidRPr="00653E85">
        <w:rPr>
          <w:rFonts w:asciiTheme="majorHAnsi" w:hAnsiTheme="majorHAnsi" w:cstheme="majorHAnsi"/>
          <w:sz w:val="24"/>
          <w:szCs w:val="24"/>
          <w:lang w:val="ro-MD"/>
        </w:rPr>
        <w:t>.</w:t>
      </w:r>
      <w:r w:rsidR="00B73F86" w:rsidRPr="00653E85">
        <w:rPr>
          <w:rFonts w:asciiTheme="majorHAnsi" w:hAnsiTheme="majorHAnsi" w:cstheme="majorHAnsi"/>
          <w:sz w:val="24"/>
          <w:szCs w:val="24"/>
          <w:lang w:val="ro-MD"/>
        </w:rPr>
        <w:t xml:space="preserve"> Cât ține de  pensionari</w:t>
      </w:r>
      <w:r w:rsidR="00B62DE4" w:rsidRPr="00653E85">
        <w:rPr>
          <w:rFonts w:asciiTheme="majorHAnsi" w:hAnsiTheme="majorHAnsi" w:cstheme="majorHAnsi"/>
          <w:sz w:val="24"/>
          <w:szCs w:val="24"/>
          <w:lang w:val="ro-MD"/>
        </w:rPr>
        <w:t>,</w:t>
      </w:r>
      <w:r w:rsidR="00B73F86" w:rsidRPr="00653E85">
        <w:rPr>
          <w:rFonts w:asciiTheme="majorHAnsi" w:hAnsiTheme="majorHAnsi" w:cstheme="majorHAnsi"/>
          <w:sz w:val="24"/>
          <w:szCs w:val="24"/>
          <w:lang w:val="ro-MD"/>
        </w:rPr>
        <w:t xml:space="preserve"> se denotă că ace</w:t>
      </w:r>
      <w:r w:rsidR="00B62DE4" w:rsidRPr="00653E85">
        <w:rPr>
          <w:rFonts w:asciiTheme="majorHAnsi" w:hAnsiTheme="majorHAnsi" w:cstheme="majorHAnsi"/>
          <w:sz w:val="24"/>
          <w:szCs w:val="24"/>
          <w:lang w:val="ro-MD"/>
        </w:rPr>
        <w:t>știa</w:t>
      </w:r>
      <w:r w:rsidR="00B73F86" w:rsidRPr="00653E85">
        <w:rPr>
          <w:rFonts w:asciiTheme="majorHAnsi" w:hAnsiTheme="majorHAnsi" w:cstheme="majorHAnsi"/>
          <w:sz w:val="24"/>
          <w:szCs w:val="24"/>
          <w:lang w:val="ro-MD"/>
        </w:rPr>
        <w:t xml:space="preserve"> </w:t>
      </w:r>
      <w:r w:rsidR="00820F22" w:rsidRPr="00653E85">
        <w:rPr>
          <w:rFonts w:asciiTheme="majorHAnsi" w:hAnsiTheme="majorHAnsi" w:cstheme="majorHAnsi"/>
          <w:sz w:val="24"/>
          <w:szCs w:val="24"/>
          <w:lang w:val="ro-MD"/>
        </w:rPr>
        <w:t>au fost în număr de</w:t>
      </w:r>
      <w:r w:rsidR="00B73F86" w:rsidRPr="00653E85">
        <w:rPr>
          <w:rFonts w:asciiTheme="majorHAnsi" w:hAnsiTheme="majorHAnsi" w:cstheme="majorHAnsi"/>
          <w:sz w:val="24"/>
          <w:szCs w:val="24"/>
          <w:lang w:val="ro-MD"/>
        </w:rPr>
        <w:t xml:space="preserve"> 675</w:t>
      </w:r>
      <w:r w:rsidR="001C5AAB" w:rsidRPr="00653E85">
        <w:rPr>
          <w:rFonts w:asciiTheme="majorHAnsi" w:hAnsiTheme="majorHAnsi" w:cstheme="majorHAnsi"/>
          <w:sz w:val="24"/>
          <w:szCs w:val="24"/>
          <w:lang w:val="ro-MD"/>
        </w:rPr>
        <w:t xml:space="preserve"> </w:t>
      </w:r>
      <w:r w:rsidR="00B73F86" w:rsidRPr="00653E85">
        <w:rPr>
          <w:rFonts w:asciiTheme="majorHAnsi" w:hAnsiTheme="majorHAnsi" w:cstheme="majorHAnsi"/>
          <w:sz w:val="24"/>
          <w:szCs w:val="24"/>
          <w:lang w:val="ro-MD"/>
        </w:rPr>
        <w:t xml:space="preserve">674 </w:t>
      </w:r>
      <w:r w:rsidR="00B62DE4" w:rsidRPr="00653E85">
        <w:rPr>
          <w:rFonts w:asciiTheme="majorHAnsi" w:hAnsiTheme="majorHAnsi" w:cstheme="majorHAnsi"/>
          <w:sz w:val="24"/>
          <w:szCs w:val="24"/>
          <w:lang w:val="ro-MD"/>
        </w:rPr>
        <w:t xml:space="preserve">de </w:t>
      </w:r>
      <w:r w:rsidR="00B73F86" w:rsidRPr="00653E85">
        <w:rPr>
          <w:rFonts w:asciiTheme="majorHAnsi" w:hAnsiTheme="majorHAnsi" w:cstheme="majorHAnsi"/>
          <w:sz w:val="24"/>
          <w:szCs w:val="24"/>
          <w:lang w:val="ro-MD"/>
        </w:rPr>
        <w:t>persoane</w:t>
      </w:r>
      <w:r w:rsidR="00B62DE4" w:rsidRPr="00653E85">
        <w:rPr>
          <w:rFonts w:asciiTheme="majorHAnsi" w:hAnsiTheme="majorHAnsi" w:cstheme="majorHAnsi"/>
          <w:sz w:val="24"/>
          <w:szCs w:val="24"/>
          <w:lang w:val="ro-MD"/>
        </w:rPr>
        <w:t>,</w:t>
      </w:r>
      <w:r w:rsidR="00B73F86" w:rsidRPr="00653E85">
        <w:rPr>
          <w:rFonts w:asciiTheme="majorHAnsi" w:hAnsiTheme="majorHAnsi" w:cstheme="majorHAnsi"/>
          <w:sz w:val="24"/>
          <w:szCs w:val="24"/>
          <w:lang w:val="ro-MD"/>
        </w:rPr>
        <w:t xml:space="preserve"> dintre care 526</w:t>
      </w:r>
      <w:r w:rsidR="001C5AAB" w:rsidRPr="00653E85">
        <w:rPr>
          <w:rFonts w:asciiTheme="majorHAnsi" w:hAnsiTheme="majorHAnsi" w:cstheme="majorHAnsi"/>
          <w:sz w:val="24"/>
          <w:szCs w:val="24"/>
          <w:lang w:val="ro-MD"/>
        </w:rPr>
        <w:t xml:space="preserve"> </w:t>
      </w:r>
      <w:r w:rsidR="00B73F86" w:rsidRPr="00653E85">
        <w:rPr>
          <w:rFonts w:asciiTheme="majorHAnsi" w:hAnsiTheme="majorHAnsi" w:cstheme="majorHAnsi"/>
          <w:sz w:val="24"/>
          <w:szCs w:val="24"/>
          <w:lang w:val="ro-MD"/>
        </w:rPr>
        <w:t>017 sunt beneficiari ai pensiei pentru li</w:t>
      </w:r>
      <w:r w:rsidR="001C5AAB" w:rsidRPr="00653E85">
        <w:rPr>
          <w:rFonts w:asciiTheme="majorHAnsi" w:hAnsiTheme="majorHAnsi" w:cstheme="majorHAnsi"/>
          <w:sz w:val="24"/>
          <w:szCs w:val="24"/>
          <w:lang w:val="ro-MD"/>
        </w:rPr>
        <w:t>mită de vârstă (Anexa nr.2</w:t>
      </w:r>
      <w:r w:rsidR="00B62DE4" w:rsidRPr="00653E85">
        <w:rPr>
          <w:rFonts w:asciiTheme="majorHAnsi" w:hAnsiTheme="majorHAnsi" w:cstheme="majorHAnsi"/>
          <w:sz w:val="24"/>
          <w:szCs w:val="24"/>
          <w:lang w:val="ro-MD"/>
        </w:rPr>
        <w:t xml:space="preserve"> la prezentul Raport de audit</w:t>
      </w:r>
      <w:r w:rsidR="00B73F86" w:rsidRPr="00653E85">
        <w:rPr>
          <w:rFonts w:asciiTheme="majorHAnsi" w:hAnsiTheme="majorHAnsi" w:cstheme="majorHAnsi"/>
          <w:sz w:val="24"/>
          <w:szCs w:val="24"/>
          <w:lang w:val="ro-MD"/>
        </w:rPr>
        <w:t>).</w:t>
      </w:r>
      <w:r w:rsidR="00A73FD1" w:rsidRPr="00653E85">
        <w:rPr>
          <w:rFonts w:asciiTheme="majorHAnsi" w:hAnsiTheme="majorHAnsi" w:cstheme="majorHAnsi"/>
          <w:sz w:val="24"/>
          <w:szCs w:val="24"/>
          <w:lang w:val="ro-MD"/>
        </w:rPr>
        <w:t xml:space="preserve"> </w:t>
      </w:r>
    </w:p>
    <w:p w14:paraId="4D1C50E9" w14:textId="272AD787" w:rsidR="00790AFF" w:rsidRPr="00653E85" w:rsidRDefault="00B73F86" w:rsidP="00A73FD1">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Aspectul demografic pune o presiune enormă pe sistemul de pensionare al Republicii Moldova</w:t>
      </w:r>
      <w:r w:rsidR="00A73FD1" w:rsidRPr="00653E85">
        <w:rPr>
          <w:rFonts w:asciiTheme="majorHAnsi" w:hAnsiTheme="majorHAnsi" w:cstheme="majorHAnsi"/>
          <w:sz w:val="24"/>
          <w:szCs w:val="24"/>
          <w:lang w:val="ro-MD"/>
        </w:rPr>
        <w:t>, reieșind din faptu</w:t>
      </w:r>
      <w:r w:rsidR="00D7316E" w:rsidRPr="00653E85">
        <w:rPr>
          <w:rFonts w:asciiTheme="majorHAnsi" w:hAnsiTheme="majorHAnsi" w:cstheme="majorHAnsi"/>
          <w:sz w:val="24"/>
          <w:szCs w:val="24"/>
          <w:lang w:val="ro-MD"/>
        </w:rPr>
        <w:t>l</w:t>
      </w:r>
      <w:r w:rsidR="00A73FD1" w:rsidRPr="00653E85">
        <w:rPr>
          <w:rFonts w:asciiTheme="majorHAnsi" w:hAnsiTheme="majorHAnsi" w:cstheme="majorHAnsi"/>
          <w:sz w:val="24"/>
          <w:szCs w:val="24"/>
          <w:lang w:val="ro-MD"/>
        </w:rPr>
        <w:t xml:space="preserve"> că sistemul de asigurări sociale se bazează pe principiul solidarității </w:t>
      </w:r>
      <w:r w:rsidR="00D7316E" w:rsidRPr="00653E85">
        <w:rPr>
          <w:rFonts w:asciiTheme="majorHAnsi" w:hAnsiTheme="majorHAnsi" w:cstheme="majorHAnsi"/>
          <w:sz w:val="24"/>
          <w:szCs w:val="24"/>
          <w:lang w:val="ro-MD"/>
        </w:rPr>
        <w:t>inter şi intrageneraţii</w:t>
      </w:r>
      <w:r w:rsidRPr="00653E85">
        <w:rPr>
          <w:rFonts w:asciiTheme="majorHAnsi" w:hAnsiTheme="majorHAnsi" w:cstheme="majorHAnsi"/>
          <w:sz w:val="24"/>
          <w:szCs w:val="24"/>
          <w:lang w:val="ro-MD"/>
        </w:rPr>
        <w:t>. Rata de îmbătrânire în</w:t>
      </w:r>
      <w:r w:rsidR="00790AFF" w:rsidRPr="00653E85">
        <w:rPr>
          <w:rFonts w:asciiTheme="majorHAnsi" w:hAnsiTheme="majorHAnsi" w:cstheme="majorHAnsi"/>
          <w:sz w:val="24"/>
          <w:szCs w:val="24"/>
          <w:lang w:val="ro-MD"/>
        </w:rPr>
        <w:t xml:space="preserve"> 201</w:t>
      </w:r>
      <w:r w:rsidRPr="00653E85">
        <w:rPr>
          <w:rFonts w:asciiTheme="majorHAnsi" w:hAnsiTheme="majorHAnsi" w:cstheme="majorHAnsi"/>
          <w:sz w:val="24"/>
          <w:szCs w:val="24"/>
          <w:lang w:val="ro-MD"/>
        </w:rPr>
        <w:t>5</w:t>
      </w:r>
      <w:r w:rsidR="00790AFF" w:rsidRPr="00653E85">
        <w:rPr>
          <w:rFonts w:asciiTheme="majorHAnsi" w:hAnsiTheme="majorHAnsi" w:cstheme="majorHAnsi"/>
          <w:sz w:val="24"/>
          <w:szCs w:val="24"/>
          <w:lang w:val="ro-MD"/>
        </w:rPr>
        <w:t xml:space="preserve"> a </w:t>
      </w:r>
      <w:r w:rsidRPr="00653E85">
        <w:rPr>
          <w:rFonts w:asciiTheme="majorHAnsi" w:hAnsiTheme="majorHAnsi" w:cstheme="majorHAnsi"/>
          <w:sz w:val="24"/>
          <w:szCs w:val="24"/>
          <w:lang w:val="ro-MD"/>
        </w:rPr>
        <w:t>fost de</w:t>
      </w:r>
      <w:r w:rsidR="00790AFF" w:rsidRPr="00653E85">
        <w:rPr>
          <w:rFonts w:asciiTheme="majorHAnsi" w:hAnsiTheme="majorHAnsi" w:cstheme="majorHAnsi"/>
          <w:sz w:val="24"/>
          <w:szCs w:val="24"/>
          <w:lang w:val="ro-MD"/>
        </w:rPr>
        <w:t xml:space="preserve"> 18,1%, în 2020 –</w:t>
      </w:r>
      <w:r w:rsidRPr="00653E85">
        <w:rPr>
          <w:rFonts w:asciiTheme="majorHAnsi" w:hAnsiTheme="majorHAnsi" w:cstheme="majorHAnsi"/>
          <w:sz w:val="24"/>
          <w:szCs w:val="24"/>
          <w:lang w:val="ro-MD"/>
        </w:rPr>
        <w:t xml:space="preserve"> </w:t>
      </w:r>
      <w:r w:rsidR="00B62DE4" w:rsidRPr="00653E85">
        <w:rPr>
          <w:rFonts w:asciiTheme="majorHAnsi" w:hAnsiTheme="majorHAnsi" w:cstheme="majorHAnsi"/>
          <w:sz w:val="24"/>
          <w:szCs w:val="24"/>
          <w:lang w:val="ro-MD"/>
        </w:rPr>
        <w:t xml:space="preserve">de </w:t>
      </w:r>
      <w:r w:rsidR="00790AFF" w:rsidRPr="00653E85">
        <w:rPr>
          <w:rFonts w:asciiTheme="majorHAnsi" w:hAnsiTheme="majorHAnsi" w:cstheme="majorHAnsi"/>
          <w:sz w:val="24"/>
          <w:szCs w:val="24"/>
          <w:lang w:val="ro-MD"/>
        </w:rPr>
        <w:t xml:space="preserve">21,7%, iar în 2022  – </w:t>
      </w:r>
      <w:r w:rsidR="00B62DE4" w:rsidRPr="00653E85">
        <w:rPr>
          <w:rFonts w:asciiTheme="majorHAnsi" w:hAnsiTheme="majorHAnsi" w:cstheme="majorHAnsi"/>
          <w:sz w:val="24"/>
          <w:szCs w:val="24"/>
          <w:lang w:val="ro-MD"/>
        </w:rPr>
        <w:t>de</w:t>
      </w:r>
      <w:r w:rsidR="00790AFF" w:rsidRPr="00653E85">
        <w:rPr>
          <w:rFonts w:asciiTheme="majorHAnsi" w:hAnsiTheme="majorHAnsi" w:cstheme="majorHAnsi"/>
          <w:sz w:val="24"/>
          <w:szCs w:val="24"/>
          <w:lang w:val="ro-MD"/>
        </w:rPr>
        <w:t xml:space="preserve"> 22,</w:t>
      </w:r>
      <w:r w:rsidRPr="00653E85">
        <w:rPr>
          <w:rFonts w:asciiTheme="majorHAnsi" w:hAnsiTheme="majorHAnsi" w:cstheme="majorHAnsi"/>
          <w:sz w:val="24"/>
          <w:szCs w:val="24"/>
          <w:lang w:val="ro-MD"/>
        </w:rPr>
        <w:t>8</w:t>
      </w:r>
      <w:r w:rsidR="00790AFF" w:rsidRPr="00653E85">
        <w:rPr>
          <w:rFonts w:asciiTheme="majorHAnsi" w:hAnsiTheme="majorHAnsi" w:cstheme="majorHAnsi"/>
          <w:sz w:val="24"/>
          <w:szCs w:val="24"/>
          <w:lang w:val="ro-MD"/>
        </w:rPr>
        <w:t>%</w:t>
      </w:r>
      <w:r w:rsidRPr="00653E85">
        <w:rPr>
          <w:rStyle w:val="a5"/>
          <w:rFonts w:asciiTheme="majorHAnsi" w:hAnsiTheme="majorHAnsi" w:cstheme="majorHAnsi"/>
          <w:sz w:val="24"/>
          <w:szCs w:val="24"/>
          <w:lang w:val="ro-MD"/>
        </w:rPr>
        <w:footnoteReference w:id="28"/>
      </w:r>
      <w:r w:rsidR="00A73FD1" w:rsidRPr="00653E85">
        <w:rPr>
          <w:rFonts w:asciiTheme="majorHAnsi" w:hAnsiTheme="majorHAnsi" w:cstheme="majorHAnsi"/>
          <w:sz w:val="24"/>
          <w:szCs w:val="24"/>
          <w:lang w:val="ro-MD"/>
        </w:rPr>
        <w:t>. Î</w:t>
      </w:r>
      <w:r w:rsidR="00790AFF" w:rsidRPr="00653E85">
        <w:rPr>
          <w:rFonts w:asciiTheme="majorHAnsi" w:hAnsiTheme="majorHAnsi" w:cstheme="majorHAnsi"/>
          <w:sz w:val="24"/>
          <w:szCs w:val="24"/>
          <w:lang w:val="ro-MD"/>
        </w:rPr>
        <w:t xml:space="preserve">mbătrânirea activă a populației Republicii Moldova are loc din câteva motive: </w:t>
      </w:r>
      <w:r w:rsidR="00B62DE4" w:rsidRPr="00653E85">
        <w:rPr>
          <w:rFonts w:asciiTheme="majorHAnsi" w:hAnsiTheme="majorHAnsi" w:cstheme="majorHAnsi"/>
          <w:sz w:val="24"/>
          <w:szCs w:val="24"/>
          <w:lang w:val="ro-MD"/>
        </w:rPr>
        <w:t xml:space="preserve">pe de o parte, </w:t>
      </w:r>
      <w:r w:rsidR="00790AFF" w:rsidRPr="00653E85">
        <w:rPr>
          <w:rFonts w:asciiTheme="majorHAnsi" w:hAnsiTheme="majorHAnsi" w:cstheme="majorHAnsi"/>
          <w:sz w:val="24"/>
          <w:szCs w:val="24"/>
          <w:lang w:val="ro-MD"/>
        </w:rPr>
        <w:t>speranța de viață a oamenilor crește, iar acest fapt duce și la creșterea numărului persoanelor în</w:t>
      </w:r>
      <w:r w:rsidR="009338F7" w:rsidRPr="00653E85">
        <w:rPr>
          <w:rFonts w:asciiTheme="majorHAnsi" w:hAnsiTheme="majorHAnsi" w:cstheme="majorHAnsi"/>
          <w:sz w:val="24"/>
          <w:szCs w:val="24"/>
          <w:lang w:val="ro-MD"/>
        </w:rPr>
        <w:t xml:space="preserve"> </w:t>
      </w:r>
      <w:r w:rsidR="00790AFF" w:rsidRPr="00653E85">
        <w:rPr>
          <w:rFonts w:asciiTheme="majorHAnsi" w:hAnsiTheme="majorHAnsi" w:cstheme="majorHAnsi"/>
          <w:sz w:val="24"/>
          <w:szCs w:val="24"/>
          <w:lang w:val="ro-MD"/>
        </w:rPr>
        <w:t xml:space="preserve">vârstă; </w:t>
      </w:r>
      <w:r w:rsidR="00B62DE4" w:rsidRPr="00653E85">
        <w:rPr>
          <w:rFonts w:asciiTheme="majorHAnsi" w:hAnsiTheme="majorHAnsi" w:cstheme="majorHAnsi"/>
          <w:sz w:val="24"/>
          <w:szCs w:val="24"/>
          <w:lang w:val="ro-MD"/>
        </w:rPr>
        <w:t xml:space="preserve">pe de altă parte,  </w:t>
      </w:r>
      <w:r w:rsidR="00790AFF" w:rsidRPr="00653E85">
        <w:rPr>
          <w:rFonts w:asciiTheme="majorHAnsi" w:hAnsiTheme="majorHAnsi" w:cstheme="majorHAnsi"/>
          <w:sz w:val="24"/>
          <w:szCs w:val="24"/>
          <w:lang w:val="ro-MD"/>
        </w:rPr>
        <w:t>natalitatea este în scădere</w:t>
      </w:r>
      <w:r w:rsidR="00790AFF" w:rsidRPr="00653E85">
        <w:rPr>
          <w:rFonts w:asciiTheme="majorHAnsi" w:eastAsia="Times New Roman" w:hAnsiTheme="majorHAnsi" w:cstheme="majorHAnsi"/>
          <w:color w:val="444444"/>
          <w:sz w:val="24"/>
          <w:szCs w:val="24"/>
          <w:lang w:val="ro-MD"/>
        </w:rPr>
        <w:t>.</w:t>
      </w:r>
      <w:r w:rsidR="00A73FD1" w:rsidRPr="00653E85">
        <w:rPr>
          <w:rFonts w:asciiTheme="majorHAnsi" w:hAnsiTheme="majorHAnsi" w:cstheme="majorHAnsi"/>
          <w:sz w:val="24"/>
          <w:szCs w:val="24"/>
          <w:lang w:val="ro-MD"/>
        </w:rPr>
        <w:t xml:space="preserve"> Astfel, se denotă că</w:t>
      </w:r>
      <w:r w:rsidR="00B62DE4" w:rsidRPr="00653E85">
        <w:rPr>
          <w:rFonts w:asciiTheme="majorHAnsi" w:hAnsiTheme="majorHAnsi" w:cstheme="majorHAnsi"/>
          <w:sz w:val="24"/>
          <w:szCs w:val="24"/>
          <w:lang w:val="ro-MD"/>
        </w:rPr>
        <w:t>,</w:t>
      </w:r>
      <w:r w:rsidR="00A73FD1" w:rsidRPr="00653E85">
        <w:rPr>
          <w:rFonts w:asciiTheme="majorHAnsi" w:hAnsiTheme="majorHAnsi" w:cstheme="majorHAnsi"/>
          <w:sz w:val="24"/>
          <w:szCs w:val="24"/>
          <w:lang w:val="ro-MD"/>
        </w:rPr>
        <w:t xml:space="preserve"> </w:t>
      </w:r>
      <w:r w:rsidR="00883E08" w:rsidRPr="00653E85">
        <w:rPr>
          <w:rFonts w:asciiTheme="majorHAnsi" w:hAnsiTheme="majorHAnsi" w:cstheme="majorHAnsi"/>
          <w:sz w:val="24"/>
          <w:szCs w:val="24"/>
          <w:lang w:val="ro-MD"/>
        </w:rPr>
        <w:t xml:space="preserve">la momentul actual, </w:t>
      </w:r>
      <w:r w:rsidR="00A73FD1" w:rsidRPr="00653E85">
        <w:rPr>
          <w:rFonts w:asciiTheme="majorHAnsi" w:hAnsiTheme="majorHAnsi" w:cstheme="majorHAnsi"/>
          <w:sz w:val="24"/>
          <w:szCs w:val="24"/>
          <w:lang w:val="ro-MD"/>
        </w:rPr>
        <w:t xml:space="preserve">un contribuabil din sectorul real susține un beneficiar de pensie pentru limită de vârstă, raportul fiind 1:1,05. </w:t>
      </w:r>
      <w:r w:rsidR="00790AFF" w:rsidRPr="00653E85">
        <w:rPr>
          <w:rFonts w:asciiTheme="majorHAnsi" w:hAnsiTheme="majorHAnsi" w:cstheme="majorHAnsi"/>
          <w:sz w:val="24"/>
          <w:szCs w:val="24"/>
          <w:lang w:val="ro-MD"/>
        </w:rPr>
        <w:t>Însă, pe lângă pensionarii d</w:t>
      </w:r>
      <w:r w:rsidR="00A73FD1" w:rsidRPr="00653E85">
        <w:rPr>
          <w:rFonts w:asciiTheme="majorHAnsi" w:hAnsiTheme="majorHAnsi" w:cstheme="majorHAnsi"/>
          <w:sz w:val="24"/>
          <w:szCs w:val="24"/>
          <w:lang w:val="ro-MD"/>
        </w:rPr>
        <w:t xml:space="preserve">e </w:t>
      </w:r>
      <w:r w:rsidR="00790AFF" w:rsidRPr="00653E85">
        <w:rPr>
          <w:rFonts w:asciiTheme="majorHAnsi" w:hAnsiTheme="majorHAnsi" w:cstheme="majorHAnsi"/>
          <w:sz w:val="24"/>
          <w:szCs w:val="24"/>
          <w:lang w:val="ro-MD"/>
        </w:rPr>
        <w:t>limit</w:t>
      </w:r>
      <w:r w:rsidR="00B62DE4" w:rsidRPr="00653E85">
        <w:rPr>
          <w:rFonts w:asciiTheme="majorHAnsi" w:hAnsiTheme="majorHAnsi" w:cstheme="majorHAnsi"/>
          <w:sz w:val="24"/>
          <w:szCs w:val="24"/>
          <w:lang w:val="ro-MD"/>
        </w:rPr>
        <w:t>ă</w:t>
      </w:r>
      <w:r w:rsidR="00790AFF" w:rsidRPr="00653E85">
        <w:rPr>
          <w:rFonts w:asciiTheme="majorHAnsi" w:hAnsiTheme="majorHAnsi" w:cstheme="majorHAnsi"/>
          <w:sz w:val="24"/>
          <w:szCs w:val="24"/>
          <w:lang w:val="ro-MD"/>
        </w:rPr>
        <w:t xml:space="preserve"> de vârstă, mai sunt și alte grupuri de pensionari</w:t>
      </w:r>
      <w:r w:rsidR="00625691" w:rsidRPr="00653E85">
        <w:rPr>
          <w:rFonts w:asciiTheme="majorHAnsi" w:hAnsiTheme="majorHAnsi" w:cstheme="majorHAnsi"/>
          <w:sz w:val="24"/>
          <w:szCs w:val="24"/>
          <w:lang w:val="ro-MD"/>
        </w:rPr>
        <w:t xml:space="preserve"> (Anexa nr.2</w:t>
      </w:r>
      <w:r w:rsidR="00B62DE4" w:rsidRPr="00653E85">
        <w:rPr>
          <w:rFonts w:asciiTheme="majorHAnsi" w:hAnsiTheme="majorHAnsi" w:cstheme="majorHAnsi"/>
          <w:sz w:val="24"/>
          <w:szCs w:val="24"/>
          <w:lang w:val="ro-MD"/>
        </w:rPr>
        <w:t xml:space="preserve"> la prezentul Raport de audit</w:t>
      </w:r>
      <w:r w:rsidR="00A73FD1" w:rsidRPr="00653E85">
        <w:rPr>
          <w:rFonts w:asciiTheme="majorHAnsi" w:hAnsiTheme="majorHAnsi" w:cstheme="majorHAnsi"/>
          <w:sz w:val="24"/>
          <w:szCs w:val="24"/>
          <w:lang w:val="ro-MD"/>
        </w:rPr>
        <w:t>)</w:t>
      </w:r>
      <w:r w:rsidR="00790AFF" w:rsidRPr="00653E85">
        <w:rPr>
          <w:rFonts w:asciiTheme="majorHAnsi" w:hAnsiTheme="majorHAnsi" w:cstheme="majorHAnsi"/>
          <w:sz w:val="24"/>
          <w:szCs w:val="24"/>
          <w:lang w:val="ro-MD"/>
        </w:rPr>
        <w:t xml:space="preserve">. </w:t>
      </w:r>
      <w:r w:rsidR="00A73FD1" w:rsidRPr="00653E85">
        <w:rPr>
          <w:rFonts w:asciiTheme="majorHAnsi" w:hAnsiTheme="majorHAnsi" w:cstheme="majorHAnsi"/>
          <w:sz w:val="24"/>
          <w:szCs w:val="24"/>
          <w:lang w:val="ro-MD"/>
        </w:rPr>
        <w:t>Î</w:t>
      </w:r>
      <w:r w:rsidR="00D7316E" w:rsidRPr="00653E85">
        <w:rPr>
          <w:rFonts w:asciiTheme="majorHAnsi" w:hAnsiTheme="majorHAnsi" w:cstheme="majorHAnsi"/>
          <w:sz w:val="24"/>
          <w:szCs w:val="24"/>
          <w:lang w:val="ro-MD"/>
        </w:rPr>
        <w:t>n același timp</w:t>
      </w:r>
      <w:r w:rsidR="00B62DE4" w:rsidRPr="00653E85">
        <w:rPr>
          <w:rFonts w:asciiTheme="majorHAnsi" w:hAnsiTheme="majorHAnsi" w:cstheme="majorHAnsi"/>
          <w:sz w:val="24"/>
          <w:szCs w:val="24"/>
          <w:lang w:val="ro-MD"/>
        </w:rPr>
        <w:t>,</w:t>
      </w:r>
      <w:r w:rsidR="00D7316E" w:rsidRPr="00653E85">
        <w:rPr>
          <w:rFonts w:asciiTheme="majorHAnsi" w:hAnsiTheme="majorHAnsi" w:cstheme="majorHAnsi"/>
          <w:sz w:val="24"/>
          <w:szCs w:val="24"/>
          <w:lang w:val="ro-MD"/>
        </w:rPr>
        <w:t xml:space="preserve"> </w:t>
      </w:r>
      <w:r w:rsidR="00A73FD1" w:rsidRPr="00653E85">
        <w:rPr>
          <w:rFonts w:asciiTheme="majorHAnsi" w:hAnsiTheme="majorHAnsi" w:cstheme="majorHAnsi"/>
          <w:sz w:val="24"/>
          <w:szCs w:val="24"/>
          <w:lang w:val="ro-MD"/>
        </w:rPr>
        <w:t>din cei 526</w:t>
      </w:r>
      <w:r w:rsidR="00D7316E" w:rsidRPr="00653E85">
        <w:rPr>
          <w:rFonts w:asciiTheme="majorHAnsi" w:hAnsiTheme="majorHAnsi" w:cstheme="majorHAnsi"/>
          <w:sz w:val="24"/>
          <w:szCs w:val="24"/>
          <w:lang w:val="ro-MD"/>
        </w:rPr>
        <w:t>,0 mii</w:t>
      </w:r>
      <w:r w:rsidR="00A73FD1" w:rsidRPr="00653E85">
        <w:rPr>
          <w:rFonts w:asciiTheme="majorHAnsi" w:hAnsiTheme="majorHAnsi" w:cstheme="majorHAnsi"/>
          <w:sz w:val="24"/>
          <w:szCs w:val="24"/>
          <w:lang w:val="ro-MD"/>
        </w:rPr>
        <w:t xml:space="preserve"> </w:t>
      </w:r>
      <w:r w:rsidR="00B62DE4" w:rsidRPr="00653E85">
        <w:rPr>
          <w:rFonts w:asciiTheme="majorHAnsi" w:hAnsiTheme="majorHAnsi" w:cstheme="majorHAnsi"/>
          <w:sz w:val="24"/>
          <w:szCs w:val="24"/>
          <w:lang w:val="ro-MD"/>
        </w:rPr>
        <w:t xml:space="preserve">de </w:t>
      </w:r>
      <w:r w:rsidR="00A73FD1" w:rsidRPr="00653E85">
        <w:rPr>
          <w:rFonts w:asciiTheme="majorHAnsi" w:hAnsiTheme="majorHAnsi" w:cstheme="majorHAnsi"/>
          <w:sz w:val="24"/>
          <w:szCs w:val="24"/>
          <w:lang w:val="ro-MD"/>
        </w:rPr>
        <w:t>pensionari de limită de vârstă, 123</w:t>
      </w:r>
      <w:r w:rsidR="00D7316E" w:rsidRPr="00653E85">
        <w:rPr>
          <w:rFonts w:asciiTheme="majorHAnsi" w:hAnsiTheme="majorHAnsi" w:cstheme="majorHAnsi"/>
          <w:sz w:val="24"/>
          <w:szCs w:val="24"/>
          <w:lang w:val="ro-MD"/>
        </w:rPr>
        <w:t xml:space="preserve">,7 mii </w:t>
      </w:r>
      <w:r w:rsidR="00B62DE4" w:rsidRPr="00653E85">
        <w:rPr>
          <w:rFonts w:asciiTheme="majorHAnsi" w:hAnsiTheme="majorHAnsi" w:cstheme="majorHAnsi"/>
          <w:sz w:val="24"/>
          <w:szCs w:val="24"/>
          <w:lang w:val="ro-MD"/>
        </w:rPr>
        <w:t xml:space="preserve">de </w:t>
      </w:r>
      <w:r w:rsidR="00A73FD1" w:rsidRPr="00653E85">
        <w:rPr>
          <w:rFonts w:asciiTheme="majorHAnsi" w:hAnsiTheme="majorHAnsi" w:cstheme="majorHAnsi"/>
          <w:sz w:val="24"/>
          <w:szCs w:val="24"/>
          <w:lang w:val="ro-MD"/>
        </w:rPr>
        <w:t>persoane activează în continuare, ceea ce indică că ace</w:t>
      </w:r>
      <w:r w:rsidR="00B62DE4" w:rsidRPr="00653E85">
        <w:rPr>
          <w:rFonts w:asciiTheme="majorHAnsi" w:hAnsiTheme="majorHAnsi" w:cstheme="majorHAnsi"/>
          <w:sz w:val="24"/>
          <w:szCs w:val="24"/>
          <w:lang w:val="ro-MD"/>
        </w:rPr>
        <w:t>stea</w:t>
      </w:r>
      <w:r w:rsidR="00A73FD1" w:rsidRPr="00653E85">
        <w:rPr>
          <w:rFonts w:asciiTheme="majorHAnsi" w:hAnsiTheme="majorHAnsi" w:cstheme="majorHAnsi"/>
          <w:sz w:val="24"/>
          <w:szCs w:val="24"/>
          <w:lang w:val="ro-MD"/>
        </w:rPr>
        <w:t xml:space="preserve"> sunt și contribuabili</w:t>
      </w:r>
      <w:r w:rsidR="00B62DE4" w:rsidRPr="00653E85">
        <w:rPr>
          <w:rFonts w:asciiTheme="majorHAnsi" w:hAnsiTheme="majorHAnsi" w:cstheme="majorHAnsi"/>
          <w:sz w:val="24"/>
          <w:szCs w:val="24"/>
          <w:lang w:val="ro-MD"/>
        </w:rPr>
        <w:t>,</w:t>
      </w:r>
      <w:r w:rsidR="00A73FD1" w:rsidRPr="00653E85">
        <w:rPr>
          <w:rFonts w:asciiTheme="majorHAnsi" w:hAnsiTheme="majorHAnsi" w:cstheme="majorHAnsi"/>
          <w:sz w:val="24"/>
          <w:szCs w:val="24"/>
          <w:lang w:val="ro-MD"/>
        </w:rPr>
        <w:t xml:space="preserve"> și beneficiari, practic își asigură singuri prestația. </w:t>
      </w:r>
      <w:r w:rsidR="00790AFF" w:rsidRPr="00653E85">
        <w:rPr>
          <w:rFonts w:asciiTheme="majorHAnsi" w:hAnsiTheme="majorHAnsi" w:cstheme="majorHAnsi"/>
          <w:sz w:val="24"/>
          <w:szCs w:val="24"/>
          <w:lang w:val="ro-MD"/>
        </w:rPr>
        <w:t>Astfel, presiunea pentru angajații din sectorul real al economiei este și mai mare.</w:t>
      </w:r>
      <w:r w:rsidR="00A73FD1" w:rsidRPr="00653E85">
        <w:rPr>
          <w:rFonts w:asciiTheme="majorHAnsi" w:hAnsiTheme="majorHAnsi" w:cstheme="majorHAnsi"/>
          <w:sz w:val="24"/>
          <w:szCs w:val="24"/>
          <w:lang w:val="ro-MD"/>
        </w:rPr>
        <w:t xml:space="preserve"> Prin urmare, a</w:t>
      </w:r>
      <w:r w:rsidRPr="00653E85">
        <w:rPr>
          <w:rFonts w:asciiTheme="majorHAnsi" w:hAnsiTheme="majorHAnsi" w:cstheme="majorHAnsi"/>
          <w:sz w:val="24"/>
          <w:szCs w:val="24"/>
          <w:lang w:val="ro-MD"/>
        </w:rPr>
        <w:t xml:space="preserve">nual crește deficitul </w:t>
      </w:r>
      <w:r w:rsidR="00A73FD1" w:rsidRPr="00653E85">
        <w:rPr>
          <w:rFonts w:asciiTheme="majorHAnsi" w:hAnsiTheme="majorHAnsi" w:cstheme="majorHAnsi"/>
          <w:sz w:val="24"/>
          <w:szCs w:val="24"/>
          <w:lang w:val="ro-MD"/>
        </w:rPr>
        <w:t xml:space="preserve">și presiunea asupra </w:t>
      </w:r>
      <w:r w:rsidRPr="00653E85">
        <w:rPr>
          <w:rFonts w:asciiTheme="majorHAnsi" w:hAnsiTheme="majorHAnsi" w:cstheme="majorHAnsi"/>
          <w:sz w:val="24"/>
          <w:szCs w:val="24"/>
          <w:lang w:val="ro-MD"/>
        </w:rPr>
        <w:t>bugetului asigurărilor sociale de stat</w:t>
      </w:r>
      <w:r w:rsidR="0013307C" w:rsidRPr="00653E85">
        <w:rPr>
          <w:rFonts w:asciiTheme="majorHAnsi" w:hAnsiTheme="majorHAnsi" w:cstheme="majorHAnsi"/>
          <w:sz w:val="24"/>
          <w:szCs w:val="24"/>
          <w:lang w:val="ro-MD"/>
        </w:rPr>
        <w:t xml:space="preserve">, iar sistemul este menținut în baza transferurilor de la bugetul de stat (vezi constatarea </w:t>
      </w:r>
      <w:r w:rsidR="00852CE4" w:rsidRPr="00653E85">
        <w:rPr>
          <w:rFonts w:asciiTheme="majorHAnsi" w:hAnsiTheme="majorHAnsi" w:cstheme="majorHAnsi"/>
          <w:sz w:val="24"/>
          <w:szCs w:val="24"/>
          <w:lang w:val="ro-MD"/>
        </w:rPr>
        <w:t>5.4</w:t>
      </w:r>
      <w:r w:rsidR="0013307C" w:rsidRPr="00653E85">
        <w:rPr>
          <w:rFonts w:asciiTheme="majorHAnsi" w:hAnsiTheme="majorHAnsi" w:cstheme="majorHAnsi"/>
          <w:sz w:val="24"/>
          <w:szCs w:val="24"/>
          <w:lang w:val="ro-MD"/>
        </w:rPr>
        <w:t>).</w:t>
      </w:r>
    </w:p>
    <w:p w14:paraId="3A830BB3" w14:textId="47F5BC55" w:rsidR="00902A0E" w:rsidRPr="00653E85" w:rsidRDefault="00B21CDF" w:rsidP="00902A0E">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Subsecvent, auditul menționează că</w:t>
      </w:r>
      <w:r w:rsidR="00B62DE4"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potrivit datelor </w:t>
      </w:r>
      <w:r w:rsidR="000C1462" w:rsidRPr="00653E85">
        <w:rPr>
          <w:rFonts w:asciiTheme="majorHAnsi" w:hAnsiTheme="majorHAnsi" w:cstheme="majorHAnsi"/>
          <w:sz w:val="24"/>
          <w:szCs w:val="24"/>
          <w:lang w:val="ro-MD"/>
        </w:rPr>
        <w:t>estimate de audit</w:t>
      </w:r>
      <w:r w:rsidRPr="00653E85">
        <w:rPr>
          <w:rFonts w:asciiTheme="majorHAnsi" w:hAnsiTheme="majorHAnsi" w:cstheme="majorHAnsi"/>
          <w:sz w:val="24"/>
          <w:szCs w:val="24"/>
          <w:lang w:val="ro-MD"/>
        </w:rPr>
        <w:t xml:space="preserve">, </w:t>
      </w:r>
      <w:r w:rsidR="000C1462" w:rsidRPr="00653E85">
        <w:rPr>
          <w:rFonts w:asciiTheme="majorHAnsi" w:hAnsiTheme="majorHAnsi" w:cstheme="majorHAnsi"/>
          <w:sz w:val="24"/>
          <w:szCs w:val="24"/>
          <w:lang w:val="ro-MD"/>
        </w:rPr>
        <w:t>populația în afara forței de muncă reprezintă cca 498</w:t>
      </w:r>
      <w:r w:rsidR="000C416F" w:rsidRPr="00653E85">
        <w:rPr>
          <w:rFonts w:asciiTheme="majorHAnsi" w:hAnsiTheme="majorHAnsi" w:cstheme="majorHAnsi"/>
          <w:sz w:val="24"/>
          <w:szCs w:val="24"/>
          <w:lang w:val="ro-MD"/>
        </w:rPr>
        <w:t xml:space="preserve"> </w:t>
      </w:r>
      <w:r w:rsidR="000C1462" w:rsidRPr="00653E85">
        <w:rPr>
          <w:rFonts w:asciiTheme="majorHAnsi" w:hAnsiTheme="majorHAnsi" w:cstheme="majorHAnsi"/>
          <w:sz w:val="24"/>
          <w:szCs w:val="24"/>
          <w:lang w:val="ro-MD"/>
        </w:rPr>
        <w:t>821</w:t>
      </w:r>
      <w:r w:rsidR="000C416F" w:rsidRPr="00653E85">
        <w:rPr>
          <w:rFonts w:asciiTheme="majorHAnsi" w:hAnsiTheme="majorHAnsi" w:cstheme="majorHAnsi"/>
          <w:sz w:val="24"/>
          <w:szCs w:val="24"/>
          <w:lang w:val="ro-MD"/>
        </w:rPr>
        <w:t xml:space="preserve"> mii </w:t>
      </w:r>
      <w:r w:rsidR="00B62DE4" w:rsidRPr="00653E85">
        <w:rPr>
          <w:rFonts w:asciiTheme="majorHAnsi" w:hAnsiTheme="majorHAnsi" w:cstheme="majorHAnsi"/>
          <w:sz w:val="24"/>
          <w:szCs w:val="24"/>
          <w:lang w:val="ro-MD"/>
        </w:rPr>
        <w:t xml:space="preserve">de </w:t>
      </w:r>
      <w:r w:rsidR="000C416F" w:rsidRPr="00653E85">
        <w:rPr>
          <w:rFonts w:asciiTheme="majorHAnsi" w:hAnsiTheme="majorHAnsi" w:cstheme="majorHAnsi"/>
          <w:sz w:val="24"/>
          <w:szCs w:val="24"/>
          <w:lang w:val="ro-MD"/>
        </w:rPr>
        <w:t>persoane</w:t>
      </w:r>
      <w:r w:rsidR="000C1462" w:rsidRPr="00653E85">
        <w:rPr>
          <w:rFonts w:asciiTheme="majorHAnsi" w:hAnsiTheme="majorHAnsi" w:cstheme="majorHAnsi"/>
          <w:sz w:val="24"/>
          <w:szCs w:val="24"/>
          <w:lang w:val="ro-MD"/>
        </w:rPr>
        <w:t xml:space="preserve">. Astfel, deși există potențial de creștere a numărului de contribuabili la BASS, rezerva se menține </w:t>
      </w:r>
      <w:r w:rsidR="00B62DE4" w:rsidRPr="00653E85">
        <w:rPr>
          <w:rFonts w:asciiTheme="majorHAnsi" w:hAnsiTheme="majorHAnsi" w:cstheme="majorHAnsi"/>
          <w:sz w:val="24"/>
          <w:szCs w:val="24"/>
          <w:lang w:val="ro-MD"/>
        </w:rPr>
        <w:t xml:space="preserve">din cauza </w:t>
      </w:r>
      <w:r w:rsidR="000C1462" w:rsidRPr="00653E85">
        <w:rPr>
          <w:rFonts w:asciiTheme="majorHAnsi" w:hAnsiTheme="majorHAnsi" w:cstheme="majorHAnsi"/>
          <w:sz w:val="24"/>
          <w:szCs w:val="24"/>
          <w:lang w:val="ro-MD"/>
        </w:rPr>
        <w:t>existenței muncii la negru, salariilor în plic, salariul</w:t>
      </w:r>
      <w:r w:rsidR="00B62DE4" w:rsidRPr="00653E85">
        <w:rPr>
          <w:rFonts w:asciiTheme="majorHAnsi" w:hAnsiTheme="majorHAnsi" w:cstheme="majorHAnsi"/>
          <w:sz w:val="24"/>
          <w:szCs w:val="24"/>
          <w:lang w:val="ro-MD"/>
        </w:rPr>
        <w:t>ui</w:t>
      </w:r>
      <w:r w:rsidR="000C1462" w:rsidRPr="00653E85">
        <w:rPr>
          <w:rFonts w:asciiTheme="majorHAnsi" w:hAnsiTheme="majorHAnsi" w:cstheme="majorHAnsi"/>
          <w:sz w:val="24"/>
          <w:szCs w:val="24"/>
          <w:lang w:val="ro-MD"/>
        </w:rPr>
        <w:t xml:space="preserve"> neatractiv etc. În aceste condiții</w:t>
      </w:r>
      <w:r w:rsidR="00B62DE4" w:rsidRPr="00653E85">
        <w:rPr>
          <w:rFonts w:asciiTheme="majorHAnsi" w:hAnsiTheme="majorHAnsi" w:cstheme="majorHAnsi"/>
          <w:sz w:val="24"/>
          <w:szCs w:val="24"/>
          <w:lang w:val="ro-MD"/>
        </w:rPr>
        <w:t>,</w:t>
      </w:r>
      <w:r w:rsidR="000C1462" w:rsidRPr="00653E85">
        <w:rPr>
          <w:rFonts w:asciiTheme="majorHAnsi" w:hAnsiTheme="majorHAnsi" w:cstheme="majorHAnsi"/>
          <w:sz w:val="24"/>
          <w:szCs w:val="24"/>
          <w:lang w:val="ro-MD"/>
        </w:rPr>
        <w:t xml:space="preserve"> sistemul de asigurări sociale riscă să nu mai fie sustenabil în timp.</w:t>
      </w:r>
    </w:p>
    <w:p w14:paraId="36E06FB6" w14:textId="72810EDE" w:rsidR="0013307C" w:rsidRPr="00653E85" w:rsidRDefault="000C416F" w:rsidP="00902A0E">
      <w:pPr>
        <w:spacing w:after="0" w:line="276" w:lineRule="auto"/>
        <w:jc w:val="right"/>
        <w:rPr>
          <w:rFonts w:asciiTheme="majorHAnsi" w:hAnsiTheme="majorHAnsi" w:cstheme="majorHAnsi"/>
          <w:b/>
          <w:sz w:val="24"/>
          <w:szCs w:val="24"/>
          <w:lang w:val="ro-MD"/>
        </w:rPr>
      </w:pPr>
      <w:r w:rsidRPr="00653E85">
        <w:rPr>
          <w:rFonts w:asciiTheme="majorHAnsi" w:hAnsiTheme="majorHAnsi" w:cstheme="majorHAnsi"/>
          <w:b/>
          <w:sz w:val="24"/>
          <w:szCs w:val="24"/>
          <w:lang w:val="ro-MD"/>
        </w:rPr>
        <w:t>Tabel</w:t>
      </w:r>
      <w:r w:rsidR="00B62DE4" w:rsidRPr="00653E85">
        <w:rPr>
          <w:rFonts w:asciiTheme="majorHAnsi" w:hAnsiTheme="majorHAnsi" w:cstheme="majorHAnsi"/>
          <w:b/>
          <w:sz w:val="24"/>
          <w:szCs w:val="24"/>
          <w:lang w:val="ro-MD"/>
        </w:rPr>
        <w:t>ul</w:t>
      </w:r>
      <w:r w:rsidRPr="00653E85">
        <w:rPr>
          <w:rFonts w:asciiTheme="majorHAnsi" w:hAnsiTheme="majorHAnsi" w:cstheme="majorHAnsi"/>
          <w:b/>
          <w:sz w:val="24"/>
          <w:szCs w:val="24"/>
          <w:lang w:val="ro-MD"/>
        </w:rPr>
        <w:t xml:space="preserve"> nr.</w:t>
      </w:r>
      <w:r w:rsidR="008D1DF2" w:rsidRPr="00653E85">
        <w:rPr>
          <w:rFonts w:asciiTheme="majorHAnsi" w:hAnsiTheme="majorHAnsi" w:cstheme="majorHAnsi"/>
          <w:b/>
          <w:sz w:val="24"/>
          <w:szCs w:val="24"/>
          <w:lang w:val="ro-MD"/>
        </w:rPr>
        <w:t>7</w:t>
      </w:r>
    </w:p>
    <w:p w14:paraId="0F649003" w14:textId="66CC0E77" w:rsidR="000C416F" w:rsidRPr="00653E85" w:rsidRDefault="000C416F" w:rsidP="00902A0E">
      <w:pPr>
        <w:spacing w:after="0"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Estimări privind populația neîncadrată în muncă</w:t>
      </w:r>
    </w:p>
    <w:tbl>
      <w:tblPr>
        <w:tblStyle w:val="af1"/>
        <w:tblW w:w="0" w:type="auto"/>
        <w:tblLook w:val="04A0" w:firstRow="1" w:lastRow="0" w:firstColumn="1" w:lastColumn="0" w:noHBand="0" w:noVBand="1"/>
      </w:tblPr>
      <w:tblGrid>
        <w:gridCol w:w="7024"/>
        <w:gridCol w:w="2545"/>
      </w:tblGrid>
      <w:tr w:rsidR="000C1462" w:rsidRPr="00B7675F" w14:paraId="0BB8D3C1" w14:textId="77777777" w:rsidTr="00D30FC7">
        <w:trPr>
          <w:trHeight w:val="20"/>
        </w:trPr>
        <w:tc>
          <w:tcPr>
            <w:tcW w:w="7024" w:type="dxa"/>
          </w:tcPr>
          <w:p w14:paraId="7D5F852C" w14:textId="77777777" w:rsidR="000C1462" w:rsidRPr="00653E85" w:rsidRDefault="000C1462" w:rsidP="00902A0E">
            <w:pPr>
              <w:jc w:val="both"/>
              <w:rPr>
                <w:rFonts w:asciiTheme="majorHAnsi" w:hAnsiTheme="majorHAnsi" w:cstheme="majorHAnsi"/>
                <w:b/>
                <w:szCs w:val="24"/>
                <w:lang w:val="ro-MD"/>
              </w:rPr>
            </w:pPr>
            <w:r w:rsidRPr="00653E85">
              <w:rPr>
                <w:rFonts w:asciiTheme="majorHAnsi" w:hAnsiTheme="majorHAnsi" w:cstheme="majorHAnsi"/>
                <w:b/>
                <w:szCs w:val="24"/>
                <w:lang w:val="ro-MD"/>
              </w:rPr>
              <w:t>Populația totală</w:t>
            </w:r>
          </w:p>
        </w:tc>
        <w:tc>
          <w:tcPr>
            <w:tcW w:w="2545" w:type="dxa"/>
          </w:tcPr>
          <w:p w14:paraId="5484F506" w14:textId="77777777" w:rsidR="000C1462" w:rsidRPr="00653E85" w:rsidRDefault="000C1462" w:rsidP="00860800">
            <w:pPr>
              <w:jc w:val="right"/>
              <w:rPr>
                <w:rFonts w:asciiTheme="majorHAnsi" w:hAnsiTheme="majorHAnsi" w:cstheme="majorHAnsi"/>
                <w:b/>
                <w:szCs w:val="24"/>
                <w:lang w:val="ro-MD"/>
              </w:rPr>
            </w:pPr>
            <w:r w:rsidRPr="00653E85">
              <w:rPr>
                <w:rFonts w:asciiTheme="majorHAnsi" w:hAnsiTheme="majorHAnsi" w:cstheme="majorHAnsi"/>
                <w:b/>
                <w:szCs w:val="24"/>
                <w:lang w:val="ro-MD"/>
              </w:rPr>
              <w:t>2 603 813</w:t>
            </w:r>
          </w:p>
        </w:tc>
      </w:tr>
      <w:tr w:rsidR="000C1462" w:rsidRPr="00B7675F" w14:paraId="733A3B63" w14:textId="77777777" w:rsidTr="00D30FC7">
        <w:trPr>
          <w:trHeight w:val="20"/>
        </w:trPr>
        <w:tc>
          <w:tcPr>
            <w:tcW w:w="7024" w:type="dxa"/>
          </w:tcPr>
          <w:p w14:paraId="4CA04E28" w14:textId="77777777" w:rsidR="000C1462" w:rsidRPr="00653E85" w:rsidRDefault="000C1462" w:rsidP="00902A0E">
            <w:pPr>
              <w:jc w:val="both"/>
              <w:rPr>
                <w:rFonts w:asciiTheme="majorHAnsi" w:hAnsiTheme="majorHAnsi" w:cstheme="majorHAnsi"/>
                <w:b/>
                <w:szCs w:val="24"/>
                <w:lang w:val="ro-MD"/>
              </w:rPr>
            </w:pPr>
            <w:r w:rsidRPr="00653E85">
              <w:rPr>
                <w:rFonts w:asciiTheme="majorHAnsi" w:hAnsiTheme="majorHAnsi" w:cstheme="majorHAnsi"/>
                <w:b/>
                <w:szCs w:val="24"/>
                <w:lang w:val="ro-MD"/>
              </w:rPr>
              <w:t>Populația ocupată, inclusiv:</w:t>
            </w:r>
          </w:p>
        </w:tc>
        <w:tc>
          <w:tcPr>
            <w:tcW w:w="2545" w:type="dxa"/>
          </w:tcPr>
          <w:p w14:paraId="3CE33377" w14:textId="77777777" w:rsidR="000C1462" w:rsidRPr="00653E85" w:rsidRDefault="000C1462" w:rsidP="00860800">
            <w:pPr>
              <w:jc w:val="right"/>
              <w:rPr>
                <w:rFonts w:asciiTheme="majorHAnsi" w:hAnsiTheme="majorHAnsi" w:cstheme="majorHAnsi"/>
                <w:b/>
                <w:szCs w:val="24"/>
                <w:lang w:val="ro-MD"/>
              </w:rPr>
            </w:pPr>
            <w:r w:rsidRPr="00653E85">
              <w:rPr>
                <w:rFonts w:asciiTheme="majorHAnsi" w:hAnsiTheme="majorHAnsi" w:cstheme="majorHAnsi"/>
                <w:b/>
                <w:szCs w:val="24"/>
                <w:lang w:val="ro-MD"/>
              </w:rPr>
              <w:t>804 928</w:t>
            </w:r>
          </w:p>
        </w:tc>
      </w:tr>
      <w:tr w:rsidR="000C1462" w:rsidRPr="00B7675F" w14:paraId="63917838" w14:textId="77777777" w:rsidTr="00D30FC7">
        <w:trPr>
          <w:trHeight w:val="20"/>
        </w:trPr>
        <w:tc>
          <w:tcPr>
            <w:tcW w:w="7024" w:type="dxa"/>
          </w:tcPr>
          <w:p w14:paraId="1C053908" w14:textId="3946E02C" w:rsidR="000C1462" w:rsidRPr="00653E85" w:rsidRDefault="000C1462" w:rsidP="00B62DE4">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Beneficiari de prestații</w:t>
            </w:r>
          </w:p>
        </w:tc>
        <w:tc>
          <w:tcPr>
            <w:tcW w:w="2545" w:type="dxa"/>
          </w:tcPr>
          <w:p w14:paraId="0F69A952"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180149</w:t>
            </w:r>
          </w:p>
        </w:tc>
      </w:tr>
      <w:tr w:rsidR="000C1462" w:rsidRPr="00B7675F" w14:paraId="512D1257" w14:textId="77777777" w:rsidTr="00D30FC7">
        <w:trPr>
          <w:trHeight w:val="20"/>
        </w:trPr>
        <w:tc>
          <w:tcPr>
            <w:tcW w:w="7024" w:type="dxa"/>
          </w:tcPr>
          <w:p w14:paraId="5EBDD67B" w14:textId="77777777" w:rsidR="000C1462" w:rsidRPr="00653E85" w:rsidRDefault="000C1462" w:rsidP="00902A0E">
            <w:pPr>
              <w:jc w:val="both"/>
              <w:rPr>
                <w:rFonts w:asciiTheme="majorHAnsi" w:hAnsiTheme="majorHAnsi" w:cstheme="majorHAnsi"/>
                <w:b/>
                <w:szCs w:val="24"/>
                <w:lang w:val="ro-MD"/>
              </w:rPr>
            </w:pPr>
            <w:r w:rsidRPr="00653E85">
              <w:rPr>
                <w:rFonts w:asciiTheme="majorHAnsi" w:hAnsiTheme="majorHAnsi" w:cstheme="majorHAnsi"/>
                <w:b/>
                <w:szCs w:val="24"/>
                <w:lang w:val="ro-MD"/>
              </w:rPr>
              <w:t>Populația în afara forței de muncă, inclusiv:</w:t>
            </w:r>
          </w:p>
        </w:tc>
        <w:tc>
          <w:tcPr>
            <w:tcW w:w="2545" w:type="dxa"/>
          </w:tcPr>
          <w:p w14:paraId="33DA1A3B" w14:textId="77777777" w:rsidR="000C1462" w:rsidRPr="00653E85" w:rsidRDefault="000C1462" w:rsidP="00860800">
            <w:pPr>
              <w:jc w:val="right"/>
              <w:rPr>
                <w:rFonts w:asciiTheme="majorHAnsi" w:hAnsiTheme="majorHAnsi" w:cstheme="majorHAnsi"/>
                <w:b/>
                <w:szCs w:val="24"/>
                <w:lang w:val="ro-MD"/>
              </w:rPr>
            </w:pPr>
            <w:r w:rsidRPr="00653E85">
              <w:rPr>
                <w:rFonts w:asciiTheme="majorHAnsi" w:hAnsiTheme="majorHAnsi" w:cstheme="majorHAnsi"/>
                <w:b/>
                <w:szCs w:val="24"/>
                <w:lang w:val="ro-MD"/>
              </w:rPr>
              <w:t>1 300 064</w:t>
            </w:r>
          </w:p>
        </w:tc>
      </w:tr>
      <w:tr w:rsidR="000C1462" w:rsidRPr="00B7675F" w14:paraId="20F0CE25" w14:textId="77777777" w:rsidTr="00D30FC7">
        <w:trPr>
          <w:trHeight w:val="20"/>
        </w:trPr>
        <w:tc>
          <w:tcPr>
            <w:tcW w:w="7024" w:type="dxa"/>
          </w:tcPr>
          <w:p w14:paraId="49256354" w14:textId="6F12C2E9" w:rsidR="000C1462" w:rsidRPr="00653E85" w:rsidRDefault="000C1462" w:rsidP="00B62DE4">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Copii până la 7 ani</w:t>
            </w:r>
          </w:p>
        </w:tc>
        <w:tc>
          <w:tcPr>
            <w:tcW w:w="2545" w:type="dxa"/>
          </w:tcPr>
          <w:p w14:paraId="3A60718C"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217 852</w:t>
            </w:r>
          </w:p>
        </w:tc>
      </w:tr>
      <w:tr w:rsidR="000C1462" w:rsidRPr="00B7675F" w14:paraId="38F0B72D" w14:textId="77777777" w:rsidTr="00D30FC7">
        <w:trPr>
          <w:trHeight w:val="20"/>
        </w:trPr>
        <w:tc>
          <w:tcPr>
            <w:tcW w:w="7024" w:type="dxa"/>
          </w:tcPr>
          <w:p w14:paraId="51212374" w14:textId="3DCC570F" w:rsidR="000C1462" w:rsidRPr="00653E85" w:rsidRDefault="000C1462" w:rsidP="00B62DE4">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Elevi, studenți</w:t>
            </w:r>
          </w:p>
        </w:tc>
        <w:tc>
          <w:tcPr>
            <w:tcW w:w="2545" w:type="dxa"/>
          </w:tcPr>
          <w:p w14:paraId="7F59F3F3"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442 400</w:t>
            </w:r>
          </w:p>
        </w:tc>
      </w:tr>
      <w:tr w:rsidR="000C1462" w:rsidRPr="00B7675F" w14:paraId="72D8044D" w14:textId="77777777" w:rsidTr="00D30FC7">
        <w:trPr>
          <w:trHeight w:val="20"/>
        </w:trPr>
        <w:tc>
          <w:tcPr>
            <w:tcW w:w="7024" w:type="dxa"/>
          </w:tcPr>
          <w:p w14:paraId="05B0039B" w14:textId="7A11B43D" w:rsidR="000C1462" w:rsidRPr="00653E85" w:rsidRDefault="000C1462" w:rsidP="00B62DE4">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Pensionari (limită de vârstă, dizabilitate etc.)</w:t>
            </w:r>
          </w:p>
        </w:tc>
        <w:tc>
          <w:tcPr>
            <w:tcW w:w="2545" w:type="dxa"/>
          </w:tcPr>
          <w:p w14:paraId="4C870502"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505 419</w:t>
            </w:r>
          </w:p>
        </w:tc>
      </w:tr>
      <w:tr w:rsidR="000C1462" w:rsidRPr="00B7675F" w14:paraId="56FE9BE7" w14:textId="77777777" w:rsidTr="00D30FC7">
        <w:trPr>
          <w:trHeight w:val="20"/>
        </w:trPr>
        <w:tc>
          <w:tcPr>
            <w:tcW w:w="7024" w:type="dxa"/>
          </w:tcPr>
          <w:p w14:paraId="6429F15C" w14:textId="143C806C" w:rsidR="000C1462" w:rsidRPr="00653E85" w:rsidRDefault="000C1462" w:rsidP="00B62DE4">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Beneficiari de alocații sociale care nu lucrează</w:t>
            </w:r>
          </w:p>
        </w:tc>
        <w:tc>
          <w:tcPr>
            <w:tcW w:w="2545" w:type="dxa"/>
          </w:tcPr>
          <w:p w14:paraId="381D4C23"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63 488</w:t>
            </w:r>
          </w:p>
        </w:tc>
      </w:tr>
      <w:tr w:rsidR="000C1462" w:rsidRPr="00B7675F" w14:paraId="422C9FAA" w14:textId="77777777" w:rsidTr="00D30FC7">
        <w:trPr>
          <w:trHeight w:val="20"/>
        </w:trPr>
        <w:tc>
          <w:tcPr>
            <w:tcW w:w="7024" w:type="dxa"/>
          </w:tcPr>
          <w:p w14:paraId="00AFC7CF" w14:textId="7017773D" w:rsidR="000C1462" w:rsidRPr="00653E85" w:rsidRDefault="000C1462" w:rsidP="00B62DE4">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Beneficiari de alocații de îngrijire a persoanelor cu dizabilități</w:t>
            </w:r>
          </w:p>
        </w:tc>
        <w:tc>
          <w:tcPr>
            <w:tcW w:w="2545" w:type="dxa"/>
          </w:tcPr>
          <w:p w14:paraId="72911056"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12 500</w:t>
            </w:r>
          </w:p>
        </w:tc>
      </w:tr>
      <w:tr w:rsidR="000C1462" w:rsidRPr="00B7675F" w14:paraId="2A23345A" w14:textId="77777777" w:rsidTr="00D30FC7">
        <w:trPr>
          <w:trHeight w:val="20"/>
        </w:trPr>
        <w:tc>
          <w:tcPr>
            <w:tcW w:w="7024" w:type="dxa"/>
          </w:tcPr>
          <w:p w14:paraId="44F61BD8" w14:textId="4F464E5A" w:rsidR="000C1462" w:rsidRPr="00653E85" w:rsidRDefault="000C1462" w:rsidP="00902A0E">
            <w:pPr>
              <w:pStyle w:val="aa"/>
              <w:numPr>
                <w:ilvl w:val="0"/>
                <w:numId w:val="36"/>
              </w:numPr>
              <w:jc w:val="both"/>
              <w:rPr>
                <w:rFonts w:asciiTheme="majorHAnsi" w:hAnsiTheme="majorHAnsi" w:cstheme="majorHAnsi"/>
                <w:szCs w:val="24"/>
                <w:lang w:val="ro-MD"/>
              </w:rPr>
            </w:pPr>
            <w:r w:rsidRPr="00653E85">
              <w:rPr>
                <w:rFonts w:asciiTheme="majorHAnsi" w:hAnsiTheme="majorHAnsi" w:cstheme="majorHAnsi"/>
                <w:szCs w:val="24"/>
                <w:lang w:val="ro-MD"/>
              </w:rPr>
              <w:t>Beneficiari de indemnizații ale familiilor cu copii</w:t>
            </w:r>
          </w:p>
        </w:tc>
        <w:tc>
          <w:tcPr>
            <w:tcW w:w="2545" w:type="dxa"/>
          </w:tcPr>
          <w:p w14:paraId="3096F434" w14:textId="77777777" w:rsidR="000C1462" w:rsidRPr="00653E85" w:rsidRDefault="000C1462" w:rsidP="00860800">
            <w:pPr>
              <w:jc w:val="right"/>
              <w:rPr>
                <w:rFonts w:asciiTheme="majorHAnsi" w:hAnsiTheme="majorHAnsi" w:cstheme="majorHAnsi"/>
                <w:szCs w:val="24"/>
                <w:lang w:val="ro-MD"/>
              </w:rPr>
            </w:pPr>
            <w:r w:rsidRPr="00653E85">
              <w:rPr>
                <w:rFonts w:asciiTheme="majorHAnsi" w:hAnsiTheme="majorHAnsi" w:cstheme="majorHAnsi"/>
                <w:szCs w:val="24"/>
                <w:lang w:val="ro-MD"/>
              </w:rPr>
              <w:t>58 405</w:t>
            </w:r>
          </w:p>
        </w:tc>
      </w:tr>
      <w:tr w:rsidR="000C1462" w:rsidRPr="00B7675F" w14:paraId="6EBB8819" w14:textId="77777777" w:rsidTr="00D30FC7">
        <w:trPr>
          <w:trHeight w:val="20"/>
        </w:trPr>
        <w:tc>
          <w:tcPr>
            <w:tcW w:w="7024" w:type="dxa"/>
          </w:tcPr>
          <w:p w14:paraId="239C22C9" w14:textId="77777777" w:rsidR="000C1462" w:rsidRPr="00653E85" w:rsidRDefault="000C1462" w:rsidP="00902A0E">
            <w:pPr>
              <w:jc w:val="both"/>
              <w:rPr>
                <w:rFonts w:asciiTheme="majorHAnsi" w:hAnsiTheme="majorHAnsi" w:cstheme="majorHAnsi"/>
                <w:b/>
                <w:szCs w:val="24"/>
                <w:lang w:val="ro-MD"/>
              </w:rPr>
            </w:pPr>
            <w:r w:rsidRPr="00653E85">
              <w:rPr>
                <w:rFonts w:asciiTheme="majorHAnsi" w:hAnsiTheme="majorHAnsi" w:cstheme="majorHAnsi"/>
                <w:b/>
                <w:szCs w:val="24"/>
                <w:lang w:val="ro-MD"/>
              </w:rPr>
              <w:t xml:space="preserve">Persoane apte de muncă neîncadrate </w:t>
            </w:r>
          </w:p>
        </w:tc>
        <w:tc>
          <w:tcPr>
            <w:tcW w:w="2545" w:type="dxa"/>
          </w:tcPr>
          <w:p w14:paraId="37EF3470" w14:textId="77777777" w:rsidR="000C1462" w:rsidRPr="00653E85" w:rsidRDefault="000C1462" w:rsidP="00860800">
            <w:pPr>
              <w:jc w:val="right"/>
              <w:rPr>
                <w:rFonts w:asciiTheme="majorHAnsi" w:hAnsiTheme="majorHAnsi" w:cstheme="majorHAnsi"/>
                <w:b/>
                <w:szCs w:val="24"/>
                <w:lang w:val="ro-MD"/>
              </w:rPr>
            </w:pPr>
            <w:r w:rsidRPr="00653E85">
              <w:rPr>
                <w:rFonts w:asciiTheme="majorHAnsi" w:hAnsiTheme="majorHAnsi" w:cstheme="majorHAnsi"/>
                <w:b/>
                <w:szCs w:val="24"/>
                <w:lang w:val="ro-MD"/>
              </w:rPr>
              <w:t>498 821</w:t>
            </w:r>
          </w:p>
        </w:tc>
      </w:tr>
    </w:tbl>
    <w:p w14:paraId="5C2F3468" w14:textId="75BC8F44" w:rsidR="007C5883" w:rsidRPr="00653E85" w:rsidRDefault="000C416F" w:rsidP="00FF3AE0">
      <w:pPr>
        <w:rPr>
          <w:rFonts w:asciiTheme="majorHAnsi" w:hAnsiTheme="majorHAnsi" w:cstheme="majorHAnsi"/>
          <w:i/>
          <w:szCs w:val="24"/>
          <w:lang w:val="ro-MD"/>
        </w:rPr>
      </w:pPr>
      <w:r w:rsidRPr="00653E85">
        <w:rPr>
          <w:rFonts w:asciiTheme="majorHAnsi" w:hAnsiTheme="majorHAnsi" w:cstheme="majorHAnsi"/>
          <w:i/>
          <w:szCs w:val="24"/>
          <w:lang w:val="ro-MD"/>
        </w:rPr>
        <w:t>Sursa: Rapoarte</w:t>
      </w:r>
      <w:r w:rsidR="00B62DE4" w:rsidRPr="00653E85">
        <w:rPr>
          <w:rFonts w:asciiTheme="majorHAnsi" w:hAnsiTheme="majorHAnsi" w:cstheme="majorHAnsi"/>
          <w:i/>
          <w:szCs w:val="24"/>
          <w:lang w:val="ro-MD"/>
        </w:rPr>
        <w:t>le</w:t>
      </w:r>
      <w:r w:rsidRPr="00653E85">
        <w:rPr>
          <w:rFonts w:asciiTheme="majorHAnsi" w:hAnsiTheme="majorHAnsi" w:cstheme="majorHAnsi"/>
          <w:i/>
          <w:szCs w:val="24"/>
          <w:lang w:val="ro-MD"/>
        </w:rPr>
        <w:t xml:space="preserve"> CNAS, </w:t>
      </w:r>
      <w:r w:rsidRPr="00653E85">
        <w:rPr>
          <w:rFonts w:asciiTheme="majorHAnsi" w:hAnsiTheme="majorHAnsi" w:cstheme="majorHAnsi"/>
          <w:i/>
          <w:color w:val="1F3864" w:themeColor="accent5" w:themeShade="80"/>
          <w:szCs w:val="24"/>
          <w:u w:val="single"/>
          <w:lang w:val="ro-MD"/>
        </w:rPr>
        <w:t>www.statistica.md</w:t>
      </w:r>
    </w:p>
    <w:p w14:paraId="6EB6A006" w14:textId="5281302F" w:rsidR="00976EF4" w:rsidRPr="00B7675F" w:rsidRDefault="00976EF4" w:rsidP="005A44A2">
      <w:pPr>
        <w:pStyle w:val="aa"/>
        <w:numPr>
          <w:ilvl w:val="1"/>
          <w:numId w:val="2"/>
        </w:numPr>
        <w:shd w:val="clear" w:color="auto" w:fill="FFFFFF" w:themeFill="background1"/>
        <w:spacing w:line="276" w:lineRule="auto"/>
        <w:ind w:left="0" w:firstLine="0"/>
        <w:jc w:val="both"/>
        <w:outlineLvl w:val="1"/>
        <w:rPr>
          <w:rFonts w:asciiTheme="majorHAnsi" w:hAnsiTheme="majorHAnsi" w:cstheme="majorHAnsi"/>
          <w:sz w:val="24"/>
          <w:szCs w:val="24"/>
          <w:lang w:val="ro-MD"/>
        </w:rPr>
      </w:pPr>
      <w:r w:rsidRPr="00B7675F">
        <w:rPr>
          <w:rFonts w:asciiTheme="majorHAnsi" w:eastAsia="SimSun" w:hAnsiTheme="majorHAnsi" w:cstheme="majorHAnsi"/>
          <w:b/>
          <w:sz w:val="24"/>
          <w:szCs w:val="28"/>
          <w:lang w:val="ro-MD"/>
        </w:rPr>
        <w:t>Achitarea dividendelor la o cotă impoz</w:t>
      </w:r>
      <w:r w:rsidRPr="0038225D">
        <w:rPr>
          <w:rFonts w:asciiTheme="majorHAnsi" w:eastAsia="SimSun" w:hAnsiTheme="majorHAnsi" w:cstheme="majorHAnsi"/>
          <w:b/>
          <w:sz w:val="24"/>
          <w:szCs w:val="28"/>
          <w:lang w:val="ro-MD"/>
        </w:rPr>
        <w:t>abilă de doar 6%, comparativ cu celelalte impozite achitate la plățile salariale, este o metodă legală ce favorizează riscul apariției și menținerii salariilor în plic</w:t>
      </w:r>
      <w:r w:rsidR="002F4D18" w:rsidRPr="00B7675F">
        <w:rPr>
          <w:rFonts w:asciiTheme="majorHAnsi" w:eastAsia="SimSun" w:hAnsiTheme="majorHAnsi" w:cstheme="majorHAnsi"/>
          <w:b/>
          <w:sz w:val="24"/>
          <w:szCs w:val="28"/>
          <w:lang w:val="ro-MD"/>
        </w:rPr>
        <w:t>.</w:t>
      </w:r>
    </w:p>
    <w:p w14:paraId="6D3017E1" w14:textId="3A0BBF8E" w:rsidR="00C67851" w:rsidRPr="00B7675F" w:rsidRDefault="001F2D39" w:rsidP="00976EF4">
      <w:pPr>
        <w:shd w:val="clear" w:color="auto" w:fill="FFFFFF" w:themeFill="background1"/>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Utilizarea „muncii la negru” este un fenomen care generează efecte negative asupra bugetului de stat, bugetului asigurărilor sociale, fondurilor asigurării obligatorii de asistență medicală, dar și</w:t>
      </w:r>
      <w:r w:rsidR="002F4D1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nemijlocit</w:t>
      </w:r>
      <w:r w:rsidR="002F4D1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asupra angajaților și angajatorilor. Acceptând „salariul în plic”, angajații riscă să fie lipsiți de o pensie decentă, de un pachet social motivant, de o asigurare medicală de calitate, de protecție socială a familiei lor, de concedii de odihnă plătite, de indemnizații decente.</w:t>
      </w:r>
      <w:r w:rsidRPr="00653E85">
        <w:rPr>
          <w:rFonts w:asciiTheme="majorHAnsi" w:hAnsiTheme="majorHAnsi" w:cstheme="majorHAnsi"/>
          <w:lang w:val="ro-MD"/>
        </w:rPr>
        <w:t xml:space="preserve"> </w:t>
      </w:r>
      <w:r w:rsidR="00FF40B9" w:rsidRPr="00B7675F">
        <w:rPr>
          <w:rFonts w:asciiTheme="majorHAnsi" w:hAnsiTheme="majorHAnsi" w:cstheme="majorHAnsi"/>
          <w:sz w:val="24"/>
          <w:szCs w:val="24"/>
          <w:lang w:val="ro-MD"/>
        </w:rPr>
        <w:t xml:space="preserve">Achitarea dividendelor la o cotă impozabilă de doar 6%, comparativ cu celelalte impozite achitate la plățile </w:t>
      </w:r>
      <w:r w:rsidR="00FF40B9" w:rsidRPr="0038225D">
        <w:rPr>
          <w:rFonts w:asciiTheme="majorHAnsi" w:hAnsiTheme="majorHAnsi" w:cstheme="majorHAnsi"/>
          <w:sz w:val="24"/>
          <w:szCs w:val="24"/>
          <w:lang w:val="ro-MD"/>
        </w:rPr>
        <w:t xml:space="preserve">salariale, este o metodă legală ce favorizează </w:t>
      </w:r>
      <w:r w:rsidR="00FF40B9" w:rsidRPr="00FB7074">
        <w:rPr>
          <w:rFonts w:asciiTheme="majorHAnsi" w:hAnsiTheme="majorHAnsi" w:cstheme="majorHAnsi"/>
          <w:sz w:val="24"/>
          <w:szCs w:val="24"/>
          <w:lang w:val="ro-MD"/>
        </w:rPr>
        <w:t xml:space="preserve">riscul apariției și menținerii </w:t>
      </w:r>
      <w:r w:rsidR="002F4D18" w:rsidRPr="00FB7074">
        <w:rPr>
          <w:rFonts w:asciiTheme="majorHAnsi" w:hAnsiTheme="majorHAnsi" w:cstheme="majorHAnsi"/>
          <w:sz w:val="24"/>
          <w:szCs w:val="24"/>
          <w:lang w:val="ro-MD"/>
        </w:rPr>
        <w:t>„</w:t>
      </w:r>
      <w:r w:rsidR="00FF40B9" w:rsidRPr="00FB7074">
        <w:rPr>
          <w:rFonts w:asciiTheme="majorHAnsi" w:hAnsiTheme="majorHAnsi" w:cstheme="majorHAnsi"/>
          <w:sz w:val="24"/>
          <w:szCs w:val="24"/>
          <w:lang w:val="ro-MD"/>
        </w:rPr>
        <w:t>salariilor în plic</w:t>
      </w:r>
      <w:r w:rsidR="002F4D18" w:rsidRPr="00FB7074">
        <w:rPr>
          <w:rFonts w:asciiTheme="majorHAnsi" w:hAnsiTheme="majorHAnsi" w:cstheme="majorHAnsi"/>
          <w:sz w:val="24"/>
          <w:szCs w:val="24"/>
          <w:lang w:val="ro-MD"/>
        </w:rPr>
        <w:t>”</w:t>
      </w:r>
      <w:r w:rsidR="00FF40B9" w:rsidRPr="00FB7074">
        <w:rPr>
          <w:rFonts w:asciiTheme="majorHAnsi" w:hAnsiTheme="majorHAnsi" w:cstheme="majorHAnsi"/>
          <w:sz w:val="24"/>
          <w:szCs w:val="24"/>
          <w:lang w:val="ro-MD"/>
        </w:rPr>
        <w:t>. A</w:t>
      </w:r>
      <w:r w:rsidRPr="00FB7074">
        <w:rPr>
          <w:rFonts w:asciiTheme="majorHAnsi" w:hAnsiTheme="majorHAnsi" w:cstheme="majorHAnsi"/>
          <w:sz w:val="24"/>
          <w:szCs w:val="24"/>
          <w:lang w:val="ro-MD"/>
        </w:rPr>
        <w:t>stfel,</w:t>
      </w:r>
      <w:r w:rsidR="0054291A" w:rsidRPr="00FB7074">
        <w:rPr>
          <w:rFonts w:asciiTheme="majorHAnsi" w:hAnsiTheme="majorHAnsi" w:cstheme="majorHAnsi"/>
          <w:sz w:val="24"/>
          <w:szCs w:val="24"/>
          <w:lang w:val="ro-MD"/>
        </w:rPr>
        <w:t xml:space="preserve"> </w:t>
      </w:r>
      <w:r w:rsidR="00C67851" w:rsidRPr="00FB7074">
        <w:rPr>
          <w:rFonts w:asciiTheme="majorHAnsi" w:hAnsiTheme="majorHAnsi" w:cstheme="majorHAnsi"/>
          <w:sz w:val="24"/>
          <w:szCs w:val="24"/>
          <w:lang w:val="ro-MD"/>
        </w:rPr>
        <w:t>pentru perioada 2020-2022 au beneficiat de dividende 29</w:t>
      </w:r>
      <w:r w:rsidR="00625691" w:rsidRPr="00FB7074">
        <w:rPr>
          <w:rFonts w:asciiTheme="majorHAnsi" w:hAnsiTheme="majorHAnsi" w:cstheme="majorHAnsi"/>
          <w:sz w:val="24"/>
          <w:szCs w:val="24"/>
          <w:lang w:val="ro-MD"/>
        </w:rPr>
        <w:t xml:space="preserve"> </w:t>
      </w:r>
      <w:r w:rsidR="00C67851" w:rsidRPr="00FB7074">
        <w:rPr>
          <w:rFonts w:asciiTheme="majorHAnsi" w:hAnsiTheme="majorHAnsi" w:cstheme="majorHAnsi"/>
          <w:sz w:val="24"/>
          <w:szCs w:val="24"/>
          <w:lang w:val="ro-MD"/>
        </w:rPr>
        <w:t xml:space="preserve">544 </w:t>
      </w:r>
      <w:r w:rsidR="002F4D18" w:rsidRPr="00FB7074">
        <w:rPr>
          <w:rFonts w:asciiTheme="majorHAnsi" w:hAnsiTheme="majorHAnsi" w:cstheme="majorHAnsi"/>
          <w:sz w:val="24"/>
          <w:szCs w:val="24"/>
          <w:lang w:val="ro-MD"/>
        </w:rPr>
        <w:t xml:space="preserve">de </w:t>
      </w:r>
      <w:r w:rsidR="001C61F8" w:rsidRPr="00FB7074">
        <w:rPr>
          <w:rFonts w:asciiTheme="majorHAnsi" w:hAnsiTheme="majorHAnsi" w:cstheme="majorHAnsi"/>
          <w:sz w:val="24"/>
          <w:szCs w:val="24"/>
          <w:lang w:val="ro-MD"/>
        </w:rPr>
        <w:t>persoane</w:t>
      </w:r>
      <w:r w:rsidR="00C67851" w:rsidRPr="00FB7074">
        <w:rPr>
          <w:rFonts w:asciiTheme="majorHAnsi" w:hAnsiTheme="majorHAnsi" w:cstheme="majorHAnsi"/>
          <w:sz w:val="24"/>
          <w:szCs w:val="24"/>
          <w:lang w:val="ro-MD"/>
        </w:rPr>
        <w:t>, valoarea dividendelor achitate de către operatorii economici (S</w:t>
      </w:r>
      <w:r w:rsidR="00625691" w:rsidRPr="00FB7074">
        <w:rPr>
          <w:rFonts w:asciiTheme="majorHAnsi" w:hAnsiTheme="majorHAnsi" w:cstheme="majorHAnsi"/>
          <w:sz w:val="24"/>
          <w:szCs w:val="24"/>
          <w:lang w:val="ro-MD"/>
        </w:rPr>
        <w:t xml:space="preserve">RL) </w:t>
      </w:r>
      <w:r w:rsidR="001C61F8" w:rsidRPr="00FB7074">
        <w:rPr>
          <w:rFonts w:asciiTheme="majorHAnsi" w:hAnsiTheme="majorHAnsi" w:cstheme="majorHAnsi"/>
          <w:sz w:val="24"/>
          <w:szCs w:val="24"/>
          <w:lang w:val="ro-MD"/>
        </w:rPr>
        <w:t>fondatorilor</w:t>
      </w:r>
      <w:r w:rsidR="00625691" w:rsidRPr="00FB7074">
        <w:rPr>
          <w:rFonts w:asciiTheme="majorHAnsi" w:hAnsiTheme="majorHAnsi" w:cstheme="majorHAnsi"/>
          <w:sz w:val="24"/>
          <w:szCs w:val="24"/>
          <w:lang w:val="ro-MD"/>
        </w:rPr>
        <w:t xml:space="preserve"> a constituit 26 </w:t>
      </w:r>
      <w:r w:rsidR="00C67851" w:rsidRPr="00FB7074">
        <w:rPr>
          <w:rFonts w:asciiTheme="majorHAnsi" w:hAnsiTheme="majorHAnsi" w:cstheme="majorHAnsi"/>
          <w:sz w:val="24"/>
          <w:szCs w:val="24"/>
          <w:lang w:val="ro-MD"/>
        </w:rPr>
        <w:t>555,0 mil. lei, iar impozitul pe venit reținut din dividende a constituit 1</w:t>
      </w:r>
      <w:r w:rsidR="00625691" w:rsidRPr="00FB7074">
        <w:rPr>
          <w:rFonts w:asciiTheme="majorHAnsi" w:hAnsiTheme="majorHAnsi" w:cstheme="majorHAnsi"/>
          <w:sz w:val="24"/>
          <w:szCs w:val="24"/>
          <w:lang w:val="ro-MD"/>
        </w:rPr>
        <w:t xml:space="preserve"> </w:t>
      </w:r>
      <w:r w:rsidR="00C67851" w:rsidRPr="00FB7074">
        <w:rPr>
          <w:rFonts w:asciiTheme="majorHAnsi" w:hAnsiTheme="majorHAnsi" w:cstheme="majorHAnsi"/>
          <w:sz w:val="24"/>
          <w:szCs w:val="24"/>
          <w:lang w:val="ro-MD"/>
        </w:rPr>
        <w:t>616,0 mil. lei.</w:t>
      </w:r>
      <w:r w:rsidR="00C67851" w:rsidRPr="00B7675F">
        <w:rPr>
          <w:rFonts w:asciiTheme="majorHAnsi" w:hAnsiTheme="majorHAnsi" w:cstheme="majorHAnsi"/>
          <w:sz w:val="24"/>
          <w:szCs w:val="24"/>
          <w:lang w:val="ro-MD"/>
        </w:rPr>
        <w:t xml:space="preserve"> </w:t>
      </w:r>
    </w:p>
    <w:p w14:paraId="57B687D8" w14:textId="565BA1EA" w:rsidR="00C67851" w:rsidRPr="00653E85" w:rsidRDefault="00625691" w:rsidP="00C67851">
      <w:pPr>
        <w:shd w:val="clear" w:color="auto" w:fill="FFFFFF" w:themeFill="background1"/>
        <w:tabs>
          <w:tab w:val="left" w:pos="284"/>
          <w:tab w:val="left" w:pos="425"/>
        </w:tabs>
        <w:spacing w:after="0" w:line="276" w:lineRule="auto"/>
        <w:ind w:left="142"/>
        <w:jc w:val="right"/>
        <w:rPr>
          <w:rFonts w:asciiTheme="majorHAnsi" w:eastAsia="Calibri" w:hAnsiTheme="majorHAnsi" w:cstheme="majorHAnsi"/>
          <w:b/>
          <w:sz w:val="24"/>
          <w:szCs w:val="24"/>
          <w:lang w:val="ro-MD"/>
        </w:rPr>
      </w:pPr>
      <w:r w:rsidRPr="00653E85">
        <w:rPr>
          <w:rFonts w:asciiTheme="majorHAnsi" w:eastAsia="Calibri" w:hAnsiTheme="majorHAnsi" w:cstheme="majorHAnsi"/>
          <w:b/>
          <w:sz w:val="24"/>
          <w:szCs w:val="24"/>
          <w:lang w:val="ro-MD"/>
        </w:rPr>
        <w:t>Tabel</w:t>
      </w:r>
      <w:r w:rsidR="002F4D18" w:rsidRPr="00653E85">
        <w:rPr>
          <w:rFonts w:asciiTheme="majorHAnsi" w:eastAsia="Calibri" w:hAnsiTheme="majorHAnsi" w:cstheme="majorHAnsi"/>
          <w:b/>
          <w:sz w:val="24"/>
          <w:szCs w:val="24"/>
          <w:lang w:val="ro-MD"/>
        </w:rPr>
        <w:t>ul</w:t>
      </w:r>
      <w:r w:rsidR="00C67851" w:rsidRPr="00653E85">
        <w:rPr>
          <w:rFonts w:asciiTheme="majorHAnsi" w:eastAsia="Calibri" w:hAnsiTheme="majorHAnsi" w:cstheme="majorHAnsi"/>
          <w:b/>
          <w:sz w:val="24"/>
          <w:szCs w:val="24"/>
          <w:lang w:val="ro-MD"/>
        </w:rPr>
        <w:t xml:space="preserve"> nr.</w:t>
      </w:r>
      <w:r w:rsidR="008D1DF2" w:rsidRPr="00653E85">
        <w:rPr>
          <w:rFonts w:asciiTheme="majorHAnsi" w:eastAsia="Calibri" w:hAnsiTheme="majorHAnsi" w:cstheme="majorHAnsi"/>
          <w:b/>
          <w:sz w:val="24"/>
          <w:szCs w:val="24"/>
          <w:lang w:val="ro-MD"/>
        </w:rPr>
        <w:t>8</w:t>
      </w:r>
    </w:p>
    <w:p w14:paraId="4DF9A5EB" w14:textId="6609A263" w:rsidR="00C67851" w:rsidRPr="00653E85" w:rsidRDefault="003D5986" w:rsidP="00653E85">
      <w:pPr>
        <w:shd w:val="clear" w:color="auto" w:fill="FFFFFF" w:themeFill="background1"/>
        <w:tabs>
          <w:tab w:val="left" w:pos="284"/>
          <w:tab w:val="left" w:pos="425"/>
        </w:tabs>
        <w:spacing w:after="0" w:line="276" w:lineRule="auto"/>
        <w:jc w:val="center"/>
        <w:rPr>
          <w:rFonts w:asciiTheme="majorHAnsi" w:eastAsia="Calibri" w:hAnsiTheme="majorHAnsi" w:cstheme="majorHAnsi"/>
          <w:b/>
          <w:szCs w:val="24"/>
          <w:lang w:val="ro-MD"/>
        </w:rPr>
      </w:pPr>
      <w:r w:rsidRPr="00653E85">
        <w:rPr>
          <w:rFonts w:asciiTheme="majorHAnsi" w:eastAsia="Calibri" w:hAnsiTheme="majorHAnsi" w:cstheme="majorHAnsi"/>
          <w:b/>
          <w:szCs w:val="24"/>
          <w:lang w:val="ro-MD"/>
        </w:rPr>
        <w:t>Analiza privind numărul de beneficiari de dividende și impozitul aferent reținut, pentru anii 2020-2022</w:t>
      </w:r>
    </w:p>
    <w:tbl>
      <w:tblPr>
        <w:tblW w:w="4931" w:type="pct"/>
        <w:tblLook w:val="04A0" w:firstRow="1" w:lastRow="0" w:firstColumn="1" w:lastColumn="0" w:noHBand="0" w:noVBand="1"/>
      </w:tblPr>
      <w:tblGrid>
        <w:gridCol w:w="5021"/>
        <w:gridCol w:w="904"/>
        <w:gridCol w:w="904"/>
        <w:gridCol w:w="975"/>
        <w:gridCol w:w="997"/>
        <w:gridCol w:w="1085"/>
      </w:tblGrid>
      <w:tr w:rsidR="00C67851" w:rsidRPr="00B7675F" w14:paraId="5985331C" w14:textId="77777777" w:rsidTr="00C140E8">
        <w:trPr>
          <w:trHeight w:val="440"/>
        </w:trPr>
        <w:tc>
          <w:tcPr>
            <w:tcW w:w="2540" w:type="pct"/>
            <w:tcBorders>
              <w:top w:val="single" w:sz="4" w:space="0" w:color="auto"/>
              <w:left w:val="single" w:sz="4" w:space="0" w:color="auto"/>
              <w:bottom w:val="single" w:sz="4" w:space="0" w:color="auto"/>
              <w:right w:val="single" w:sz="4" w:space="0" w:color="auto"/>
            </w:tcBorders>
            <w:shd w:val="clear" w:color="auto" w:fill="auto"/>
            <w:hideMark/>
          </w:tcPr>
          <w:p w14:paraId="7D5EF971"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p>
          <w:p w14:paraId="3F94526C"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Indicatori</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382AC224"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Anul</w:t>
            </w:r>
          </w:p>
          <w:p w14:paraId="5B66AECD"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2020</w:t>
            </w:r>
          </w:p>
        </w:tc>
        <w:tc>
          <w:tcPr>
            <w:tcW w:w="457" w:type="pct"/>
            <w:tcBorders>
              <w:top w:val="single" w:sz="4" w:space="0" w:color="auto"/>
              <w:left w:val="nil"/>
              <w:bottom w:val="single" w:sz="4" w:space="0" w:color="auto"/>
              <w:right w:val="single" w:sz="4" w:space="0" w:color="auto"/>
            </w:tcBorders>
            <w:shd w:val="clear" w:color="auto" w:fill="auto"/>
            <w:noWrap/>
            <w:vAlign w:val="center"/>
            <w:hideMark/>
          </w:tcPr>
          <w:p w14:paraId="0D4CD281"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Anul</w:t>
            </w:r>
          </w:p>
          <w:p w14:paraId="57346525"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2021</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101924D2"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Anul</w:t>
            </w:r>
          </w:p>
          <w:p w14:paraId="2FA640BD"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2022</w:t>
            </w:r>
          </w:p>
        </w:tc>
        <w:tc>
          <w:tcPr>
            <w:tcW w:w="504" w:type="pct"/>
            <w:tcBorders>
              <w:top w:val="single" w:sz="4" w:space="0" w:color="auto"/>
              <w:left w:val="nil"/>
              <w:bottom w:val="single" w:sz="4" w:space="0" w:color="auto"/>
              <w:right w:val="single" w:sz="4" w:space="0" w:color="auto"/>
            </w:tcBorders>
            <w:shd w:val="clear" w:color="auto" w:fill="auto"/>
            <w:vAlign w:val="center"/>
            <w:hideMark/>
          </w:tcPr>
          <w:p w14:paraId="180E7232"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 xml:space="preserve">Dinamica </w:t>
            </w:r>
          </w:p>
          <w:p w14:paraId="7D3FB257"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2021-2020</w:t>
            </w:r>
          </w:p>
        </w:tc>
        <w:tc>
          <w:tcPr>
            <w:tcW w:w="549" w:type="pct"/>
            <w:tcBorders>
              <w:top w:val="single" w:sz="4" w:space="0" w:color="auto"/>
              <w:left w:val="nil"/>
              <w:bottom w:val="single" w:sz="4" w:space="0" w:color="auto"/>
              <w:right w:val="single" w:sz="4" w:space="0" w:color="auto"/>
            </w:tcBorders>
            <w:shd w:val="clear" w:color="auto" w:fill="auto"/>
            <w:vAlign w:val="center"/>
            <w:hideMark/>
          </w:tcPr>
          <w:p w14:paraId="0FA9AD11"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 xml:space="preserve">Dinamica </w:t>
            </w:r>
          </w:p>
          <w:p w14:paraId="7B612995" w14:textId="77777777" w:rsidR="00C67851" w:rsidRPr="00653E85" w:rsidRDefault="00C67851" w:rsidP="00C6785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2022-2021</w:t>
            </w:r>
          </w:p>
        </w:tc>
      </w:tr>
      <w:tr w:rsidR="00C67851" w:rsidRPr="00C140E8" w14:paraId="3FFCEBA2" w14:textId="77777777" w:rsidTr="00C140E8">
        <w:trPr>
          <w:trHeight w:val="170"/>
        </w:trPr>
        <w:tc>
          <w:tcPr>
            <w:tcW w:w="2540" w:type="pct"/>
            <w:tcBorders>
              <w:top w:val="nil"/>
              <w:left w:val="single" w:sz="4" w:space="0" w:color="auto"/>
              <w:bottom w:val="single" w:sz="4" w:space="0" w:color="auto"/>
              <w:right w:val="single" w:sz="4" w:space="0" w:color="auto"/>
            </w:tcBorders>
            <w:shd w:val="clear" w:color="auto" w:fill="auto"/>
            <w:hideMark/>
          </w:tcPr>
          <w:p w14:paraId="6606AE48" w14:textId="1AA79BDD" w:rsidR="00C67851" w:rsidRPr="00C140E8" w:rsidRDefault="00C67851" w:rsidP="002F4D18">
            <w:pPr>
              <w:spacing w:after="0" w:line="240" w:lineRule="auto"/>
              <w:rPr>
                <w:rFonts w:asciiTheme="majorHAnsi" w:eastAsia="Times New Roman" w:hAnsiTheme="majorHAnsi" w:cstheme="majorHAnsi"/>
                <w:bCs/>
                <w:color w:val="000000"/>
                <w:sz w:val="20"/>
                <w:szCs w:val="16"/>
                <w:lang w:val="ro-MD"/>
              </w:rPr>
            </w:pPr>
            <w:r w:rsidRPr="00C140E8">
              <w:rPr>
                <w:rFonts w:asciiTheme="majorHAnsi" w:eastAsia="Times New Roman" w:hAnsiTheme="majorHAnsi" w:cstheme="majorHAnsi"/>
                <w:bCs/>
                <w:color w:val="000000"/>
                <w:sz w:val="20"/>
                <w:szCs w:val="16"/>
                <w:lang w:val="ro-MD"/>
              </w:rPr>
              <w:t xml:space="preserve">Nr. </w:t>
            </w:r>
            <w:r w:rsidR="002F4D18" w:rsidRPr="00C140E8">
              <w:rPr>
                <w:rFonts w:asciiTheme="majorHAnsi" w:eastAsia="Times New Roman" w:hAnsiTheme="majorHAnsi" w:cstheme="majorHAnsi"/>
                <w:bCs/>
                <w:color w:val="000000"/>
                <w:sz w:val="20"/>
                <w:szCs w:val="16"/>
                <w:lang w:val="ro-MD"/>
              </w:rPr>
              <w:t>p</w:t>
            </w:r>
            <w:r w:rsidRPr="00C140E8">
              <w:rPr>
                <w:rFonts w:asciiTheme="majorHAnsi" w:eastAsia="Times New Roman" w:hAnsiTheme="majorHAnsi" w:cstheme="majorHAnsi"/>
                <w:bCs/>
                <w:color w:val="000000"/>
                <w:sz w:val="20"/>
                <w:szCs w:val="16"/>
                <w:lang w:val="ro-MD"/>
              </w:rPr>
              <w:t>ersoane/ beneficiari</w:t>
            </w:r>
          </w:p>
        </w:tc>
        <w:tc>
          <w:tcPr>
            <w:tcW w:w="457" w:type="pct"/>
            <w:tcBorders>
              <w:top w:val="nil"/>
              <w:left w:val="nil"/>
              <w:bottom w:val="single" w:sz="4" w:space="0" w:color="auto"/>
              <w:right w:val="single" w:sz="4" w:space="0" w:color="auto"/>
            </w:tcBorders>
            <w:shd w:val="clear" w:color="auto" w:fill="auto"/>
            <w:noWrap/>
            <w:vAlign w:val="center"/>
            <w:hideMark/>
          </w:tcPr>
          <w:p w14:paraId="2958FCB0"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10124</w:t>
            </w:r>
          </w:p>
        </w:tc>
        <w:tc>
          <w:tcPr>
            <w:tcW w:w="457" w:type="pct"/>
            <w:tcBorders>
              <w:top w:val="nil"/>
              <w:left w:val="nil"/>
              <w:bottom w:val="single" w:sz="4" w:space="0" w:color="auto"/>
              <w:right w:val="single" w:sz="4" w:space="0" w:color="auto"/>
            </w:tcBorders>
            <w:shd w:val="clear" w:color="auto" w:fill="auto"/>
            <w:noWrap/>
            <w:vAlign w:val="center"/>
            <w:hideMark/>
          </w:tcPr>
          <w:p w14:paraId="55E2C16E"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10559</w:t>
            </w:r>
          </w:p>
        </w:tc>
        <w:tc>
          <w:tcPr>
            <w:tcW w:w="493" w:type="pct"/>
            <w:tcBorders>
              <w:top w:val="nil"/>
              <w:left w:val="nil"/>
              <w:bottom w:val="single" w:sz="4" w:space="0" w:color="auto"/>
              <w:right w:val="single" w:sz="4" w:space="0" w:color="auto"/>
            </w:tcBorders>
            <w:shd w:val="clear" w:color="auto" w:fill="auto"/>
            <w:noWrap/>
            <w:vAlign w:val="center"/>
            <w:hideMark/>
          </w:tcPr>
          <w:p w14:paraId="77237C76"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8861</w:t>
            </w:r>
          </w:p>
        </w:tc>
        <w:tc>
          <w:tcPr>
            <w:tcW w:w="504" w:type="pct"/>
            <w:tcBorders>
              <w:top w:val="nil"/>
              <w:left w:val="nil"/>
              <w:bottom w:val="single" w:sz="4" w:space="0" w:color="auto"/>
              <w:right w:val="single" w:sz="4" w:space="0" w:color="auto"/>
            </w:tcBorders>
            <w:shd w:val="clear" w:color="auto" w:fill="auto"/>
            <w:vAlign w:val="center"/>
            <w:hideMark/>
          </w:tcPr>
          <w:p w14:paraId="276AC377"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435</w:t>
            </w:r>
          </w:p>
        </w:tc>
        <w:tc>
          <w:tcPr>
            <w:tcW w:w="549" w:type="pct"/>
            <w:tcBorders>
              <w:top w:val="nil"/>
              <w:left w:val="nil"/>
              <w:bottom w:val="single" w:sz="4" w:space="0" w:color="auto"/>
              <w:right w:val="single" w:sz="4" w:space="0" w:color="auto"/>
            </w:tcBorders>
            <w:shd w:val="clear" w:color="auto" w:fill="auto"/>
            <w:vAlign w:val="center"/>
            <w:hideMark/>
          </w:tcPr>
          <w:p w14:paraId="45D964CD"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-1698</w:t>
            </w:r>
          </w:p>
        </w:tc>
      </w:tr>
      <w:tr w:rsidR="00C67851" w:rsidRPr="00C140E8" w14:paraId="6E1AB782" w14:textId="77777777" w:rsidTr="00C140E8">
        <w:trPr>
          <w:trHeight w:val="71"/>
        </w:trPr>
        <w:tc>
          <w:tcPr>
            <w:tcW w:w="2540" w:type="pct"/>
            <w:tcBorders>
              <w:top w:val="nil"/>
              <w:left w:val="single" w:sz="4" w:space="0" w:color="auto"/>
              <w:bottom w:val="single" w:sz="4" w:space="0" w:color="auto"/>
              <w:right w:val="single" w:sz="4" w:space="0" w:color="auto"/>
            </w:tcBorders>
            <w:shd w:val="clear" w:color="auto" w:fill="auto"/>
            <w:hideMark/>
          </w:tcPr>
          <w:p w14:paraId="64E8738D" w14:textId="77777777" w:rsidR="00C67851" w:rsidRPr="00C140E8" w:rsidRDefault="00C67851" w:rsidP="00C67851">
            <w:pPr>
              <w:spacing w:after="0" w:line="240" w:lineRule="auto"/>
              <w:rPr>
                <w:rFonts w:asciiTheme="majorHAnsi" w:eastAsia="Times New Roman" w:hAnsiTheme="majorHAnsi" w:cstheme="majorHAnsi"/>
                <w:bCs/>
                <w:color w:val="000000"/>
                <w:sz w:val="20"/>
                <w:szCs w:val="16"/>
                <w:lang w:val="ro-MD"/>
              </w:rPr>
            </w:pPr>
            <w:r w:rsidRPr="00C140E8">
              <w:rPr>
                <w:rFonts w:asciiTheme="majorHAnsi" w:eastAsia="Times New Roman" w:hAnsiTheme="majorHAnsi" w:cstheme="majorHAnsi"/>
                <w:bCs/>
                <w:color w:val="000000"/>
                <w:sz w:val="20"/>
                <w:szCs w:val="16"/>
                <w:lang w:val="ro-MD"/>
              </w:rPr>
              <w:t>Suma venitului din dividende, mil. lei</w:t>
            </w:r>
          </w:p>
        </w:tc>
        <w:tc>
          <w:tcPr>
            <w:tcW w:w="457" w:type="pct"/>
            <w:tcBorders>
              <w:top w:val="nil"/>
              <w:left w:val="nil"/>
              <w:bottom w:val="single" w:sz="4" w:space="0" w:color="auto"/>
              <w:right w:val="single" w:sz="4" w:space="0" w:color="auto"/>
            </w:tcBorders>
            <w:shd w:val="clear" w:color="auto" w:fill="auto"/>
            <w:noWrap/>
            <w:vAlign w:val="center"/>
            <w:hideMark/>
          </w:tcPr>
          <w:p w14:paraId="44A5CFEC"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7470.23</w:t>
            </w:r>
          </w:p>
        </w:tc>
        <w:tc>
          <w:tcPr>
            <w:tcW w:w="457" w:type="pct"/>
            <w:tcBorders>
              <w:top w:val="nil"/>
              <w:left w:val="nil"/>
              <w:bottom w:val="single" w:sz="4" w:space="0" w:color="auto"/>
              <w:right w:val="single" w:sz="4" w:space="0" w:color="auto"/>
            </w:tcBorders>
            <w:shd w:val="clear" w:color="auto" w:fill="auto"/>
            <w:noWrap/>
            <w:vAlign w:val="center"/>
            <w:hideMark/>
          </w:tcPr>
          <w:p w14:paraId="28267990"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8962.12</w:t>
            </w:r>
          </w:p>
        </w:tc>
        <w:tc>
          <w:tcPr>
            <w:tcW w:w="493" w:type="pct"/>
            <w:tcBorders>
              <w:top w:val="nil"/>
              <w:left w:val="nil"/>
              <w:bottom w:val="single" w:sz="4" w:space="0" w:color="auto"/>
              <w:right w:val="single" w:sz="4" w:space="0" w:color="auto"/>
            </w:tcBorders>
            <w:shd w:val="clear" w:color="auto" w:fill="auto"/>
            <w:noWrap/>
            <w:vAlign w:val="center"/>
            <w:hideMark/>
          </w:tcPr>
          <w:p w14:paraId="67124135"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10122.71</w:t>
            </w:r>
          </w:p>
        </w:tc>
        <w:tc>
          <w:tcPr>
            <w:tcW w:w="504" w:type="pct"/>
            <w:tcBorders>
              <w:top w:val="nil"/>
              <w:left w:val="nil"/>
              <w:bottom w:val="single" w:sz="4" w:space="0" w:color="auto"/>
              <w:right w:val="single" w:sz="4" w:space="0" w:color="auto"/>
            </w:tcBorders>
            <w:shd w:val="clear" w:color="auto" w:fill="auto"/>
            <w:noWrap/>
            <w:vAlign w:val="center"/>
            <w:hideMark/>
          </w:tcPr>
          <w:p w14:paraId="425C7B6D"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1491.89</w:t>
            </w:r>
          </w:p>
        </w:tc>
        <w:tc>
          <w:tcPr>
            <w:tcW w:w="549" w:type="pct"/>
            <w:tcBorders>
              <w:top w:val="nil"/>
              <w:left w:val="nil"/>
              <w:bottom w:val="single" w:sz="4" w:space="0" w:color="auto"/>
              <w:right w:val="single" w:sz="4" w:space="0" w:color="auto"/>
            </w:tcBorders>
            <w:shd w:val="clear" w:color="auto" w:fill="auto"/>
            <w:noWrap/>
            <w:vAlign w:val="center"/>
            <w:hideMark/>
          </w:tcPr>
          <w:p w14:paraId="70F7D106"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1160.59</w:t>
            </w:r>
          </w:p>
        </w:tc>
      </w:tr>
      <w:tr w:rsidR="00C67851" w:rsidRPr="00C140E8" w14:paraId="43B0DE42" w14:textId="77777777" w:rsidTr="00C140E8">
        <w:trPr>
          <w:trHeight w:val="53"/>
        </w:trPr>
        <w:tc>
          <w:tcPr>
            <w:tcW w:w="2540" w:type="pct"/>
            <w:tcBorders>
              <w:top w:val="nil"/>
              <w:left w:val="single" w:sz="4" w:space="0" w:color="auto"/>
              <w:bottom w:val="single" w:sz="4" w:space="0" w:color="auto"/>
              <w:right w:val="single" w:sz="4" w:space="0" w:color="auto"/>
            </w:tcBorders>
            <w:shd w:val="clear" w:color="auto" w:fill="auto"/>
            <w:hideMark/>
          </w:tcPr>
          <w:p w14:paraId="11FED876" w14:textId="77777777" w:rsidR="00C67851" w:rsidRPr="00C140E8" w:rsidRDefault="00C67851" w:rsidP="00C67851">
            <w:pPr>
              <w:spacing w:after="0" w:line="240" w:lineRule="auto"/>
              <w:rPr>
                <w:rFonts w:asciiTheme="majorHAnsi" w:eastAsia="Times New Roman" w:hAnsiTheme="majorHAnsi" w:cstheme="majorHAnsi"/>
                <w:bCs/>
                <w:color w:val="000000"/>
                <w:sz w:val="20"/>
                <w:szCs w:val="16"/>
                <w:lang w:val="ro-MD"/>
              </w:rPr>
            </w:pPr>
            <w:r w:rsidRPr="00C140E8">
              <w:rPr>
                <w:rFonts w:asciiTheme="majorHAnsi" w:eastAsia="Times New Roman" w:hAnsiTheme="majorHAnsi" w:cstheme="majorHAnsi"/>
                <w:bCs/>
                <w:color w:val="000000"/>
                <w:sz w:val="20"/>
                <w:szCs w:val="16"/>
                <w:lang w:val="ro-MD"/>
              </w:rPr>
              <w:t>Suma impozitului pe venit reținut, mil. lei</w:t>
            </w:r>
          </w:p>
        </w:tc>
        <w:tc>
          <w:tcPr>
            <w:tcW w:w="457" w:type="pct"/>
            <w:tcBorders>
              <w:top w:val="nil"/>
              <w:left w:val="nil"/>
              <w:bottom w:val="single" w:sz="4" w:space="0" w:color="auto"/>
              <w:right w:val="single" w:sz="4" w:space="0" w:color="auto"/>
            </w:tcBorders>
            <w:shd w:val="clear" w:color="auto" w:fill="auto"/>
            <w:noWrap/>
            <w:vAlign w:val="center"/>
            <w:hideMark/>
          </w:tcPr>
          <w:p w14:paraId="78C2DF6F"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457.88</w:t>
            </w:r>
          </w:p>
        </w:tc>
        <w:tc>
          <w:tcPr>
            <w:tcW w:w="457" w:type="pct"/>
            <w:tcBorders>
              <w:top w:val="nil"/>
              <w:left w:val="nil"/>
              <w:bottom w:val="single" w:sz="4" w:space="0" w:color="auto"/>
              <w:right w:val="single" w:sz="4" w:space="0" w:color="auto"/>
            </w:tcBorders>
            <w:shd w:val="clear" w:color="auto" w:fill="auto"/>
            <w:noWrap/>
            <w:vAlign w:val="center"/>
            <w:hideMark/>
          </w:tcPr>
          <w:p w14:paraId="6702AAD8"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543.62</w:t>
            </w:r>
          </w:p>
        </w:tc>
        <w:tc>
          <w:tcPr>
            <w:tcW w:w="493" w:type="pct"/>
            <w:tcBorders>
              <w:top w:val="nil"/>
              <w:left w:val="nil"/>
              <w:bottom w:val="single" w:sz="4" w:space="0" w:color="auto"/>
              <w:right w:val="single" w:sz="4" w:space="0" w:color="auto"/>
            </w:tcBorders>
            <w:shd w:val="clear" w:color="auto" w:fill="auto"/>
            <w:noWrap/>
            <w:vAlign w:val="center"/>
            <w:hideMark/>
          </w:tcPr>
          <w:p w14:paraId="6C6114AE"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614.50</w:t>
            </w:r>
          </w:p>
        </w:tc>
        <w:tc>
          <w:tcPr>
            <w:tcW w:w="504" w:type="pct"/>
            <w:tcBorders>
              <w:top w:val="nil"/>
              <w:left w:val="nil"/>
              <w:bottom w:val="single" w:sz="4" w:space="0" w:color="auto"/>
              <w:right w:val="single" w:sz="4" w:space="0" w:color="auto"/>
            </w:tcBorders>
            <w:shd w:val="clear" w:color="auto" w:fill="auto"/>
            <w:noWrap/>
            <w:vAlign w:val="center"/>
            <w:hideMark/>
          </w:tcPr>
          <w:p w14:paraId="63634CD9"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85.74</w:t>
            </w:r>
          </w:p>
        </w:tc>
        <w:tc>
          <w:tcPr>
            <w:tcW w:w="549" w:type="pct"/>
            <w:tcBorders>
              <w:top w:val="nil"/>
              <w:left w:val="nil"/>
              <w:bottom w:val="single" w:sz="4" w:space="0" w:color="auto"/>
              <w:right w:val="single" w:sz="4" w:space="0" w:color="auto"/>
            </w:tcBorders>
            <w:shd w:val="clear" w:color="auto" w:fill="auto"/>
            <w:noWrap/>
            <w:vAlign w:val="center"/>
            <w:hideMark/>
          </w:tcPr>
          <w:p w14:paraId="73880190" w14:textId="77777777" w:rsidR="00C67851" w:rsidRPr="00C140E8" w:rsidRDefault="00C67851" w:rsidP="00CA1DD1">
            <w:pPr>
              <w:spacing w:after="0" w:line="240" w:lineRule="auto"/>
              <w:jc w:val="right"/>
              <w:rPr>
                <w:rFonts w:asciiTheme="majorHAnsi" w:eastAsia="Times New Roman" w:hAnsiTheme="majorHAnsi" w:cstheme="majorHAnsi"/>
                <w:sz w:val="20"/>
                <w:szCs w:val="16"/>
                <w:lang w:val="ro-MD"/>
              </w:rPr>
            </w:pPr>
            <w:r w:rsidRPr="00C140E8">
              <w:rPr>
                <w:rFonts w:asciiTheme="majorHAnsi" w:eastAsia="Times New Roman" w:hAnsiTheme="majorHAnsi" w:cstheme="majorHAnsi"/>
                <w:sz w:val="20"/>
                <w:szCs w:val="16"/>
                <w:lang w:val="ro-MD"/>
              </w:rPr>
              <w:t>70.88</w:t>
            </w:r>
          </w:p>
        </w:tc>
      </w:tr>
    </w:tbl>
    <w:p w14:paraId="455FB190" w14:textId="1A72763E" w:rsidR="00C67851" w:rsidRPr="00653E85" w:rsidRDefault="00C67851" w:rsidP="00C67851">
      <w:pPr>
        <w:tabs>
          <w:tab w:val="left" w:pos="284"/>
          <w:tab w:val="left" w:pos="425"/>
        </w:tabs>
        <w:spacing w:after="0" w:line="276" w:lineRule="auto"/>
        <w:ind w:left="142"/>
        <w:rPr>
          <w:rFonts w:asciiTheme="majorHAnsi" w:eastAsia="Calibri" w:hAnsiTheme="majorHAnsi" w:cstheme="majorHAnsi"/>
          <w:i/>
          <w:sz w:val="20"/>
          <w:szCs w:val="20"/>
          <w:lang w:val="ro-MD"/>
        </w:rPr>
      </w:pPr>
      <w:r w:rsidRPr="00C140E8">
        <w:rPr>
          <w:rFonts w:asciiTheme="majorHAnsi" w:eastAsia="Calibri" w:hAnsiTheme="majorHAnsi" w:cstheme="majorHAnsi"/>
          <w:i/>
          <w:sz w:val="20"/>
          <w:szCs w:val="20"/>
          <w:lang w:val="ro-MD"/>
        </w:rPr>
        <w:t>Sursa: Elaborat de audit în baza datelor prezentate de SFS pentru perioada 2020-2022</w:t>
      </w:r>
      <w:r w:rsidR="002F4D18" w:rsidRPr="00C140E8">
        <w:rPr>
          <w:rFonts w:asciiTheme="majorHAnsi" w:eastAsia="Calibri" w:hAnsiTheme="majorHAnsi" w:cstheme="majorHAnsi"/>
          <w:i/>
          <w:sz w:val="20"/>
          <w:szCs w:val="20"/>
          <w:lang w:val="ro-MD"/>
        </w:rPr>
        <w:t>.</w:t>
      </w:r>
    </w:p>
    <w:p w14:paraId="032BB1FA" w14:textId="77777777" w:rsidR="00C67851" w:rsidRPr="00B7675F" w:rsidRDefault="00C67851" w:rsidP="005A44A2">
      <w:pPr>
        <w:tabs>
          <w:tab w:val="left" w:pos="0"/>
          <w:tab w:val="left" w:pos="425"/>
        </w:tabs>
        <w:spacing w:after="0" w:line="276" w:lineRule="auto"/>
        <w:ind w:left="142" w:firstLine="425"/>
        <w:jc w:val="both"/>
        <w:rPr>
          <w:rFonts w:asciiTheme="majorHAnsi" w:eastAsia="Calibri" w:hAnsiTheme="majorHAnsi" w:cstheme="majorHAnsi"/>
          <w:sz w:val="24"/>
          <w:szCs w:val="24"/>
          <w:lang w:val="ro-MD"/>
        </w:rPr>
      </w:pPr>
    </w:p>
    <w:p w14:paraId="08D65C3D" w14:textId="32FE1C69" w:rsidR="00C67851" w:rsidRPr="00B7675F" w:rsidRDefault="00C67851" w:rsidP="005A44A2">
      <w:pPr>
        <w:shd w:val="clear" w:color="auto" w:fill="FFFFFF" w:themeFill="background1"/>
        <w:spacing w:line="276" w:lineRule="auto"/>
        <w:jc w:val="both"/>
        <w:rPr>
          <w:rFonts w:asciiTheme="majorHAnsi" w:hAnsiTheme="majorHAnsi" w:cstheme="majorHAnsi"/>
          <w:sz w:val="24"/>
          <w:szCs w:val="24"/>
          <w:lang w:val="ro-MD"/>
        </w:rPr>
      </w:pPr>
      <w:r w:rsidRPr="0038225D">
        <w:rPr>
          <w:rFonts w:asciiTheme="majorHAnsi" w:hAnsiTheme="majorHAnsi" w:cstheme="majorHAnsi"/>
          <w:sz w:val="24"/>
          <w:szCs w:val="24"/>
          <w:lang w:val="ro-MD"/>
        </w:rPr>
        <w:t>Pentru perioada 2020-2022</w:t>
      </w:r>
      <w:r w:rsidR="002F4D18"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în cazul a 526 de beneficiari cărora li s-au achitat dividende în sumă de 547,</w:t>
      </w:r>
      <w:r w:rsidR="005F0C90" w:rsidRPr="00B7675F">
        <w:rPr>
          <w:rFonts w:asciiTheme="majorHAnsi" w:hAnsiTheme="majorHAnsi" w:cstheme="majorHAnsi"/>
          <w:sz w:val="24"/>
          <w:szCs w:val="24"/>
          <w:lang w:val="ro-MD"/>
        </w:rPr>
        <w:t>6</w:t>
      </w:r>
      <w:r w:rsidRPr="00B7675F">
        <w:rPr>
          <w:rFonts w:asciiTheme="majorHAnsi" w:hAnsiTheme="majorHAnsi" w:cstheme="majorHAnsi"/>
          <w:sz w:val="24"/>
          <w:szCs w:val="24"/>
          <w:lang w:val="ro-MD"/>
        </w:rPr>
        <w:t xml:space="preserve"> mil</w:t>
      </w:r>
      <w:r w:rsidR="005F0C90"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lei, </w:t>
      </w:r>
      <w:r w:rsidR="0054291A" w:rsidRPr="00B7675F">
        <w:rPr>
          <w:rFonts w:asciiTheme="majorHAnsi" w:hAnsiTheme="majorHAnsi" w:cstheme="majorHAnsi"/>
          <w:sz w:val="24"/>
          <w:szCs w:val="24"/>
          <w:lang w:val="ro-MD"/>
        </w:rPr>
        <w:t>auditul a constatat că a</w:t>
      </w:r>
      <w:r w:rsidRPr="00B7675F">
        <w:rPr>
          <w:rFonts w:asciiTheme="majorHAnsi" w:hAnsiTheme="majorHAnsi" w:cstheme="majorHAnsi"/>
          <w:sz w:val="24"/>
          <w:szCs w:val="24"/>
          <w:lang w:val="ro-MD"/>
        </w:rPr>
        <w:t xml:space="preserve"> fost reținut impozit cu 18,</w:t>
      </w:r>
      <w:r w:rsidR="005F0C90" w:rsidRPr="00B7675F">
        <w:rPr>
          <w:rFonts w:asciiTheme="majorHAnsi" w:hAnsiTheme="majorHAnsi" w:cstheme="majorHAnsi"/>
          <w:sz w:val="24"/>
          <w:szCs w:val="24"/>
          <w:lang w:val="ro-MD"/>
        </w:rPr>
        <w:t>6</w:t>
      </w:r>
      <w:r w:rsidRPr="00B7675F">
        <w:rPr>
          <w:rFonts w:asciiTheme="majorHAnsi" w:hAnsiTheme="majorHAnsi" w:cstheme="majorHAnsi"/>
          <w:sz w:val="24"/>
          <w:szCs w:val="24"/>
          <w:lang w:val="ro-MD"/>
        </w:rPr>
        <w:t xml:space="preserve"> mil. lei mai puțin</w:t>
      </w:r>
      <w:r w:rsidR="002F4D18" w:rsidRPr="00B7675F">
        <w:rPr>
          <w:rFonts w:asciiTheme="majorHAnsi" w:hAnsiTheme="majorHAnsi" w:cstheme="majorHAnsi"/>
          <w:sz w:val="24"/>
          <w:szCs w:val="24"/>
          <w:lang w:val="ro-MD"/>
        </w:rPr>
        <w:t>,</w:t>
      </w:r>
      <w:r w:rsidR="00383B9E" w:rsidRPr="00B7675F">
        <w:rPr>
          <w:rFonts w:asciiTheme="majorHAnsi" w:hAnsiTheme="majorHAnsi" w:cstheme="majorHAnsi"/>
          <w:sz w:val="24"/>
          <w:szCs w:val="24"/>
          <w:lang w:val="ro-MD"/>
        </w:rPr>
        <w:t xml:space="preserve"> sau </w:t>
      </w:r>
      <w:r w:rsidR="00383B9E" w:rsidRPr="00B7675F">
        <w:rPr>
          <w:rFonts w:asciiTheme="majorHAnsi" w:eastAsia="Calibri" w:hAnsiTheme="majorHAnsi" w:cstheme="majorHAnsi"/>
          <w:sz w:val="24"/>
          <w:szCs w:val="24"/>
          <w:lang w:val="ro-MD"/>
        </w:rPr>
        <w:t>56,5%</w:t>
      </w:r>
      <w:r w:rsidRPr="00B7675F">
        <w:rPr>
          <w:rFonts w:asciiTheme="majorHAnsi" w:hAnsiTheme="majorHAnsi" w:cstheme="majorHAnsi"/>
          <w:sz w:val="24"/>
          <w:szCs w:val="24"/>
          <w:lang w:val="ro-MD"/>
        </w:rPr>
        <w:t>, ceea ce constituie un venit ratat pentru bugetul de stat</w:t>
      </w:r>
      <w:r w:rsidR="0054291A" w:rsidRPr="00B7675F">
        <w:rPr>
          <w:rFonts w:asciiTheme="majorHAnsi" w:hAnsiTheme="majorHAnsi" w:cstheme="majorHAnsi"/>
          <w:sz w:val="24"/>
          <w:szCs w:val="24"/>
          <w:lang w:val="ro-MD"/>
        </w:rPr>
        <w:t>, vezi tabelul de mai jos.</w:t>
      </w:r>
      <w:r w:rsidR="009379B3" w:rsidRPr="00B7675F">
        <w:rPr>
          <w:rFonts w:asciiTheme="majorHAnsi" w:hAnsiTheme="majorHAnsi" w:cstheme="majorHAnsi"/>
          <w:sz w:val="24"/>
          <w:szCs w:val="24"/>
          <w:lang w:val="ro-MD"/>
        </w:rPr>
        <w:t xml:space="preserve"> </w:t>
      </w:r>
    </w:p>
    <w:p w14:paraId="229D4031" w14:textId="1923EBAB" w:rsidR="00C67851" w:rsidRPr="00653E85" w:rsidRDefault="00625691" w:rsidP="00C67851">
      <w:pPr>
        <w:shd w:val="clear" w:color="auto" w:fill="FFFFFF" w:themeFill="background1"/>
        <w:tabs>
          <w:tab w:val="left" w:pos="284"/>
          <w:tab w:val="left" w:pos="425"/>
        </w:tabs>
        <w:spacing w:after="0" w:line="276" w:lineRule="auto"/>
        <w:ind w:left="1338"/>
        <w:jc w:val="right"/>
        <w:rPr>
          <w:rFonts w:asciiTheme="majorHAnsi" w:eastAsia="Calibri" w:hAnsiTheme="majorHAnsi" w:cstheme="majorHAnsi"/>
          <w:b/>
          <w:sz w:val="24"/>
          <w:szCs w:val="24"/>
          <w:lang w:val="ro-MD"/>
        </w:rPr>
      </w:pPr>
      <w:r w:rsidRPr="00653E85">
        <w:rPr>
          <w:rFonts w:asciiTheme="majorHAnsi" w:eastAsia="Calibri" w:hAnsiTheme="majorHAnsi" w:cstheme="majorHAnsi"/>
          <w:b/>
          <w:sz w:val="24"/>
          <w:szCs w:val="24"/>
          <w:lang w:val="ro-MD"/>
        </w:rPr>
        <w:t>Tabel</w:t>
      </w:r>
      <w:r w:rsidR="002F4D18" w:rsidRPr="00653E85">
        <w:rPr>
          <w:rFonts w:asciiTheme="majorHAnsi" w:eastAsia="Calibri" w:hAnsiTheme="majorHAnsi" w:cstheme="majorHAnsi"/>
          <w:b/>
          <w:sz w:val="24"/>
          <w:szCs w:val="24"/>
          <w:lang w:val="ro-MD"/>
        </w:rPr>
        <w:t>ul</w:t>
      </w:r>
      <w:r w:rsidRPr="00653E85">
        <w:rPr>
          <w:rFonts w:asciiTheme="majorHAnsi" w:eastAsia="Calibri" w:hAnsiTheme="majorHAnsi" w:cstheme="majorHAnsi"/>
          <w:b/>
          <w:sz w:val="24"/>
          <w:szCs w:val="24"/>
          <w:lang w:val="ro-MD"/>
        </w:rPr>
        <w:t xml:space="preserve"> </w:t>
      </w:r>
      <w:r w:rsidR="00C67851" w:rsidRPr="00653E85">
        <w:rPr>
          <w:rFonts w:asciiTheme="majorHAnsi" w:eastAsia="Calibri" w:hAnsiTheme="majorHAnsi" w:cstheme="majorHAnsi"/>
          <w:b/>
          <w:sz w:val="24"/>
          <w:szCs w:val="24"/>
          <w:lang w:val="ro-MD"/>
        </w:rPr>
        <w:t>nr.</w:t>
      </w:r>
      <w:r w:rsidR="008D1DF2" w:rsidRPr="00653E85">
        <w:rPr>
          <w:rFonts w:asciiTheme="majorHAnsi" w:eastAsia="Calibri" w:hAnsiTheme="majorHAnsi" w:cstheme="majorHAnsi"/>
          <w:b/>
          <w:sz w:val="24"/>
          <w:szCs w:val="24"/>
          <w:lang w:val="ro-MD"/>
        </w:rPr>
        <w:t>9</w:t>
      </w:r>
    </w:p>
    <w:p w14:paraId="05B45BD7" w14:textId="4F0F7C3E" w:rsidR="00C67851" w:rsidRPr="00653E85" w:rsidRDefault="008352F4" w:rsidP="008352F4">
      <w:pPr>
        <w:tabs>
          <w:tab w:val="left" w:pos="284"/>
          <w:tab w:val="left" w:pos="425"/>
        </w:tabs>
        <w:spacing w:after="0" w:line="276" w:lineRule="auto"/>
        <w:jc w:val="center"/>
        <w:rPr>
          <w:rFonts w:asciiTheme="majorHAnsi" w:eastAsia="Calibri" w:hAnsiTheme="majorHAnsi" w:cstheme="majorHAnsi"/>
          <w:b/>
          <w:sz w:val="24"/>
          <w:szCs w:val="24"/>
          <w:lang w:val="ro-MD"/>
        </w:rPr>
      </w:pPr>
      <w:r w:rsidRPr="00653E85">
        <w:rPr>
          <w:rFonts w:asciiTheme="majorHAnsi" w:eastAsia="Calibri" w:hAnsiTheme="majorHAnsi" w:cstheme="majorHAnsi"/>
          <w:b/>
          <w:sz w:val="24"/>
          <w:szCs w:val="24"/>
          <w:lang w:val="ro-MD"/>
        </w:rPr>
        <w:t xml:space="preserve">Analiza privind divergențele între impozitul de venit calculat și cel reținut, </w:t>
      </w:r>
      <w:r w:rsidR="00C67851" w:rsidRPr="00653E85">
        <w:rPr>
          <w:rFonts w:asciiTheme="majorHAnsi" w:eastAsia="Calibri" w:hAnsiTheme="majorHAnsi" w:cstheme="majorHAnsi"/>
          <w:b/>
          <w:sz w:val="24"/>
          <w:szCs w:val="24"/>
          <w:lang w:val="ro-MD"/>
        </w:rPr>
        <w:t>mil. lei</w:t>
      </w:r>
    </w:p>
    <w:tbl>
      <w:tblPr>
        <w:tblW w:w="5000" w:type="pct"/>
        <w:tblLook w:val="04A0" w:firstRow="1" w:lastRow="0" w:firstColumn="1" w:lastColumn="0" w:noHBand="0" w:noVBand="1"/>
      </w:tblPr>
      <w:tblGrid>
        <w:gridCol w:w="2467"/>
        <w:gridCol w:w="1557"/>
        <w:gridCol w:w="1558"/>
        <w:gridCol w:w="1466"/>
        <w:gridCol w:w="1466"/>
        <w:gridCol w:w="1510"/>
      </w:tblGrid>
      <w:tr w:rsidR="00C67851" w:rsidRPr="00B7675F" w14:paraId="6F0F43B7" w14:textId="77777777" w:rsidTr="00625691">
        <w:trPr>
          <w:trHeight w:val="251"/>
        </w:trPr>
        <w:tc>
          <w:tcPr>
            <w:tcW w:w="12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3F7E2" w14:textId="77777777"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Indicatori</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2BB97C75" w14:textId="1B188545"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 xml:space="preserve">Nr. </w:t>
            </w:r>
            <w:r w:rsidR="002F4D18" w:rsidRPr="00653E85">
              <w:rPr>
                <w:rFonts w:asciiTheme="majorHAnsi" w:eastAsia="Times New Roman" w:hAnsiTheme="majorHAnsi" w:cstheme="majorHAnsi"/>
                <w:b/>
                <w:bCs/>
                <w:color w:val="000000"/>
                <w:sz w:val="20"/>
                <w:szCs w:val="16"/>
                <w:lang w:val="ro-MD"/>
              </w:rPr>
              <w:t>p</w:t>
            </w:r>
            <w:r w:rsidRPr="00653E85">
              <w:rPr>
                <w:rFonts w:asciiTheme="majorHAnsi" w:eastAsia="Times New Roman" w:hAnsiTheme="majorHAnsi" w:cstheme="majorHAnsi"/>
                <w:b/>
                <w:bCs/>
                <w:color w:val="000000"/>
                <w:sz w:val="20"/>
                <w:szCs w:val="16"/>
                <w:lang w:val="ro-MD"/>
              </w:rPr>
              <w:t>ersoane/</w:t>
            </w:r>
          </w:p>
          <w:p w14:paraId="05E868F4" w14:textId="77777777"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beneficiari</w:t>
            </w:r>
          </w:p>
        </w:tc>
        <w:tc>
          <w:tcPr>
            <w:tcW w:w="777" w:type="pct"/>
            <w:tcBorders>
              <w:top w:val="single" w:sz="4" w:space="0" w:color="auto"/>
              <w:left w:val="nil"/>
              <w:bottom w:val="single" w:sz="4" w:space="0" w:color="auto"/>
              <w:right w:val="single" w:sz="4" w:space="0" w:color="auto"/>
            </w:tcBorders>
            <w:shd w:val="clear" w:color="auto" w:fill="auto"/>
            <w:vAlign w:val="center"/>
            <w:hideMark/>
          </w:tcPr>
          <w:p w14:paraId="400F00F4" w14:textId="77777777"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Suma venitului din dividende</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1AA45FD8" w14:textId="77777777"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Suma impozitului pe venit reținut</w:t>
            </w:r>
          </w:p>
        </w:tc>
        <w:tc>
          <w:tcPr>
            <w:tcW w:w="731" w:type="pct"/>
            <w:tcBorders>
              <w:top w:val="single" w:sz="4" w:space="0" w:color="auto"/>
              <w:left w:val="nil"/>
              <w:bottom w:val="single" w:sz="4" w:space="0" w:color="auto"/>
              <w:right w:val="single" w:sz="4" w:space="0" w:color="auto"/>
            </w:tcBorders>
            <w:shd w:val="clear" w:color="auto" w:fill="auto"/>
            <w:vAlign w:val="center"/>
            <w:hideMark/>
          </w:tcPr>
          <w:p w14:paraId="2EFD94B9" w14:textId="77777777"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Impozitul pe venit (6%) calculat de audit</w:t>
            </w:r>
          </w:p>
        </w:tc>
        <w:tc>
          <w:tcPr>
            <w:tcW w:w="753" w:type="pct"/>
            <w:tcBorders>
              <w:top w:val="single" w:sz="4" w:space="0" w:color="auto"/>
              <w:left w:val="nil"/>
              <w:bottom w:val="single" w:sz="4" w:space="0" w:color="auto"/>
              <w:right w:val="single" w:sz="4" w:space="0" w:color="auto"/>
            </w:tcBorders>
            <w:shd w:val="clear" w:color="auto" w:fill="auto"/>
            <w:vAlign w:val="center"/>
            <w:hideMark/>
          </w:tcPr>
          <w:p w14:paraId="513F39F9" w14:textId="396A9A36" w:rsidR="00C67851" w:rsidRPr="00653E85" w:rsidRDefault="00C67851" w:rsidP="003D5986">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D</w:t>
            </w:r>
            <w:r w:rsidR="003D5986" w:rsidRPr="00653E85">
              <w:rPr>
                <w:rFonts w:asciiTheme="majorHAnsi" w:eastAsia="Times New Roman" w:hAnsiTheme="majorHAnsi" w:cstheme="majorHAnsi"/>
                <w:b/>
                <w:bCs/>
                <w:color w:val="000000"/>
                <w:sz w:val="20"/>
                <w:szCs w:val="16"/>
                <w:lang w:val="ro-MD"/>
              </w:rPr>
              <w:t>ivergenț</w:t>
            </w:r>
            <w:r w:rsidRPr="00653E85">
              <w:rPr>
                <w:rFonts w:asciiTheme="majorHAnsi" w:eastAsia="Times New Roman" w:hAnsiTheme="majorHAnsi" w:cstheme="majorHAnsi"/>
                <w:b/>
                <w:bCs/>
                <w:color w:val="000000"/>
                <w:sz w:val="20"/>
                <w:szCs w:val="16"/>
                <w:lang w:val="ro-MD"/>
              </w:rPr>
              <w:t>e</w:t>
            </w:r>
          </w:p>
          <w:p w14:paraId="019FEB37" w14:textId="28F40BF5" w:rsidR="00C67851" w:rsidRPr="00653E85" w:rsidRDefault="00C67851" w:rsidP="00625691">
            <w:pPr>
              <w:spacing w:after="0" w:line="240" w:lineRule="auto"/>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(imp. calc</w:t>
            </w:r>
            <w:r w:rsidR="002F4D18" w:rsidRPr="00653E85">
              <w:rPr>
                <w:rFonts w:asciiTheme="majorHAnsi" w:eastAsia="Times New Roman" w:hAnsiTheme="majorHAnsi" w:cstheme="majorHAnsi"/>
                <w:b/>
                <w:bCs/>
                <w:color w:val="000000"/>
                <w:sz w:val="20"/>
                <w:szCs w:val="16"/>
                <w:lang w:val="ro-MD"/>
              </w:rPr>
              <w:t>.</w:t>
            </w:r>
            <w:r w:rsidRPr="00653E85">
              <w:rPr>
                <w:rFonts w:asciiTheme="majorHAnsi" w:eastAsia="Times New Roman" w:hAnsiTheme="majorHAnsi" w:cstheme="majorHAnsi"/>
                <w:b/>
                <w:bCs/>
                <w:color w:val="000000"/>
                <w:sz w:val="20"/>
                <w:szCs w:val="16"/>
                <w:lang w:val="ro-MD"/>
              </w:rPr>
              <w:t xml:space="preserve"> de</w:t>
            </w:r>
            <w:r w:rsidRPr="00653E85">
              <w:rPr>
                <w:rFonts w:asciiTheme="majorHAnsi" w:eastAsia="Times New Roman" w:hAnsiTheme="majorHAnsi" w:cstheme="majorHAnsi"/>
                <w:b/>
                <w:bCs/>
                <w:color w:val="000000"/>
                <w:sz w:val="20"/>
                <w:szCs w:val="16"/>
                <w:shd w:val="clear" w:color="auto" w:fill="9CC2E5" w:themeFill="accent1" w:themeFillTint="99"/>
                <w:lang w:val="ro-MD"/>
              </w:rPr>
              <w:t xml:space="preserve"> </w:t>
            </w:r>
            <w:r w:rsidRPr="00653E85">
              <w:rPr>
                <w:rFonts w:asciiTheme="majorHAnsi" w:eastAsia="Times New Roman" w:hAnsiTheme="majorHAnsi" w:cstheme="majorHAnsi"/>
                <w:b/>
                <w:bCs/>
                <w:color w:val="000000"/>
                <w:sz w:val="20"/>
                <w:szCs w:val="16"/>
                <w:lang w:val="ro-MD"/>
              </w:rPr>
              <w:t>audit</w:t>
            </w:r>
            <w:r w:rsidR="002F4D18" w:rsidRPr="00653E85">
              <w:rPr>
                <w:rFonts w:asciiTheme="majorHAnsi" w:eastAsia="Times New Roman" w:hAnsiTheme="majorHAnsi" w:cstheme="majorHAnsi"/>
                <w:b/>
                <w:bCs/>
                <w:color w:val="000000"/>
                <w:sz w:val="20"/>
                <w:szCs w:val="16"/>
                <w:lang w:val="ro-MD"/>
              </w:rPr>
              <w:t xml:space="preserve"> </w:t>
            </w:r>
            <w:r w:rsidRPr="00653E85">
              <w:rPr>
                <w:rFonts w:asciiTheme="majorHAnsi" w:eastAsia="Times New Roman" w:hAnsiTheme="majorHAnsi" w:cstheme="majorHAnsi"/>
                <w:b/>
                <w:bCs/>
                <w:color w:val="000000"/>
                <w:sz w:val="20"/>
                <w:szCs w:val="16"/>
                <w:lang w:val="ro-MD"/>
              </w:rPr>
              <w:t>-</w:t>
            </w:r>
            <w:r w:rsidR="002F4D18" w:rsidRPr="00653E85">
              <w:rPr>
                <w:rFonts w:asciiTheme="majorHAnsi" w:eastAsia="Times New Roman" w:hAnsiTheme="majorHAnsi" w:cstheme="majorHAnsi"/>
                <w:b/>
                <w:bCs/>
                <w:color w:val="000000"/>
                <w:sz w:val="20"/>
                <w:szCs w:val="16"/>
                <w:lang w:val="ro-MD"/>
              </w:rPr>
              <w:t xml:space="preserve"> </w:t>
            </w:r>
            <w:r w:rsidRPr="00653E85">
              <w:rPr>
                <w:rFonts w:asciiTheme="majorHAnsi" w:eastAsia="Times New Roman" w:hAnsiTheme="majorHAnsi" w:cstheme="majorHAnsi"/>
                <w:b/>
                <w:bCs/>
                <w:color w:val="000000"/>
                <w:sz w:val="20"/>
                <w:szCs w:val="16"/>
                <w:lang w:val="ro-MD"/>
              </w:rPr>
              <w:t>suma</w:t>
            </w:r>
            <w:r w:rsidRPr="00653E85">
              <w:rPr>
                <w:rFonts w:asciiTheme="majorHAnsi" w:eastAsia="Times New Roman" w:hAnsiTheme="majorHAnsi" w:cstheme="majorHAnsi"/>
                <w:b/>
                <w:bCs/>
                <w:color w:val="000000"/>
                <w:sz w:val="20"/>
                <w:szCs w:val="16"/>
                <w:shd w:val="clear" w:color="auto" w:fill="9CC2E5" w:themeFill="accent1" w:themeFillTint="99"/>
                <w:lang w:val="ro-MD"/>
              </w:rPr>
              <w:t xml:space="preserve"> </w:t>
            </w:r>
            <w:r w:rsidRPr="00653E85">
              <w:rPr>
                <w:rFonts w:asciiTheme="majorHAnsi" w:eastAsia="Times New Roman" w:hAnsiTheme="majorHAnsi" w:cstheme="majorHAnsi"/>
                <w:b/>
                <w:bCs/>
                <w:color w:val="000000"/>
                <w:sz w:val="20"/>
                <w:szCs w:val="16"/>
                <w:lang w:val="ro-MD"/>
              </w:rPr>
              <w:t>imp. reținut)</w:t>
            </w:r>
          </w:p>
        </w:tc>
      </w:tr>
      <w:tr w:rsidR="00C67851" w:rsidRPr="00B7675F" w14:paraId="5CA14CAB" w14:textId="77777777" w:rsidTr="00C67851">
        <w:trPr>
          <w:trHeight w:val="188"/>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37A5C02A" w14:textId="77777777" w:rsidR="00C67851" w:rsidRPr="00653E85" w:rsidRDefault="00C67851" w:rsidP="00C67851">
            <w:pPr>
              <w:spacing w:after="0" w:line="240" w:lineRule="auto"/>
              <w:jc w:val="center"/>
              <w:rPr>
                <w:rFonts w:asciiTheme="majorHAnsi" w:eastAsia="Times New Roman" w:hAnsiTheme="majorHAnsi" w:cstheme="majorHAnsi"/>
                <w:b/>
                <w:sz w:val="20"/>
                <w:szCs w:val="16"/>
                <w:lang w:val="ro-MD"/>
              </w:rPr>
            </w:pPr>
            <w:r w:rsidRPr="00653E85">
              <w:rPr>
                <w:rFonts w:asciiTheme="majorHAnsi" w:eastAsia="Times New Roman" w:hAnsiTheme="majorHAnsi" w:cstheme="majorHAnsi"/>
                <w:b/>
                <w:sz w:val="20"/>
                <w:szCs w:val="16"/>
                <w:lang w:val="ro-MD"/>
              </w:rPr>
              <w:t>Anul 2020</w:t>
            </w:r>
          </w:p>
        </w:tc>
        <w:tc>
          <w:tcPr>
            <w:tcW w:w="777" w:type="pct"/>
            <w:tcBorders>
              <w:top w:val="nil"/>
              <w:left w:val="nil"/>
              <w:bottom w:val="single" w:sz="4" w:space="0" w:color="auto"/>
              <w:right w:val="single" w:sz="4" w:space="0" w:color="auto"/>
            </w:tcBorders>
            <w:shd w:val="clear" w:color="auto" w:fill="auto"/>
            <w:noWrap/>
            <w:vAlign w:val="center"/>
            <w:hideMark/>
          </w:tcPr>
          <w:p w14:paraId="6CC9D3DC"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242.00</w:t>
            </w:r>
          </w:p>
        </w:tc>
        <w:tc>
          <w:tcPr>
            <w:tcW w:w="777" w:type="pct"/>
            <w:tcBorders>
              <w:top w:val="nil"/>
              <w:left w:val="nil"/>
              <w:bottom w:val="single" w:sz="4" w:space="0" w:color="auto"/>
              <w:right w:val="single" w:sz="4" w:space="0" w:color="auto"/>
            </w:tcBorders>
            <w:shd w:val="clear" w:color="auto" w:fill="auto"/>
            <w:noWrap/>
            <w:vAlign w:val="center"/>
            <w:hideMark/>
          </w:tcPr>
          <w:p w14:paraId="15D19F80"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179.59</w:t>
            </w:r>
          </w:p>
        </w:tc>
        <w:tc>
          <w:tcPr>
            <w:tcW w:w="731" w:type="pct"/>
            <w:tcBorders>
              <w:top w:val="nil"/>
              <w:left w:val="nil"/>
              <w:bottom w:val="single" w:sz="4" w:space="0" w:color="auto"/>
              <w:right w:val="single" w:sz="4" w:space="0" w:color="auto"/>
            </w:tcBorders>
            <w:shd w:val="clear" w:color="auto" w:fill="auto"/>
            <w:noWrap/>
            <w:vAlign w:val="center"/>
            <w:hideMark/>
          </w:tcPr>
          <w:p w14:paraId="25E0BFA7"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3.42</w:t>
            </w:r>
          </w:p>
        </w:tc>
        <w:tc>
          <w:tcPr>
            <w:tcW w:w="731" w:type="pct"/>
            <w:tcBorders>
              <w:top w:val="nil"/>
              <w:left w:val="nil"/>
              <w:bottom w:val="single" w:sz="4" w:space="0" w:color="auto"/>
              <w:right w:val="single" w:sz="4" w:space="0" w:color="auto"/>
            </w:tcBorders>
            <w:shd w:val="clear" w:color="auto" w:fill="auto"/>
            <w:noWrap/>
            <w:vAlign w:val="center"/>
            <w:hideMark/>
          </w:tcPr>
          <w:p w14:paraId="3A252E74"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10.78</w:t>
            </w:r>
          </w:p>
        </w:tc>
        <w:tc>
          <w:tcPr>
            <w:tcW w:w="753" w:type="pct"/>
            <w:tcBorders>
              <w:top w:val="nil"/>
              <w:left w:val="nil"/>
              <w:bottom w:val="single" w:sz="4" w:space="0" w:color="auto"/>
              <w:right w:val="single" w:sz="4" w:space="0" w:color="auto"/>
            </w:tcBorders>
            <w:shd w:val="clear" w:color="auto" w:fill="auto"/>
            <w:noWrap/>
            <w:vAlign w:val="center"/>
            <w:hideMark/>
          </w:tcPr>
          <w:p w14:paraId="3F73E83D"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7.35</w:t>
            </w:r>
          </w:p>
        </w:tc>
      </w:tr>
      <w:tr w:rsidR="00C67851" w:rsidRPr="00B7675F" w14:paraId="50380990" w14:textId="77777777" w:rsidTr="00C67851">
        <w:trPr>
          <w:trHeight w:val="71"/>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3307142A" w14:textId="77777777" w:rsidR="00C67851" w:rsidRPr="00653E85" w:rsidRDefault="00C67851" w:rsidP="00C67851">
            <w:pPr>
              <w:spacing w:after="0" w:line="240" w:lineRule="auto"/>
              <w:jc w:val="center"/>
              <w:rPr>
                <w:rFonts w:asciiTheme="majorHAnsi" w:eastAsia="Times New Roman" w:hAnsiTheme="majorHAnsi" w:cstheme="majorHAnsi"/>
                <w:b/>
                <w:sz w:val="20"/>
                <w:szCs w:val="16"/>
                <w:lang w:val="ro-MD"/>
              </w:rPr>
            </w:pPr>
            <w:r w:rsidRPr="00653E85">
              <w:rPr>
                <w:rFonts w:asciiTheme="majorHAnsi" w:eastAsia="Times New Roman" w:hAnsiTheme="majorHAnsi" w:cstheme="majorHAnsi"/>
                <w:b/>
                <w:sz w:val="20"/>
                <w:szCs w:val="16"/>
                <w:lang w:val="ro-MD"/>
              </w:rPr>
              <w:t>Anul 2021</w:t>
            </w:r>
          </w:p>
        </w:tc>
        <w:tc>
          <w:tcPr>
            <w:tcW w:w="777" w:type="pct"/>
            <w:tcBorders>
              <w:top w:val="nil"/>
              <w:left w:val="nil"/>
              <w:bottom w:val="single" w:sz="4" w:space="0" w:color="auto"/>
              <w:right w:val="single" w:sz="4" w:space="0" w:color="auto"/>
            </w:tcBorders>
            <w:shd w:val="clear" w:color="auto" w:fill="auto"/>
            <w:noWrap/>
            <w:vAlign w:val="center"/>
            <w:hideMark/>
          </w:tcPr>
          <w:p w14:paraId="319D5325"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167.00</w:t>
            </w:r>
          </w:p>
        </w:tc>
        <w:tc>
          <w:tcPr>
            <w:tcW w:w="777" w:type="pct"/>
            <w:tcBorders>
              <w:top w:val="nil"/>
              <w:left w:val="nil"/>
              <w:bottom w:val="single" w:sz="4" w:space="0" w:color="auto"/>
              <w:right w:val="single" w:sz="4" w:space="0" w:color="auto"/>
            </w:tcBorders>
            <w:shd w:val="clear" w:color="auto" w:fill="auto"/>
            <w:noWrap/>
            <w:vAlign w:val="center"/>
            <w:hideMark/>
          </w:tcPr>
          <w:p w14:paraId="7B8B7BA5"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172.59</w:t>
            </w:r>
          </w:p>
        </w:tc>
        <w:tc>
          <w:tcPr>
            <w:tcW w:w="731" w:type="pct"/>
            <w:tcBorders>
              <w:top w:val="nil"/>
              <w:left w:val="nil"/>
              <w:bottom w:val="single" w:sz="4" w:space="0" w:color="auto"/>
              <w:right w:val="single" w:sz="4" w:space="0" w:color="auto"/>
            </w:tcBorders>
            <w:shd w:val="clear" w:color="auto" w:fill="auto"/>
            <w:noWrap/>
            <w:vAlign w:val="center"/>
            <w:hideMark/>
          </w:tcPr>
          <w:p w14:paraId="3113548A"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3.55</w:t>
            </w:r>
          </w:p>
        </w:tc>
        <w:tc>
          <w:tcPr>
            <w:tcW w:w="731" w:type="pct"/>
            <w:tcBorders>
              <w:top w:val="nil"/>
              <w:left w:val="nil"/>
              <w:bottom w:val="single" w:sz="4" w:space="0" w:color="auto"/>
              <w:right w:val="single" w:sz="4" w:space="0" w:color="auto"/>
            </w:tcBorders>
            <w:shd w:val="clear" w:color="auto" w:fill="auto"/>
            <w:noWrap/>
            <w:vAlign w:val="center"/>
            <w:hideMark/>
          </w:tcPr>
          <w:p w14:paraId="4D9F05AD"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10.34</w:t>
            </w:r>
          </w:p>
        </w:tc>
        <w:tc>
          <w:tcPr>
            <w:tcW w:w="753" w:type="pct"/>
            <w:tcBorders>
              <w:top w:val="nil"/>
              <w:left w:val="nil"/>
              <w:bottom w:val="single" w:sz="4" w:space="0" w:color="auto"/>
              <w:right w:val="single" w:sz="4" w:space="0" w:color="auto"/>
            </w:tcBorders>
            <w:shd w:val="clear" w:color="auto" w:fill="auto"/>
            <w:noWrap/>
            <w:vAlign w:val="center"/>
            <w:hideMark/>
          </w:tcPr>
          <w:p w14:paraId="68A9ABFD"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6.79</w:t>
            </w:r>
          </w:p>
        </w:tc>
      </w:tr>
      <w:tr w:rsidR="00C67851" w:rsidRPr="00B7675F" w14:paraId="2F36ED53" w14:textId="77777777" w:rsidTr="00C67851">
        <w:trPr>
          <w:trHeight w:val="47"/>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10D3AE6F" w14:textId="77777777" w:rsidR="00C67851" w:rsidRPr="00653E85" w:rsidRDefault="00C67851" w:rsidP="00C67851">
            <w:pPr>
              <w:spacing w:after="0" w:line="240" w:lineRule="auto"/>
              <w:jc w:val="center"/>
              <w:rPr>
                <w:rFonts w:asciiTheme="majorHAnsi" w:eastAsia="Times New Roman" w:hAnsiTheme="majorHAnsi" w:cstheme="majorHAnsi"/>
                <w:b/>
                <w:sz w:val="20"/>
                <w:szCs w:val="16"/>
                <w:lang w:val="ro-MD"/>
              </w:rPr>
            </w:pPr>
            <w:r w:rsidRPr="00653E85">
              <w:rPr>
                <w:rFonts w:asciiTheme="majorHAnsi" w:eastAsia="Times New Roman" w:hAnsiTheme="majorHAnsi" w:cstheme="majorHAnsi"/>
                <w:b/>
                <w:sz w:val="20"/>
                <w:szCs w:val="16"/>
                <w:lang w:val="ro-MD"/>
              </w:rPr>
              <w:t>Anul 2022</w:t>
            </w:r>
          </w:p>
        </w:tc>
        <w:tc>
          <w:tcPr>
            <w:tcW w:w="777" w:type="pct"/>
            <w:tcBorders>
              <w:top w:val="nil"/>
              <w:left w:val="nil"/>
              <w:bottom w:val="single" w:sz="4" w:space="0" w:color="auto"/>
              <w:right w:val="single" w:sz="4" w:space="0" w:color="auto"/>
            </w:tcBorders>
            <w:shd w:val="clear" w:color="auto" w:fill="auto"/>
            <w:noWrap/>
            <w:vAlign w:val="center"/>
            <w:hideMark/>
          </w:tcPr>
          <w:p w14:paraId="23D798FD"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117.00</w:t>
            </w:r>
          </w:p>
        </w:tc>
        <w:tc>
          <w:tcPr>
            <w:tcW w:w="777" w:type="pct"/>
            <w:tcBorders>
              <w:top w:val="nil"/>
              <w:left w:val="nil"/>
              <w:bottom w:val="single" w:sz="4" w:space="0" w:color="auto"/>
              <w:right w:val="single" w:sz="4" w:space="0" w:color="auto"/>
            </w:tcBorders>
            <w:shd w:val="clear" w:color="auto" w:fill="auto"/>
            <w:noWrap/>
            <w:vAlign w:val="center"/>
            <w:hideMark/>
          </w:tcPr>
          <w:p w14:paraId="2114F263"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195.40</w:t>
            </w:r>
          </w:p>
        </w:tc>
        <w:tc>
          <w:tcPr>
            <w:tcW w:w="731" w:type="pct"/>
            <w:tcBorders>
              <w:top w:val="nil"/>
              <w:left w:val="nil"/>
              <w:bottom w:val="single" w:sz="4" w:space="0" w:color="auto"/>
              <w:right w:val="single" w:sz="4" w:space="0" w:color="auto"/>
            </w:tcBorders>
            <w:shd w:val="clear" w:color="auto" w:fill="auto"/>
            <w:noWrap/>
            <w:vAlign w:val="center"/>
            <w:hideMark/>
          </w:tcPr>
          <w:p w14:paraId="3BA37697"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7.31</w:t>
            </w:r>
          </w:p>
        </w:tc>
        <w:tc>
          <w:tcPr>
            <w:tcW w:w="731" w:type="pct"/>
            <w:tcBorders>
              <w:top w:val="nil"/>
              <w:left w:val="nil"/>
              <w:bottom w:val="single" w:sz="4" w:space="0" w:color="auto"/>
              <w:right w:val="single" w:sz="4" w:space="0" w:color="auto"/>
            </w:tcBorders>
            <w:shd w:val="clear" w:color="auto" w:fill="auto"/>
            <w:noWrap/>
            <w:vAlign w:val="center"/>
            <w:hideMark/>
          </w:tcPr>
          <w:p w14:paraId="0909424B"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11.72</w:t>
            </w:r>
          </w:p>
        </w:tc>
        <w:tc>
          <w:tcPr>
            <w:tcW w:w="753" w:type="pct"/>
            <w:tcBorders>
              <w:top w:val="nil"/>
              <w:left w:val="nil"/>
              <w:bottom w:val="single" w:sz="4" w:space="0" w:color="auto"/>
              <w:right w:val="single" w:sz="4" w:space="0" w:color="auto"/>
            </w:tcBorders>
            <w:shd w:val="clear" w:color="auto" w:fill="auto"/>
            <w:noWrap/>
            <w:vAlign w:val="center"/>
            <w:hideMark/>
          </w:tcPr>
          <w:p w14:paraId="4340FD01"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4.42</w:t>
            </w:r>
          </w:p>
        </w:tc>
      </w:tr>
      <w:tr w:rsidR="00C67851" w:rsidRPr="00B7675F" w14:paraId="39C68171" w14:textId="77777777" w:rsidTr="003D5986">
        <w:trPr>
          <w:trHeight w:val="251"/>
        </w:trPr>
        <w:tc>
          <w:tcPr>
            <w:tcW w:w="1231" w:type="pct"/>
            <w:tcBorders>
              <w:top w:val="nil"/>
              <w:left w:val="single" w:sz="4" w:space="0" w:color="auto"/>
              <w:bottom w:val="single" w:sz="4" w:space="0" w:color="auto"/>
              <w:right w:val="single" w:sz="4" w:space="0" w:color="auto"/>
            </w:tcBorders>
            <w:shd w:val="clear" w:color="auto" w:fill="auto"/>
            <w:noWrap/>
            <w:vAlign w:val="center"/>
            <w:hideMark/>
          </w:tcPr>
          <w:p w14:paraId="693B5A73" w14:textId="77777777" w:rsidR="00C67851" w:rsidRPr="00653E85" w:rsidRDefault="00C67851" w:rsidP="00625691">
            <w:pPr>
              <w:spacing w:after="0" w:line="240" w:lineRule="auto"/>
              <w:jc w:val="center"/>
              <w:rPr>
                <w:rFonts w:asciiTheme="majorHAnsi" w:eastAsia="Times New Roman" w:hAnsiTheme="majorHAnsi" w:cstheme="majorHAnsi"/>
                <w:b/>
                <w:sz w:val="20"/>
                <w:szCs w:val="16"/>
                <w:lang w:val="ro-MD"/>
              </w:rPr>
            </w:pPr>
            <w:r w:rsidRPr="00653E85">
              <w:rPr>
                <w:rFonts w:asciiTheme="majorHAnsi" w:eastAsia="Times New Roman" w:hAnsiTheme="majorHAnsi" w:cstheme="majorHAnsi"/>
                <w:b/>
                <w:sz w:val="20"/>
                <w:szCs w:val="16"/>
                <w:lang w:val="ro-MD"/>
              </w:rPr>
              <w:t>Total</w:t>
            </w:r>
          </w:p>
        </w:tc>
        <w:tc>
          <w:tcPr>
            <w:tcW w:w="777" w:type="pct"/>
            <w:tcBorders>
              <w:top w:val="nil"/>
              <w:left w:val="nil"/>
              <w:bottom w:val="single" w:sz="4" w:space="0" w:color="auto"/>
              <w:right w:val="single" w:sz="4" w:space="0" w:color="auto"/>
            </w:tcBorders>
            <w:shd w:val="clear" w:color="auto" w:fill="auto"/>
            <w:noWrap/>
            <w:vAlign w:val="center"/>
            <w:hideMark/>
          </w:tcPr>
          <w:p w14:paraId="2509CAB1"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526.00</w:t>
            </w:r>
          </w:p>
        </w:tc>
        <w:tc>
          <w:tcPr>
            <w:tcW w:w="777" w:type="pct"/>
            <w:tcBorders>
              <w:top w:val="nil"/>
              <w:left w:val="nil"/>
              <w:bottom w:val="single" w:sz="4" w:space="0" w:color="auto"/>
              <w:right w:val="single" w:sz="4" w:space="0" w:color="auto"/>
            </w:tcBorders>
            <w:shd w:val="clear" w:color="auto" w:fill="auto"/>
            <w:noWrap/>
            <w:vAlign w:val="center"/>
            <w:hideMark/>
          </w:tcPr>
          <w:p w14:paraId="03B1A4C6"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547.57</w:t>
            </w:r>
          </w:p>
        </w:tc>
        <w:tc>
          <w:tcPr>
            <w:tcW w:w="731" w:type="pct"/>
            <w:tcBorders>
              <w:top w:val="nil"/>
              <w:left w:val="nil"/>
              <w:bottom w:val="single" w:sz="4" w:space="0" w:color="auto"/>
              <w:right w:val="single" w:sz="4" w:space="0" w:color="auto"/>
            </w:tcBorders>
            <w:shd w:val="clear" w:color="auto" w:fill="auto"/>
            <w:noWrap/>
            <w:vAlign w:val="center"/>
            <w:hideMark/>
          </w:tcPr>
          <w:p w14:paraId="510AE372"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14.28</w:t>
            </w:r>
          </w:p>
        </w:tc>
        <w:tc>
          <w:tcPr>
            <w:tcW w:w="731" w:type="pct"/>
            <w:tcBorders>
              <w:top w:val="nil"/>
              <w:left w:val="nil"/>
              <w:bottom w:val="single" w:sz="4" w:space="0" w:color="auto"/>
              <w:right w:val="single" w:sz="4" w:space="0" w:color="auto"/>
            </w:tcBorders>
            <w:shd w:val="clear" w:color="auto" w:fill="auto"/>
            <w:noWrap/>
            <w:vAlign w:val="center"/>
            <w:hideMark/>
          </w:tcPr>
          <w:p w14:paraId="29C46A00"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32.83</w:t>
            </w:r>
          </w:p>
        </w:tc>
        <w:tc>
          <w:tcPr>
            <w:tcW w:w="753" w:type="pct"/>
            <w:tcBorders>
              <w:top w:val="nil"/>
              <w:left w:val="nil"/>
              <w:bottom w:val="single" w:sz="4" w:space="0" w:color="auto"/>
              <w:right w:val="single" w:sz="4" w:space="0" w:color="auto"/>
            </w:tcBorders>
            <w:shd w:val="clear" w:color="auto" w:fill="auto"/>
            <w:noWrap/>
            <w:vAlign w:val="center"/>
            <w:hideMark/>
          </w:tcPr>
          <w:p w14:paraId="6F2356D1" w14:textId="77777777" w:rsidR="00C67851" w:rsidRPr="00653E85" w:rsidRDefault="00C67851" w:rsidP="00C67851">
            <w:pPr>
              <w:spacing w:after="0" w:line="240" w:lineRule="auto"/>
              <w:jc w:val="right"/>
              <w:rPr>
                <w:rFonts w:asciiTheme="majorHAnsi" w:eastAsia="Times New Roman" w:hAnsiTheme="majorHAnsi" w:cstheme="majorHAnsi"/>
                <w:sz w:val="20"/>
                <w:szCs w:val="16"/>
                <w:lang w:val="ro-MD"/>
              </w:rPr>
            </w:pPr>
            <w:r w:rsidRPr="00653E85">
              <w:rPr>
                <w:rFonts w:asciiTheme="majorHAnsi" w:eastAsia="Times New Roman" w:hAnsiTheme="majorHAnsi" w:cstheme="majorHAnsi"/>
                <w:sz w:val="20"/>
                <w:szCs w:val="16"/>
                <w:lang w:val="ro-MD"/>
              </w:rPr>
              <w:t>18.55</w:t>
            </w:r>
          </w:p>
        </w:tc>
      </w:tr>
    </w:tbl>
    <w:p w14:paraId="76ABA6FB" w14:textId="1C734E0B" w:rsidR="003D5986" w:rsidRPr="0038225D" w:rsidRDefault="003D5986" w:rsidP="003D5986">
      <w:pPr>
        <w:tabs>
          <w:tab w:val="left" w:pos="284"/>
          <w:tab w:val="left" w:pos="425"/>
        </w:tabs>
        <w:spacing w:after="0" w:line="276" w:lineRule="auto"/>
        <w:ind w:left="142"/>
        <w:rPr>
          <w:rFonts w:asciiTheme="majorHAnsi" w:eastAsia="Calibri" w:hAnsiTheme="majorHAnsi" w:cstheme="majorHAnsi"/>
          <w:sz w:val="20"/>
          <w:szCs w:val="20"/>
          <w:lang w:val="ro-MD"/>
        </w:rPr>
      </w:pPr>
      <w:r w:rsidRPr="00B7675F">
        <w:rPr>
          <w:rFonts w:asciiTheme="majorHAnsi" w:eastAsia="Calibri" w:hAnsiTheme="majorHAnsi" w:cstheme="majorHAnsi"/>
          <w:sz w:val="20"/>
          <w:szCs w:val="20"/>
          <w:lang w:val="ro-MD"/>
        </w:rPr>
        <w:t>Sursa: Elaborat de audit în baza datelor prezentate de SFS pentru pe</w:t>
      </w:r>
      <w:r w:rsidRPr="0038225D">
        <w:rPr>
          <w:rFonts w:asciiTheme="majorHAnsi" w:eastAsia="Calibri" w:hAnsiTheme="majorHAnsi" w:cstheme="majorHAnsi"/>
          <w:sz w:val="20"/>
          <w:szCs w:val="20"/>
          <w:lang w:val="ro-MD"/>
        </w:rPr>
        <w:t>rioada 2020-2022</w:t>
      </w:r>
    </w:p>
    <w:p w14:paraId="4E84DA1A" w14:textId="77777777" w:rsidR="00A165E0" w:rsidRPr="00653E85" w:rsidRDefault="00A165E0" w:rsidP="00A165E0">
      <w:pPr>
        <w:tabs>
          <w:tab w:val="left" w:pos="284"/>
          <w:tab w:val="left" w:pos="425"/>
        </w:tabs>
        <w:spacing w:after="0" w:line="276" w:lineRule="auto"/>
        <w:jc w:val="both"/>
        <w:rPr>
          <w:rFonts w:asciiTheme="majorHAnsi" w:hAnsiTheme="majorHAnsi" w:cstheme="majorHAnsi"/>
          <w:sz w:val="24"/>
          <w:szCs w:val="24"/>
          <w:lang w:val="ro-MD"/>
        </w:rPr>
      </w:pPr>
    </w:p>
    <w:p w14:paraId="5661D5CA" w14:textId="1C873B04" w:rsidR="00475963" w:rsidRPr="00FB7074" w:rsidRDefault="00A165E0" w:rsidP="00475963">
      <w:pPr>
        <w:tabs>
          <w:tab w:val="left" w:pos="284"/>
          <w:tab w:val="left" w:pos="425"/>
        </w:tabs>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La solicitarea auditului, SFS a informat că neachitarea dividendelor</w:t>
      </w:r>
      <w:r w:rsidR="005F0C90" w:rsidRPr="00653E85">
        <w:rPr>
          <w:rFonts w:asciiTheme="majorHAnsi" w:hAnsiTheme="majorHAnsi" w:cstheme="majorHAnsi"/>
          <w:sz w:val="24"/>
          <w:szCs w:val="24"/>
          <w:lang w:val="ro-MD"/>
        </w:rPr>
        <w:t xml:space="preserve"> </w:t>
      </w:r>
      <w:r w:rsidR="00DC7634" w:rsidRPr="00653E85">
        <w:rPr>
          <w:rFonts w:asciiTheme="majorHAnsi" w:hAnsiTheme="majorHAnsi" w:cstheme="majorHAnsi"/>
          <w:sz w:val="24"/>
          <w:szCs w:val="24"/>
          <w:lang w:val="ro-MD"/>
        </w:rPr>
        <w:t>este</w:t>
      </w:r>
      <w:r w:rsidRPr="00653E85">
        <w:rPr>
          <w:rFonts w:asciiTheme="majorHAnsi" w:hAnsiTheme="majorHAnsi" w:cstheme="majorHAnsi"/>
          <w:sz w:val="24"/>
          <w:szCs w:val="24"/>
          <w:lang w:val="ro-MD"/>
        </w:rPr>
        <w:t xml:space="preserve"> motivat</w:t>
      </w:r>
      <w:r w:rsidR="00DC7634" w:rsidRPr="00653E85">
        <w:rPr>
          <w:rFonts w:asciiTheme="majorHAnsi" w:hAnsiTheme="majorHAnsi" w:cstheme="majorHAnsi"/>
          <w:sz w:val="24"/>
          <w:szCs w:val="24"/>
          <w:lang w:val="ro-MD"/>
        </w:rPr>
        <w:t>ă</w:t>
      </w:r>
      <w:r w:rsidRPr="00653E85">
        <w:rPr>
          <w:rFonts w:asciiTheme="majorHAnsi" w:hAnsiTheme="majorHAnsi" w:cstheme="majorHAnsi"/>
          <w:sz w:val="24"/>
          <w:szCs w:val="24"/>
          <w:lang w:val="ro-MD"/>
        </w:rPr>
        <w:t xml:space="preserve"> prin</w:t>
      </w:r>
      <w:r w:rsidR="00DC7634"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w:t>
      </w:r>
      <w:r w:rsidR="00DC7634"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 xml:space="preserve">nereținerea (reținerea </w:t>
      </w:r>
      <w:r w:rsidRPr="00FB7074">
        <w:rPr>
          <w:rFonts w:asciiTheme="majorHAnsi" w:hAnsiTheme="majorHAnsi" w:cstheme="majorHAnsi"/>
          <w:sz w:val="24"/>
          <w:szCs w:val="24"/>
          <w:lang w:val="ro-MD"/>
        </w:rPr>
        <w:t>integrală) a impozitului pe venit din dividend</w:t>
      </w:r>
      <w:r w:rsidR="00DC7634" w:rsidRPr="00FB7074">
        <w:rPr>
          <w:rFonts w:asciiTheme="majorHAnsi" w:hAnsiTheme="majorHAnsi" w:cstheme="majorHAnsi"/>
          <w:sz w:val="24"/>
          <w:szCs w:val="24"/>
          <w:lang w:val="ro-MD"/>
        </w:rPr>
        <w:t>e</w:t>
      </w:r>
      <w:r w:rsidRPr="00FB7074">
        <w:rPr>
          <w:rFonts w:asciiTheme="majorHAnsi" w:hAnsiTheme="majorHAnsi" w:cstheme="majorHAnsi"/>
          <w:sz w:val="24"/>
          <w:szCs w:val="24"/>
          <w:lang w:val="ro-MD"/>
        </w:rPr>
        <w:t xml:space="preserve"> de către contribuabili</w:t>
      </w:r>
      <w:r w:rsidR="00DC7634" w:rsidRPr="00FB7074">
        <w:rPr>
          <w:rFonts w:asciiTheme="majorHAnsi" w:hAnsiTheme="majorHAnsi" w:cstheme="majorHAnsi"/>
          <w:sz w:val="24"/>
          <w:szCs w:val="24"/>
          <w:lang w:val="ro-MD"/>
        </w:rPr>
        <w:t>i</w:t>
      </w:r>
      <w:r w:rsidRPr="00FB7074">
        <w:rPr>
          <w:rFonts w:asciiTheme="majorHAnsi" w:hAnsiTheme="majorHAnsi" w:cstheme="majorHAnsi"/>
          <w:sz w:val="24"/>
          <w:szCs w:val="24"/>
          <w:lang w:val="ro-MD"/>
        </w:rPr>
        <w:t xml:space="preserve"> care au îndreptat spre plată dividende</w:t>
      </w:r>
      <w:r w:rsidR="005F0C90" w:rsidRPr="00FB7074">
        <w:rPr>
          <w:rFonts w:asciiTheme="majorHAnsi" w:hAnsiTheme="majorHAnsi" w:cstheme="majorHAnsi"/>
          <w:sz w:val="24"/>
          <w:szCs w:val="24"/>
          <w:lang w:val="ro-MD"/>
        </w:rPr>
        <w:t xml:space="preserve"> (13,5 mil.lei)</w:t>
      </w:r>
      <w:r w:rsidRPr="00FB7074">
        <w:rPr>
          <w:rFonts w:asciiTheme="majorHAnsi" w:hAnsiTheme="majorHAnsi" w:cstheme="majorHAnsi"/>
          <w:sz w:val="24"/>
          <w:szCs w:val="24"/>
          <w:lang w:val="ro-MD"/>
        </w:rPr>
        <w:t>; - neasigurarea reflectării (reflectarea deplină) acestora în nota informativă IALS21</w:t>
      </w:r>
      <w:r w:rsidR="005F0C90" w:rsidRPr="00FB7074">
        <w:rPr>
          <w:rFonts w:asciiTheme="majorHAnsi" w:hAnsiTheme="majorHAnsi" w:cstheme="majorHAnsi"/>
          <w:sz w:val="24"/>
          <w:szCs w:val="24"/>
          <w:lang w:val="ro-MD"/>
        </w:rPr>
        <w:t xml:space="preserve"> (5,4 mil. lei)</w:t>
      </w:r>
      <w:r w:rsidRPr="00FB7074">
        <w:rPr>
          <w:rFonts w:asciiTheme="majorHAnsi" w:hAnsiTheme="majorHAnsi" w:cstheme="majorHAnsi"/>
          <w:sz w:val="24"/>
          <w:szCs w:val="24"/>
          <w:lang w:val="ro-MD"/>
        </w:rPr>
        <w:t>.</w:t>
      </w:r>
      <w:r w:rsidR="00475963" w:rsidRPr="00FB7074">
        <w:rPr>
          <w:rFonts w:asciiTheme="majorHAnsi" w:hAnsiTheme="majorHAnsi" w:cstheme="majorHAnsi"/>
          <w:sz w:val="24"/>
          <w:szCs w:val="24"/>
          <w:lang w:val="ro-MD"/>
        </w:rPr>
        <w:t xml:space="preserve"> La acest aspect</w:t>
      </w:r>
      <w:r w:rsidR="008944FF" w:rsidRPr="00FB7074">
        <w:rPr>
          <w:rFonts w:asciiTheme="majorHAnsi" w:hAnsiTheme="majorHAnsi" w:cstheme="majorHAnsi"/>
          <w:sz w:val="24"/>
          <w:szCs w:val="24"/>
          <w:lang w:val="ro-MD"/>
        </w:rPr>
        <w:t>,</w:t>
      </w:r>
      <w:r w:rsidR="00475963" w:rsidRPr="00FB7074">
        <w:rPr>
          <w:rFonts w:asciiTheme="majorHAnsi" w:hAnsiTheme="majorHAnsi" w:cstheme="majorHAnsi"/>
          <w:sz w:val="24"/>
          <w:szCs w:val="24"/>
          <w:lang w:val="ro-MD"/>
        </w:rPr>
        <w:t xml:space="preserve"> SFS, p</w:t>
      </w:r>
      <w:r w:rsidR="00475963" w:rsidRPr="00FB7074">
        <w:rPr>
          <w:rFonts w:asciiTheme="majorHAnsi" w:eastAsia="Calibri" w:hAnsiTheme="majorHAnsi" w:cstheme="majorHAnsi"/>
          <w:sz w:val="24"/>
          <w:szCs w:val="24"/>
          <w:lang w:val="ro-MD"/>
        </w:rPr>
        <w:t>rin Ordinul nr. 131 din 25.04.2023, a stabilit acțiuni și termen</w:t>
      </w:r>
      <w:r w:rsidR="008944FF" w:rsidRPr="00FB7074">
        <w:rPr>
          <w:rFonts w:asciiTheme="majorHAnsi" w:eastAsia="Calibri" w:hAnsiTheme="majorHAnsi" w:cstheme="majorHAnsi"/>
          <w:sz w:val="24"/>
          <w:szCs w:val="24"/>
          <w:lang w:val="ro-MD"/>
        </w:rPr>
        <w:t>e</w:t>
      </w:r>
      <w:r w:rsidR="00475963" w:rsidRPr="00FB7074">
        <w:rPr>
          <w:rFonts w:asciiTheme="majorHAnsi" w:eastAsia="Calibri" w:hAnsiTheme="majorHAnsi" w:cstheme="majorHAnsi"/>
          <w:sz w:val="24"/>
          <w:szCs w:val="24"/>
          <w:lang w:val="ro-MD"/>
        </w:rPr>
        <w:t xml:space="preserve"> concre</w:t>
      </w:r>
      <w:r w:rsidR="008944FF" w:rsidRPr="00FB7074">
        <w:rPr>
          <w:rFonts w:asciiTheme="majorHAnsi" w:eastAsia="Calibri" w:hAnsiTheme="majorHAnsi" w:cstheme="majorHAnsi"/>
          <w:sz w:val="24"/>
          <w:szCs w:val="24"/>
          <w:lang w:val="ro-MD"/>
        </w:rPr>
        <w:t>te</w:t>
      </w:r>
      <w:r w:rsidR="00475963" w:rsidRPr="00FB7074">
        <w:rPr>
          <w:rFonts w:asciiTheme="majorHAnsi" w:eastAsia="Calibri" w:hAnsiTheme="majorHAnsi" w:cstheme="majorHAnsi"/>
          <w:sz w:val="24"/>
          <w:szCs w:val="24"/>
          <w:lang w:val="ro-MD"/>
        </w:rPr>
        <w:t xml:space="preserve"> menite să fortifice măsurile de administrare la compartimentul impozit</w:t>
      </w:r>
      <w:r w:rsidR="008944FF" w:rsidRPr="00FB7074">
        <w:rPr>
          <w:rFonts w:asciiTheme="majorHAnsi" w:eastAsia="Calibri" w:hAnsiTheme="majorHAnsi" w:cstheme="majorHAnsi"/>
          <w:sz w:val="24"/>
          <w:szCs w:val="24"/>
          <w:lang w:val="ro-MD"/>
        </w:rPr>
        <w:t>e</w:t>
      </w:r>
      <w:r w:rsidR="00475963" w:rsidRPr="00FB7074">
        <w:rPr>
          <w:rFonts w:asciiTheme="majorHAnsi" w:eastAsia="Calibri" w:hAnsiTheme="majorHAnsi" w:cstheme="majorHAnsi"/>
          <w:sz w:val="24"/>
          <w:szCs w:val="24"/>
          <w:lang w:val="ro-MD"/>
        </w:rPr>
        <w:t xml:space="preserve"> pe venit, </w:t>
      </w:r>
      <w:r w:rsidR="00475963" w:rsidRPr="00FB7074">
        <w:rPr>
          <w:rFonts w:asciiTheme="majorHAnsi" w:hAnsiTheme="majorHAnsi" w:cstheme="majorHAnsi"/>
          <w:sz w:val="24"/>
          <w:szCs w:val="24"/>
          <w:lang w:val="ro-MD"/>
        </w:rPr>
        <w:t>fiind în</w:t>
      </w:r>
      <w:r w:rsidR="00475963" w:rsidRPr="00FB7074">
        <w:rPr>
          <w:rFonts w:asciiTheme="majorHAnsi" w:eastAsia="Calibri" w:hAnsiTheme="majorHAnsi" w:cstheme="majorHAnsi"/>
          <w:sz w:val="24"/>
          <w:szCs w:val="24"/>
          <w:lang w:val="ro-MD"/>
        </w:rPr>
        <w:t xml:space="preserve"> derulare </w:t>
      </w:r>
      <w:r w:rsidR="008944FF" w:rsidRPr="00FB7074">
        <w:rPr>
          <w:rFonts w:asciiTheme="majorHAnsi" w:eastAsia="Calibri" w:hAnsiTheme="majorHAnsi" w:cstheme="majorHAnsi"/>
          <w:sz w:val="24"/>
          <w:szCs w:val="24"/>
          <w:lang w:val="ro-MD"/>
        </w:rPr>
        <w:t xml:space="preserve">și </w:t>
      </w:r>
      <w:r w:rsidR="00475963" w:rsidRPr="00FB7074">
        <w:rPr>
          <w:rFonts w:asciiTheme="majorHAnsi" w:eastAsia="Calibri" w:hAnsiTheme="majorHAnsi" w:cstheme="majorHAnsi"/>
          <w:sz w:val="24"/>
          <w:szCs w:val="24"/>
          <w:lang w:val="ro-MD"/>
        </w:rPr>
        <w:t xml:space="preserve">activități de administrare, în raport cu contribuabilii identificați, </w:t>
      </w:r>
      <w:r w:rsidR="008944FF" w:rsidRPr="00FB7074">
        <w:rPr>
          <w:rFonts w:asciiTheme="majorHAnsi" w:eastAsia="Calibri" w:hAnsiTheme="majorHAnsi" w:cstheme="majorHAnsi"/>
          <w:sz w:val="24"/>
          <w:szCs w:val="24"/>
          <w:lang w:val="ro-MD"/>
        </w:rPr>
        <w:t>în</w:t>
      </w:r>
      <w:r w:rsidR="00475963" w:rsidRPr="00FB7074">
        <w:rPr>
          <w:rFonts w:asciiTheme="majorHAnsi" w:eastAsia="Calibri" w:hAnsiTheme="majorHAnsi" w:cstheme="majorHAnsi"/>
          <w:sz w:val="24"/>
          <w:szCs w:val="24"/>
          <w:lang w:val="ro-MD"/>
        </w:rPr>
        <w:t xml:space="preserve"> scopul stabilirii motivelor</w:t>
      </w:r>
      <w:r w:rsidR="008944FF" w:rsidRPr="00FB7074">
        <w:rPr>
          <w:rFonts w:asciiTheme="majorHAnsi" w:eastAsia="Calibri" w:hAnsiTheme="majorHAnsi" w:cstheme="majorHAnsi"/>
          <w:sz w:val="24"/>
          <w:szCs w:val="24"/>
          <w:lang w:val="ro-MD"/>
        </w:rPr>
        <w:t>/</w:t>
      </w:r>
      <w:r w:rsidR="00475963" w:rsidRPr="00FB7074">
        <w:rPr>
          <w:rFonts w:asciiTheme="majorHAnsi" w:eastAsia="Calibri" w:hAnsiTheme="majorHAnsi" w:cstheme="majorHAnsi"/>
          <w:sz w:val="24"/>
          <w:szCs w:val="24"/>
          <w:lang w:val="ro-MD"/>
        </w:rPr>
        <w:t xml:space="preserve"> divergențelor</w:t>
      </w:r>
      <w:r w:rsidR="008944FF" w:rsidRPr="00FB7074">
        <w:rPr>
          <w:rFonts w:asciiTheme="majorHAnsi" w:eastAsia="Calibri" w:hAnsiTheme="majorHAnsi" w:cstheme="majorHAnsi"/>
          <w:sz w:val="24"/>
          <w:szCs w:val="24"/>
          <w:lang w:val="ro-MD"/>
        </w:rPr>
        <w:t xml:space="preserve"> </w:t>
      </w:r>
      <w:r w:rsidR="00475963" w:rsidRPr="00FB7074">
        <w:rPr>
          <w:rFonts w:asciiTheme="majorHAnsi" w:eastAsia="Calibri" w:hAnsiTheme="majorHAnsi" w:cstheme="majorHAnsi"/>
          <w:sz w:val="24"/>
          <w:szCs w:val="24"/>
          <w:lang w:val="ro-MD"/>
        </w:rPr>
        <w:t xml:space="preserve">prezentării corectate a dărilor de seamă. </w:t>
      </w:r>
    </w:p>
    <w:p w14:paraId="2A1D3191" w14:textId="4606FE25" w:rsidR="000C7D59" w:rsidRPr="0038225D" w:rsidRDefault="00B2510F" w:rsidP="000C7D59">
      <w:pPr>
        <w:tabs>
          <w:tab w:val="left" w:pos="7809"/>
        </w:tabs>
        <w:spacing w:after="100" w:afterAutospacing="1" w:line="276" w:lineRule="auto"/>
        <w:jc w:val="both"/>
        <w:rPr>
          <w:rFonts w:asciiTheme="majorHAnsi" w:eastAsia="Calibri" w:hAnsiTheme="majorHAnsi" w:cstheme="majorHAnsi"/>
          <w:sz w:val="24"/>
          <w:szCs w:val="24"/>
          <w:lang w:val="ro-MD"/>
        </w:rPr>
      </w:pPr>
      <w:r w:rsidRPr="00FB7074">
        <w:rPr>
          <w:rFonts w:asciiTheme="majorHAnsi" w:eastAsia="Calibri" w:hAnsiTheme="majorHAnsi" w:cstheme="majorHAnsi"/>
          <w:sz w:val="24"/>
          <w:szCs w:val="24"/>
          <w:lang w:val="ro-MD"/>
        </w:rPr>
        <w:t xml:space="preserve">Deși dividendele sunt venituri din distribuirea profitului net între fondatori (acționari) în funcție de rata de participare </w:t>
      </w:r>
      <w:r w:rsidR="000C7D59" w:rsidRPr="00FB7074">
        <w:rPr>
          <w:rFonts w:asciiTheme="majorHAnsi" w:eastAsia="Calibri" w:hAnsiTheme="majorHAnsi" w:cstheme="majorHAnsi"/>
          <w:sz w:val="24"/>
          <w:szCs w:val="24"/>
          <w:lang w:val="ro-MD"/>
        </w:rPr>
        <w:t>depusă la capitalul societății, c</w:t>
      </w:r>
      <w:r w:rsidRPr="00FB7074">
        <w:rPr>
          <w:rFonts w:asciiTheme="majorHAnsi" w:eastAsia="Calibri" w:hAnsiTheme="majorHAnsi" w:cstheme="majorHAnsi"/>
          <w:sz w:val="24"/>
          <w:szCs w:val="24"/>
          <w:lang w:val="ro-MD"/>
        </w:rPr>
        <w:t>u toate acestea</w:t>
      </w:r>
      <w:r w:rsidR="00C67851" w:rsidRPr="00FB7074">
        <w:rPr>
          <w:rFonts w:asciiTheme="majorHAnsi" w:eastAsia="Calibri" w:hAnsiTheme="majorHAnsi" w:cstheme="majorHAnsi"/>
          <w:sz w:val="24"/>
          <w:szCs w:val="24"/>
          <w:lang w:val="ro-MD"/>
        </w:rPr>
        <w:t xml:space="preserve"> </w:t>
      </w:r>
      <w:r w:rsidRPr="00FB7074">
        <w:rPr>
          <w:rFonts w:asciiTheme="majorHAnsi" w:eastAsia="Calibri" w:hAnsiTheme="majorHAnsi" w:cstheme="majorHAnsi"/>
          <w:sz w:val="24"/>
          <w:szCs w:val="24"/>
          <w:lang w:val="ro-MD"/>
        </w:rPr>
        <w:t>dividendele pot fi utilizate</w:t>
      </w:r>
      <w:r w:rsidRPr="00653E85">
        <w:rPr>
          <w:rFonts w:asciiTheme="majorHAnsi" w:eastAsia="Calibri" w:hAnsiTheme="majorHAnsi" w:cstheme="majorHAnsi"/>
          <w:sz w:val="24"/>
          <w:szCs w:val="24"/>
          <w:lang w:val="ro-MD"/>
        </w:rPr>
        <w:t xml:space="preserve"> spre achitarea salariilor în plic,</w:t>
      </w:r>
      <w:r w:rsidR="00C67851" w:rsidRPr="00653E85">
        <w:rPr>
          <w:rFonts w:asciiTheme="majorHAnsi" w:eastAsia="Calibri" w:hAnsiTheme="majorHAnsi" w:cstheme="majorHAnsi"/>
          <w:sz w:val="24"/>
          <w:szCs w:val="24"/>
          <w:lang w:val="ro-MD"/>
        </w:rPr>
        <w:t xml:space="preserve"> stimularea angajaților (adaosuri la salarii, alte recompense), </w:t>
      </w:r>
      <w:r w:rsidRPr="00653E85">
        <w:rPr>
          <w:rFonts w:asciiTheme="majorHAnsi" w:eastAsia="Calibri" w:hAnsiTheme="majorHAnsi" w:cstheme="majorHAnsi"/>
          <w:sz w:val="24"/>
          <w:szCs w:val="24"/>
          <w:lang w:val="ro-MD"/>
        </w:rPr>
        <w:t>folosind</w:t>
      </w:r>
      <w:r w:rsidR="00C67851" w:rsidRPr="00653E85">
        <w:rPr>
          <w:rFonts w:asciiTheme="majorHAnsi" w:eastAsia="Calibri" w:hAnsiTheme="majorHAnsi" w:cstheme="majorHAnsi"/>
          <w:sz w:val="24"/>
          <w:szCs w:val="24"/>
          <w:lang w:val="ro-MD"/>
        </w:rPr>
        <w:t xml:space="preserve"> o cale de optimizare a impozitelor și </w:t>
      </w:r>
      <w:r w:rsidR="00DC7634" w:rsidRPr="00653E85">
        <w:rPr>
          <w:rFonts w:asciiTheme="majorHAnsi" w:eastAsia="Calibri" w:hAnsiTheme="majorHAnsi" w:cstheme="majorHAnsi"/>
          <w:sz w:val="24"/>
          <w:szCs w:val="24"/>
          <w:lang w:val="ro-MD"/>
        </w:rPr>
        <w:t xml:space="preserve">de </w:t>
      </w:r>
      <w:r w:rsidR="00C67851" w:rsidRPr="00653E85">
        <w:rPr>
          <w:rFonts w:asciiTheme="majorHAnsi" w:eastAsia="Calibri" w:hAnsiTheme="majorHAnsi" w:cstheme="majorHAnsi"/>
          <w:sz w:val="24"/>
          <w:szCs w:val="24"/>
          <w:lang w:val="ro-MD"/>
        </w:rPr>
        <w:t>evitare a contribuțiilor</w:t>
      </w:r>
      <w:r w:rsidR="00C67851" w:rsidRPr="00B7675F">
        <w:rPr>
          <w:rFonts w:asciiTheme="majorHAnsi" w:eastAsia="Calibri" w:hAnsiTheme="majorHAnsi" w:cstheme="majorHAnsi"/>
          <w:sz w:val="24"/>
          <w:szCs w:val="24"/>
          <w:lang w:val="ro-MD"/>
        </w:rPr>
        <w:t xml:space="preserve"> de asigurări medicale și sociale. </w:t>
      </w:r>
      <w:r w:rsidR="000C7D59" w:rsidRPr="0038225D">
        <w:rPr>
          <w:rFonts w:asciiTheme="majorHAnsi" w:eastAsia="Calibri" w:hAnsiTheme="majorHAnsi" w:cstheme="majorHAnsi"/>
          <w:sz w:val="24"/>
          <w:szCs w:val="24"/>
          <w:lang w:val="ro-MD"/>
        </w:rPr>
        <w:t xml:space="preserve">În trimestru IV al anului 2022, potrivit datelor statistice, munca informală </w:t>
      </w:r>
      <w:r w:rsidR="00DC7634" w:rsidRPr="00B7675F">
        <w:rPr>
          <w:rFonts w:asciiTheme="majorHAnsi" w:eastAsia="Calibri" w:hAnsiTheme="majorHAnsi" w:cstheme="majorHAnsi"/>
          <w:sz w:val="24"/>
          <w:szCs w:val="24"/>
          <w:lang w:val="ro-MD"/>
        </w:rPr>
        <w:t>era prestată de</w:t>
      </w:r>
      <w:r w:rsidR="000C7D59" w:rsidRPr="00B7675F">
        <w:rPr>
          <w:rFonts w:asciiTheme="majorHAnsi" w:eastAsia="Calibri" w:hAnsiTheme="majorHAnsi" w:cstheme="majorHAnsi"/>
          <w:sz w:val="24"/>
          <w:szCs w:val="24"/>
          <w:lang w:val="ro-MD"/>
        </w:rPr>
        <w:t xml:space="preserve"> cca 192,4 mii </w:t>
      </w:r>
      <w:r w:rsidR="00DC7634" w:rsidRPr="00B7675F">
        <w:rPr>
          <w:rFonts w:asciiTheme="majorHAnsi" w:eastAsia="Calibri" w:hAnsiTheme="majorHAnsi" w:cstheme="majorHAnsi"/>
          <w:sz w:val="24"/>
          <w:szCs w:val="24"/>
          <w:lang w:val="ro-MD"/>
        </w:rPr>
        <w:t xml:space="preserve">de </w:t>
      </w:r>
      <w:r w:rsidR="000C7D59" w:rsidRPr="00B7675F">
        <w:rPr>
          <w:rFonts w:asciiTheme="majorHAnsi" w:eastAsia="Calibri" w:hAnsiTheme="majorHAnsi" w:cstheme="majorHAnsi"/>
          <w:sz w:val="24"/>
          <w:szCs w:val="24"/>
          <w:lang w:val="ro-MD"/>
        </w:rPr>
        <w:t xml:space="preserve">persoane, în timp ce Inspectoratul de Stat al Muncii a depistat doar 82 </w:t>
      </w:r>
      <w:r w:rsidR="00DC7634" w:rsidRPr="00B7675F">
        <w:rPr>
          <w:rFonts w:asciiTheme="majorHAnsi" w:eastAsia="Calibri" w:hAnsiTheme="majorHAnsi" w:cstheme="majorHAnsi"/>
          <w:sz w:val="24"/>
          <w:szCs w:val="24"/>
          <w:lang w:val="ro-MD"/>
        </w:rPr>
        <w:t xml:space="preserve">de </w:t>
      </w:r>
      <w:r w:rsidR="000C7D59" w:rsidRPr="00B7675F">
        <w:rPr>
          <w:rFonts w:asciiTheme="majorHAnsi" w:eastAsia="Calibri" w:hAnsiTheme="majorHAnsi" w:cstheme="majorHAnsi"/>
          <w:sz w:val="24"/>
          <w:szCs w:val="24"/>
          <w:lang w:val="ro-MD"/>
        </w:rPr>
        <w:t>persoane ce activau fără forme legale de angajare</w:t>
      </w:r>
      <w:r w:rsidR="000C7D59" w:rsidRPr="00B7675F">
        <w:rPr>
          <w:rStyle w:val="a5"/>
          <w:rFonts w:asciiTheme="majorHAnsi" w:eastAsia="Calibri" w:hAnsiTheme="majorHAnsi" w:cstheme="majorHAnsi"/>
          <w:sz w:val="24"/>
          <w:szCs w:val="24"/>
          <w:lang w:val="ro-MD"/>
        </w:rPr>
        <w:footnoteReference w:id="29"/>
      </w:r>
      <w:r w:rsidR="000C7D59" w:rsidRPr="00B7675F">
        <w:rPr>
          <w:rFonts w:asciiTheme="majorHAnsi" w:eastAsia="Calibri" w:hAnsiTheme="majorHAnsi" w:cstheme="majorHAnsi"/>
          <w:sz w:val="24"/>
          <w:szCs w:val="24"/>
          <w:lang w:val="ro-MD"/>
        </w:rPr>
        <w:t>.</w:t>
      </w:r>
    </w:p>
    <w:p w14:paraId="12F7A04C" w14:textId="6A87387D" w:rsidR="000C7D59" w:rsidRPr="00B7675F" w:rsidRDefault="000C7D59" w:rsidP="000C7D59">
      <w:pPr>
        <w:tabs>
          <w:tab w:val="left" w:pos="7809"/>
        </w:tabs>
        <w:spacing w:after="100" w:afterAutospacing="1" w:line="276" w:lineRule="auto"/>
        <w:jc w:val="both"/>
        <w:rPr>
          <w:rFonts w:asciiTheme="majorHAnsi" w:eastAsia="Calibri" w:hAnsiTheme="majorHAnsi" w:cstheme="majorHAnsi"/>
          <w:sz w:val="24"/>
          <w:szCs w:val="24"/>
          <w:lang w:val="ro-MD"/>
        </w:rPr>
      </w:pPr>
      <w:r w:rsidRPr="00B7675F">
        <w:rPr>
          <w:rFonts w:asciiTheme="majorHAnsi" w:eastAsia="Calibri" w:hAnsiTheme="majorHAnsi" w:cstheme="majorHAnsi"/>
          <w:sz w:val="24"/>
          <w:szCs w:val="24"/>
          <w:lang w:val="ro-MD"/>
        </w:rPr>
        <w:t>Estimările de audit pentru perioada 2020-2022</w:t>
      </w:r>
      <w:r w:rsidR="00DC7634" w:rsidRPr="00B7675F">
        <w:rPr>
          <w:rFonts w:asciiTheme="majorHAnsi" w:eastAsia="Calibri" w:hAnsiTheme="majorHAnsi" w:cstheme="majorHAnsi"/>
          <w:sz w:val="24"/>
          <w:szCs w:val="24"/>
          <w:lang w:val="ro-MD"/>
        </w:rPr>
        <w:t xml:space="preserve"> privind</w:t>
      </w:r>
      <w:r w:rsidRPr="00B7675F">
        <w:rPr>
          <w:rFonts w:asciiTheme="majorHAnsi" w:eastAsia="Calibri" w:hAnsiTheme="majorHAnsi" w:cstheme="majorHAnsi"/>
          <w:sz w:val="24"/>
          <w:szCs w:val="24"/>
          <w:lang w:val="ro-MD"/>
        </w:rPr>
        <w:t xml:space="preserve"> calcularea contribuțiilor </w:t>
      </w:r>
      <w:r w:rsidR="00DC7634" w:rsidRPr="00B7675F">
        <w:rPr>
          <w:rFonts w:asciiTheme="majorHAnsi" w:eastAsia="Calibri" w:hAnsiTheme="majorHAnsi" w:cstheme="majorHAnsi"/>
          <w:sz w:val="24"/>
          <w:szCs w:val="24"/>
          <w:lang w:val="ro-MD"/>
        </w:rPr>
        <w:t xml:space="preserve">la </w:t>
      </w:r>
      <w:r w:rsidRPr="00B7675F">
        <w:rPr>
          <w:rFonts w:asciiTheme="majorHAnsi" w:eastAsia="Calibri" w:hAnsiTheme="majorHAnsi" w:cstheme="majorHAnsi"/>
          <w:sz w:val="24"/>
          <w:szCs w:val="24"/>
          <w:lang w:val="ro-MD"/>
        </w:rPr>
        <w:t>BASS la valorile dividendelor achitate (26</w:t>
      </w:r>
      <w:r w:rsidR="00DC7634" w:rsidRPr="00B7675F">
        <w:rPr>
          <w:rFonts w:asciiTheme="majorHAnsi" w:eastAsia="Calibri" w:hAnsiTheme="majorHAnsi" w:cstheme="majorHAnsi"/>
          <w:sz w:val="24"/>
          <w:szCs w:val="24"/>
          <w:lang w:val="ro-MD"/>
        </w:rPr>
        <w:t xml:space="preserve"> </w:t>
      </w:r>
      <w:r w:rsidRPr="00B7675F">
        <w:rPr>
          <w:rFonts w:asciiTheme="majorHAnsi" w:eastAsia="Calibri" w:hAnsiTheme="majorHAnsi" w:cstheme="majorHAnsi"/>
          <w:sz w:val="24"/>
          <w:szCs w:val="24"/>
          <w:lang w:val="ro-MD"/>
        </w:rPr>
        <w:t xml:space="preserve">555,06 mil. lei), indică posibile majorări ale veniturilor BASS </w:t>
      </w:r>
      <w:r w:rsidR="001C61F8" w:rsidRPr="00B7675F">
        <w:rPr>
          <w:rFonts w:asciiTheme="majorHAnsi" w:eastAsia="Calibri" w:hAnsiTheme="majorHAnsi" w:cstheme="majorHAnsi"/>
          <w:sz w:val="24"/>
          <w:szCs w:val="24"/>
          <w:lang w:val="ro-MD"/>
        </w:rPr>
        <w:t>de până la</w:t>
      </w:r>
      <w:r w:rsidRPr="00B7675F">
        <w:rPr>
          <w:rFonts w:asciiTheme="majorHAnsi" w:eastAsia="Calibri" w:hAnsiTheme="majorHAnsi" w:cstheme="majorHAnsi"/>
          <w:sz w:val="24"/>
          <w:szCs w:val="24"/>
          <w:lang w:val="ro-MD"/>
        </w:rPr>
        <w:t xml:space="preserve"> </w:t>
      </w:r>
      <w:r w:rsidR="00EB5B81" w:rsidRPr="00B7675F">
        <w:rPr>
          <w:rFonts w:asciiTheme="majorHAnsi" w:eastAsia="Calibri" w:hAnsiTheme="majorHAnsi" w:cstheme="majorHAnsi"/>
          <w:sz w:val="24"/>
          <w:szCs w:val="24"/>
          <w:lang w:val="ro-MD"/>
        </w:rPr>
        <w:t>5</w:t>
      </w:r>
      <w:r w:rsidR="00DC7634" w:rsidRPr="00B7675F">
        <w:rPr>
          <w:rFonts w:asciiTheme="majorHAnsi" w:eastAsia="Calibri" w:hAnsiTheme="majorHAnsi" w:cstheme="majorHAnsi"/>
          <w:sz w:val="24"/>
          <w:szCs w:val="24"/>
          <w:lang w:val="ro-MD"/>
        </w:rPr>
        <w:t xml:space="preserve"> </w:t>
      </w:r>
      <w:r w:rsidR="00EB5B81" w:rsidRPr="00B7675F">
        <w:rPr>
          <w:rFonts w:asciiTheme="majorHAnsi" w:eastAsia="Calibri" w:hAnsiTheme="majorHAnsi" w:cstheme="majorHAnsi"/>
          <w:sz w:val="24"/>
          <w:szCs w:val="24"/>
          <w:lang w:val="ro-MD"/>
        </w:rPr>
        <w:t>139,</w:t>
      </w:r>
      <w:r w:rsidR="00C710D1" w:rsidRPr="00B7675F">
        <w:rPr>
          <w:rFonts w:asciiTheme="majorHAnsi" w:eastAsia="Calibri" w:hAnsiTheme="majorHAnsi" w:cstheme="majorHAnsi"/>
          <w:sz w:val="24"/>
          <w:szCs w:val="24"/>
          <w:lang w:val="ro-MD"/>
        </w:rPr>
        <w:t>7</w:t>
      </w:r>
      <w:r w:rsidRPr="00B7675F">
        <w:rPr>
          <w:rFonts w:asciiTheme="majorHAnsi" w:eastAsia="Calibri" w:hAnsiTheme="majorHAnsi" w:cstheme="majorHAnsi"/>
          <w:sz w:val="24"/>
          <w:szCs w:val="24"/>
          <w:lang w:val="ro-MD"/>
        </w:rPr>
        <w:t xml:space="preserve"> mil. lei. Aceasta nu este doar o sursă a posibilelor venituri </w:t>
      </w:r>
      <w:r w:rsidR="00DC7634" w:rsidRPr="00B7675F">
        <w:rPr>
          <w:rFonts w:asciiTheme="majorHAnsi" w:eastAsia="Calibri" w:hAnsiTheme="majorHAnsi" w:cstheme="majorHAnsi"/>
          <w:sz w:val="24"/>
          <w:szCs w:val="24"/>
          <w:lang w:val="ro-MD"/>
        </w:rPr>
        <w:t xml:space="preserve">la </w:t>
      </w:r>
      <w:r w:rsidRPr="00B7675F">
        <w:rPr>
          <w:rFonts w:asciiTheme="majorHAnsi" w:eastAsia="Calibri" w:hAnsiTheme="majorHAnsi" w:cstheme="majorHAnsi"/>
          <w:sz w:val="24"/>
          <w:szCs w:val="24"/>
          <w:lang w:val="ro-MD"/>
        </w:rPr>
        <w:t>BASS, ci și o majorare semnificativă a  venitului pentru asigurarea riscurilor sociale</w:t>
      </w:r>
      <w:r w:rsidR="00DC7634"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precum incapacitate de muncă, maternitate, șomaj, șomaj tehnic, invaliditate, pensionare etc.), iar cetățenii pot beneficia de prestații sociale corelativ obligațiilor onorate la BASS. </w:t>
      </w:r>
    </w:p>
    <w:p w14:paraId="1A877E24" w14:textId="65E3971D" w:rsidR="000C781C" w:rsidRPr="00653E85" w:rsidRDefault="00625691" w:rsidP="000C781C">
      <w:pPr>
        <w:shd w:val="clear" w:color="auto" w:fill="FFFFFF" w:themeFill="background1"/>
        <w:tabs>
          <w:tab w:val="left" w:pos="284"/>
          <w:tab w:val="left" w:pos="425"/>
        </w:tabs>
        <w:spacing w:after="0" w:line="276" w:lineRule="auto"/>
        <w:ind w:left="1338"/>
        <w:jc w:val="right"/>
        <w:rPr>
          <w:rFonts w:asciiTheme="majorHAnsi" w:eastAsia="Calibri" w:hAnsiTheme="majorHAnsi" w:cstheme="majorHAnsi"/>
          <w:b/>
          <w:sz w:val="24"/>
          <w:szCs w:val="24"/>
          <w:lang w:val="ro-MD"/>
        </w:rPr>
      </w:pPr>
      <w:r w:rsidRPr="00653E85">
        <w:rPr>
          <w:rFonts w:asciiTheme="majorHAnsi" w:eastAsia="Calibri" w:hAnsiTheme="majorHAnsi" w:cstheme="majorHAnsi"/>
          <w:b/>
          <w:sz w:val="24"/>
          <w:szCs w:val="24"/>
          <w:lang w:val="ro-MD"/>
        </w:rPr>
        <w:t>Tabel</w:t>
      </w:r>
      <w:r w:rsidR="00DC7634" w:rsidRPr="00653E85">
        <w:rPr>
          <w:rFonts w:asciiTheme="majorHAnsi" w:eastAsia="Calibri" w:hAnsiTheme="majorHAnsi" w:cstheme="majorHAnsi"/>
          <w:b/>
          <w:sz w:val="24"/>
          <w:szCs w:val="24"/>
          <w:lang w:val="ro-MD"/>
        </w:rPr>
        <w:t>ul</w:t>
      </w:r>
      <w:r w:rsidRPr="00653E85">
        <w:rPr>
          <w:rFonts w:asciiTheme="majorHAnsi" w:eastAsia="Calibri" w:hAnsiTheme="majorHAnsi" w:cstheme="majorHAnsi"/>
          <w:b/>
          <w:sz w:val="24"/>
          <w:szCs w:val="24"/>
          <w:lang w:val="ro-MD"/>
        </w:rPr>
        <w:t xml:space="preserve"> </w:t>
      </w:r>
      <w:r w:rsidR="000C781C" w:rsidRPr="00653E85">
        <w:rPr>
          <w:rFonts w:asciiTheme="majorHAnsi" w:eastAsia="Calibri" w:hAnsiTheme="majorHAnsi" w:cstheme="majorHAnsi"/>
          <w:b/>
          <w:sz w:val="24"/>
          <w:szCs w:val="24"/>
          <w:lang w:val="ro-MD"/>
        </w:rPr>
        <w:t>nr.</w:t>
      </w:r>
      <w:r w:rsidR="008D1DF2" w:rsidRPr="00653E85">
        <w:rPr>
          <w:rFonts w:asciiTheme="majorHAnsi" w:eastAsia="Calibri" w:hAnsiTheme="majorHAnsi" w:cstheme="majorHAnsi"/>
          <w:b/>
          <w:sz w:val="24"/>
          <w:szCs w:val="24"/>
          <w:lang w:val="ro-MD"/>
        </w:rPr>
        <w:t xml:space="preserve"> 10</w:t>
      </w:r>
    </w:p>
    <w:p w14:paraId="0BEFFDBB" w14:textId="0FB51A40" w:rsidR="00C67851" w:rsidRPr="00653E85" w:rsidRDefault="008352F4" w:rsidP="008352F4">
      <w:pPr>
        <w:tabs>
          <w:tab w:val="left" w:pos="284"/>
          <w:tab w:val="left" w:pos="425"/>
        </w:tabs>
        <w:spacing w:after="0" w:line="276" w:lineRule="auto"/>
        <w:jc w:val="center"/>
        <w:rPr>
          <w:rFonts w:asciiTheme="majorHAnsi" w:eastAsia="Calibri" w:hAnsiTheme="majorHAnsi" w:cstheme="majorHAnsi"/>
          <w:b/>
          <w:sz w:val="24"/>
          <w:szCs w:val="24"/>
          <w:lang w:val="ro-MD"/>
        </w:rPr>
      </w:pPr>
      <w:r w:rsidRPr="00653E85">
        <w:rPr>
          <w:rFonts w:asciiTheme="majorHAnsi" w:eastAsia="Calibri" w:hAnsiTheme="majorHAnsi" w:cstheme="majorHAnsi"/>
          <w:b/>
          <w:sz w:val="24"/>
          <w:szCs w:val="24"/>
          <w:lang w:val="ro-MD"/>
        </w:rPr>
        <w:t xml:space="preserve">Estimările de audit privind potențialele venituri de contribuții de asigurări sociale, </w:t>
      </w:r>
      <w:r w:rsidR="000C781C" w:rsidRPr="00653E85">
        <w:rPr>
          <w:rFonts w:asciiTheme="majorHAnsi" w:eastAsia="Calibri" w:hAnsiTheme="majorHAnsi" w:cstheme="majorHAnsi"/>
          <w:b/>
          <w:sz w:val="24"/>
          <w:szCs w:val="24"/>
          <w:lang w:val="ro-MD"/>
        </w:rPr>
        <w:t>mil. lei</w:t>
      </w:r>
    </w:p>
    <w:tbl>
      <w:tblPr>
        <w:tblStyle w:val="af1"/>
        <w:tblW w:w="0" w:type="auto"/>
        <w:tblLook w:val="04A0" w:firstRow="1" w:lastRow="0" w:firstColumn="1" w:lastColumn="0" w:noHBand="0" w:noVBand="1"/>
      </w:tblPr>
      <w:tblGrid>
        <w:gridCol w:w="2506"/>
        <w:gridCol w:w="2506"/>
        <w:gridCol w:w="2506"/>
        <w:gridCol w:w="2506"/>
      </w:tblGrid>
      <w:tr w:rsidR="000C7D59" w:rsidRPr="00B7675F" w14:paraId="0364EF1C" w14:textId="77777777" w:rsidTr="005372C1">
        <w:tc>
          <w:tcPr>
            <w:tcW w:w="2506" w:type="dxa"/>
            <w:vAlign w:val="center"/>
          </w:tcPr>
          <w:p w14:paraId="55062A0E" w14:textId="77777777" w:rsidR="000C7D59" w:rsidRPr="00653E85" w:rsidRDefault="000C7D59" w:rsidP="005372C1">
            <w:pPr>
              <w:jc w:val="center"/>
              <w:rPr>
                <w:rFonts w:asciiTheme="majorHAnsi" w:eastAsia="Times New Roman" w:hAnsiTheme="majorHAnsi" w:cstheme="majorHAnsi"/>
                <w:b/>
                <w:bCs/>
                <w:color w:val="000000"/>
                <w:sz w:val="20"/>
                <w:szCs w:val="16"/>
                <w:lang w:val="ro-MD"/>
              </w:rPr>
            </w:pPr>
          </w:p>
          <w:p w14:paraId="1BEB1C1E" w14:textId="688830A7" w:rsidR="000C7D59" w:rsidRPr="00653E85" w:rsidRDefault="000C7D59" w:rsidP="005372C1">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b/>
                <w:bCs/>
                <w:color w:val="000000"/>
                <w:sz w:val="20"/>
                <w:szCs w:val="16"/>
                <w:lang w:val="ro-MD"/>
              </w:rPr>
              <w:t>Indicatori</w:t>
            </w:r>
          </w:p>
        </w:tc>
        <w:tc>
          <w:tcPr>
            <w:tcW w:w="2506" w:type="dxa"/>
            <w:vAlign w:val="center"/>
          </w:tcPr>
          <w:p w14:paraId="4BBF6124" w14:textId="77777777" w:rsidR="000C7D59" w:rsidRPr="00653E85" w:rsidRDefault="000C7D59" w:rsidP="005372C1">
            <w:pPr>
              <w:jc w:val="center"/>
              <w:rPr>
                <w:rFonts w:asciiTheme="majorHAnsi" w:eastAsia="Times New Roman" w:hAnsiTheme="majorHAnsi" w:cstheme="majorHAnsi"/>
                <w:b/>
                <w:bCs/>
                <w:color w:val="000000"/>
                <w:sz w:val="20"/>
                <w:szCs w:val="16"/>
                <w:lang w:val="ro-MD"/>
              </w:rPr>
            </w:pPr>
          </w:p>
          <w:p w14:paraId="25A27A53" w14:textId="1A9D641D" w:rsidR="000C7D59" w:rsidRPr="00653E85" w:rsidRDefault="000C7D59" w:rsidP="00612786">
            <w:pPr>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Suma venitului din dividende,</w:t>
            </w:r>
            <w:r w:rsidR="00612786" w:rsidRPr="00653E85">
              <w:rPr>
                <w:rFonts w:asciiTheme="majorHAnsi" w:eastAsia="Times New Roman" w:hAnsiTheme="majorHAnsi" w:cstheme="majorHAnsi"/>
                <w:b/>
                <w:bCs/>
                <w:color w:val="000000"/>
                <w:sz w:val="20"/>
                <w:szCs w:val="16"/>
                <w:lang w:val="ro-MD"/>
              </w:rPr>
              <w:t xml:space="preserve"> </w:t>
            </w:r>
            <w:r w:rsidRPr="00653E85">
              <w:rPr>
                <w:rFonts w:asciiTheme="majorHAnsi" w:eastAsia="Times New Roman" w:hAnsiTheme="majorHAnsi" w:cstheme="majorHAnsi"/>
                <w:b/>
                <w:bCs/>
                <w:color w:val="000000"/>
                <w:sz w:val="20"/>
                <w:szCs w:val="16"/>
                <w:lang w:val="ro-MD"/>
              </w:rPr>
              <w:t>mil. lei</w:t>
            </w:r>
          </w:p>
        </w:tc>
        <w:tc>
          <w:tcPr>
            <w:tcW w:w="2506" w:type="dxa"/>
            <w:vAlign w:val="center"/>
          </w:tcPr>
          <w:p w14:paraId="1722EB28" w14:textId="493D2148" w:rsidR="000C7D59" w:rsidRPr="00653E85" w:rsidRDefault="000C7D59" w:rsidP="005372C1">
            <w:pPr>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6% reținut</w:t>
            </w:r>
          </w:p>
          <w:p w14:paraId="653B8A4E" w14:textId="31A41AC0" w:rsidR="000C7D59" w:rsidRPr="00653E85" w:rsidRDefault="000C7D59" w:rsidP="005372C1">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b/>
                <w:bCs/>
                <w:color w:val="000000"/>
                <w:sz w:val="20"/>
                <w:szCs w:val="16"/>
                <w:lang w:val="ro-MD"/>
              </w:rPr>
              <w:t>impozit pe venit</w:t>
            </w:r>
          </w:p>
        </w:tc>
        <w:tc>
          <w:tcPr>
            <w:tcW w:w="2506" w:type="dxa"/>
            <w:vAlign w:val="center"/>
          </w:tcPr>
          <w:p w14:paraId="7FA2FA95" w14:textId="77777777" w:rsidR="000C7D59" w:rsidRPr="00653E85" w:rsidRDefault="000C7D59" w:rsidP="005372C1">
            <w:pPr>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24%</w:t>
            </w:r>
          </w:p>
          <w:p w14:paraId="2A74273B" w14:textId="4932AE08" w:rsidR="000C7D59" w:rsidRPr="00653E85" w:rsidRDefault="000C7D59" w:rsidP="005372C1">
            <w:pPr>
              <w:jc w:val="center"/>
              <w:rPr>
                <w:rFonts w:asciiTheme="majorHAnsi" w:eastAsia="Times New Roman" w:hAnsiTheme="majorHAnsi" w:cstheme="majorHAnsi"/>
                <w:b/>
                <w:bCs/>
                <w:color w:val="000000"/>
                <w:sz w:val="20"/>
                <w:szCs w:val="16"/>
                <w:lang w:val="ro-MD"/>
              </w:rPr>
            </w:pPr>
            <w:r w:rsidRPr="00653E85">
              <w:rPr>
                <w:rFonts w:asciiTheme="majorHAnsi" w:eastAsia="Times New Roman" w:hAnsiTheme="majorHAnsi" w:cstheme="majorHAnsi"/>
                <w:b/>
                <w:bCs/>
                <w:color w:val="000000"/>
                <w:sz w:val="20"/>
                <w:szCs w:val="16"/>
                <w:lang w:val="ro-MD"/>
              </w:rPr>
              <w:t>contribuții de</w:t>
            </w:r>
          </w:p>
          <w:p w14:paraId="3835CF78" w14:textId="4511DB13" w:rsidR="000C7D59" w:rsidRPr="00653E85" w:rsidRDefault="000C7D59" w:rsidP="005372C1">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b/>
                <w:bCs/>
                <w:color w:val="000000"/>
                <w:sz w:val="20"/>
                <w:szCs w:val="16"/>
                <w:lang w:val="ro-MD"/>
              </w:rPr>
              <w:t>asigurări sociale</w:t>
            </w:r>
          </w:p>
        </w:tc>
      </w:tr>
      <w:tr w:rsidR="009101E4" w:rsidRPr="00B7675F" w14:paraId="0789B122" w14:textId="77777777" w:rsidTr="00E939D7">
        <w:tc>
          <w:tcPr>
            <w:tcW w:w="2506" w:type="dxa"/>
            <w:vAlign w:val="center"/>
          </w:tcPr>
          <w:p w14:paraId="5235C7B5" w14:textId="590E3D2B" w:rsidR="009101E4" w:rsidRPr="00B7675F" w:rsidRDefault="009101E4" w:rsidP="009101E4">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2020</w:t>
            </w:r>
          </w:p>
        </w:tc>
        <w:tc>
          <w:tcPr>
            <w:tcW w:w="2506" w:type="dxa"/>
            <w:vAlign w:val="center"/>
          </w:tcPr>
          <w:p w14:paraId="743B4FFB" w14:textId="5A28E28F" w:rsidR="009101E4" w:rsidRPr="00B7675F" w:rsidRDefault="009101E4" w:rsidP="009101E4">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 xml:space="preserve">7 </w:t>
            </w:r>
            <w:r w:rsidR="00F3310A" w:rsidRPr="00653E85">
              <w:rPr>
                <w:rFonts w:asciiTheme="majorHAnsi" w:eastAsia="Times New Roman" w:hAnsiTheme="majorHAnsi" w:cstheme="majorHAnsi"/>
                <w:sz w:val="20"/>
                <w:szCs w:val="16"/>
                <w:lang w:val="ro-MD"/>
              </w:rPr>
              <w:t>470.2</w:t>
            </w:r>
          </w:p>
        </w:tc>
        <w:tc>
          <w:tcPr>
            <w:tcW w:w="2506" w:type="dxa"/>
            <w:vAlign w:val="center"/>
          </w:tcPr>
          <w:p w14:paraId="2278393C" w14:textId="39893B10" w:rsidR="009101E4" w:rsidRPr="00B7675F" w:rsidRDefault="00F3310A" w:rsidP="009101E4">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448.2</w:t>
            </w:r>
          </w:p>
        </w:tc>
        <w:tc>
          <w:tcPr>
            <w:tcW w:w="2506" w:type="dxa"/>
            <w:vAlign w:val="bottom"/>
          </w:tcPr>
          <w:p w14:paraId="79387FBF" w14:textId="71B2977A" w:rsidR="009101E4" w:rsidRPr="00B7675F" w:rsidRDefault="00F3310A" w:rsidP="00F3310A">
            <w:pPr>
              <w:jc w:val="right"/>
              <w:rPr>
                <w:rFonts w:asciiTheme="majorHAnsi" w:eastAsia="Calibri" w:hAnsiTheme="majorHAnsi" w:cstheme="majorHAnsi"/>
                <w:sz w:val="20"/>
                <w:szCs w:val="24"/>
                <w:highlight w:val="yellow"/>
                <w:lang w:val="ro-MD"/>
              </w:rPr>
            </w:pPr>
            <w:r w:rsidRPr="00653E85">
              <w:rPr>
                <w:rFonts w:asciiTheme="majorHAnsi" w:hAnsiTheme="majorHAnsi" w:cstheme="majorHAnsi"/>
                <w:sz w:val="20"/>
                <w:szCs w:val="20"/>
                <w:lang w:val="ro-MD"/>
              </w:rPr>
              <w:t>1.445,9</w:t>
            </w:r>
          </w:p>
        </w:tc>
      </w:tr>
      <w:tr w:rsidR="009101E4" w:rsidRPr="00B7675F" w14:paraId="449CC856" w14:textId="77777777" w:rsidTr="00E939D7">
        <w:tc>
          <w:tcPr>
            <w:tcW w:w="2506" w:type="dxa"/>
            <w:vAlign w:val="center"/>
          </w:tcPr>
          <w:p w14:paraId="485D2ACF" w14:textId="63D81B4E" w:rsidR="009101E4" w:rsidRPr="00B7675F" w:rsidRDefault="009101E4" w:rsidP="009101E4">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2021</w:t>
            </w:r>
          </w:p>
        </w:tc>
        <w:tc>
          <w:tcPr>
            <w:tcW w:w="2506" w:type="dxa"/>
            <w:vAlign w:val="center"/>
          </w:tcPr>
          <w:p w14:paraId="39402FA6" w14:textId="56DA3F14" w:rsidR="009101E4" w:rsidRPr="00B7675F" w:rsidRDefault="009101E4" w:rsidP="009101E4">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 xml:space="preserve">8 </w:t>
            </w:r>
            <w:r w:rsidR="00F3310A" w:rsidRPr="00653E85">
              <w:rPr>
                <w:rFonts w:asciiTheme="majorHAnsi" w:eastAsia="Times New Roman" w:hAnsiTheme="majorHAnsi" w:cstheme="majorHAnsi"/>
                <w:sz w:val="20"/>
                <w:szCs w:val="16"/>
                <w:lang w:val="ro-MD"/>
              </w:rPr>
              <w:t>962.1</w:t>
            </w:r>
          </w:p>
        </w:tc>
        <w:tc>
          <w:tcPr>
            <w:tcW w:w="2506" w:type="dxa"/>
            <w:vAlign w:val="center"/>
          </w:tcPr>
          <w:p w14:paraId="6E70D515" w14:textId="273B410A" w:rsidR="009101E4" w:rsidRPr="00B7675F" w:rsidRDefault="00F3310A" w:rsidP="009101E4">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537.7</w:t>
            </w:r>
          </w:p>
        </w:tc>
        <w:tc>
          <w:tcPr>
            <w:tcW w:w="2506" w:type="dxa"/>
            <w:vAlign w:val="bottom"/>
          </w:tcPr>
          <w:p w14:paraId="79AB8867" w14:textId="516D0A11" w:rsidR="009101E4" w:rsidRPr="00B7675F" w:rsidRDefault="009101E4" w:rsidP="00F3310A">
            <w:pPr>
              <w:jc w:val="right"/>
              <w:rPr>
                <w:rFonts w:asciiTheme="majorHAnsi" w:eastAsia="Calibri" w:hAnsiTheme="majorHAnsi" w:cstheme="majorHAnsi"/>
                <w:sz w:val="20"/>
                <w:szCs w:val="24"/>
                <w:highlight w:val="yellow"/>
                <w:lang w:val="ro-MD"/>
              </w:rPr>
            </w:pPr>
            <w:r w:rsidRPr="00653E85">
              <w:rPr>
                <w:rFonts w:asciiTheme="majorHAnsi" w:hAnsiTheme="majorHAnsi" w:cstheme="majorHAnsi"/>
                <w:sz w:val="20"/>
                <w:szCs w:val="20"/>
                <w:lang w:val="ro-MD"/>
              </w:rPr>
              <w:t>1.734,6</w:t>
            </w:r>
          </w:p>
        </w:tc>
      </w:tr>
      <w:tr w:rsidR="009101E4" w:rsidRPr="00B7675F" w14:paraId="531DDDA8" w14:textId="77777777" w:rsidTr="00E939D7">
        <w:tc>
          <w:tcPr>
            <w:tcW w:w="2506" w:type="dxa"/>
            <w:vAlign w:val="center"/>
          </w:tcPr>
          <w:p w14:paraId="4DBE5AE4" w14:textId="0665AB41" w:rsidR="009101E4" w:rsidRPr="00B7675F" w:rsidRDefault="009101E4" w:rsidP="009101E4">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2022</w:t>
            </w:r>
          </w:p>
        </w:tc>
        <w:tc>
          <w:tcPr>
            <w:tcW w:w="2506" w:type="dxa"/>
            <w:vAlign w:val="center"/>
          </w:tcPr>
          <w:p w14:paraId="1AB1B9E4" w14:textId="07B8F877" w:rsidR="009101E4" w:rsidRPr="00B7675F" w:rsidRDefault="009101E4" w:rsidP="009101E4">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 xml:space="preserve">10 </w:t>
            </w:r>
            <w:r w:rsidR="00F3310A" w:rsidRPr="00653E85">
              <w:rPr>
                <w:rFonts w:asciiTheme="majorHAnsi" w:eastAsia="Times New Roman" w:hAnsiTheme="majorHAnsi" w:cstheme="majorHAnsi"/>
                <w:sz w:val="20"/>
                <w:szCs w:val="16"/>
                <w:lang w:val="ro-MD"/>
              </w:rPr>
              <w:t>122.7</w:t>
            </w:r>
          </w:p>
        </w:tc>
        <w:tc>
          <w:tcPr>
            <w:tcW w:w="2506" w:type="dxa"/>
            <w:vAlign w:val="center"/>
          </w:tcPr>
          <w:p w14:paraId="2F352A3C" w14:textId="56FB68C4" w:rsidR="009101E4" w:rsidRPr="00B7675F" w:rsidRDefault="009101E4" w:rsidP="00F3310A">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sz w:val="20"/>
                <w:szCs w:val="16"/>
                <w:lang w:val="ro-MD"/>
              </w:rPr>
              <w:t>607.</w:t>
            </w:r>
            <w:r w:rsidR="00F3310A" w:rsidRPr="00653E85">
              <w:rPr>
                <w:rFonts w:asciiTheme="majorHAnsi" w:eastAsia="Times New Roman" w:hAnsiTheme="majorHAnsi" w:cstheme="majorHAnsi"/>
                <w:sz w:val="20"/>
                <w:szCs w:val="16"/>
                <w:lang w:val="ro-MD"/>
              </w:rPr>
              <w:t>4</w:t>
            </w:r>
          </w:p>
        </w:tc>
        <w:tc>
          <w:tcPr>
            <w:tcW w:w="2506" w:type="dxa"/>
            <w:vAlign w:val="bottom"/>
          </w:tcPr>
          <w:p w14:paraId="25A20170" w14:textId="0F1DA47A" w:rsidR="009101E4" w:rsidRPr="00B7675F" w:rsidRDefault="00F3310A" w:rsidP="009101E4">
            <w:pPr>
              <w:jc w:val="right"/>
              <w:rPr>
                <w:rFonts w:asciiTheme="majorHAnsi" w:eastAsia="Calibri" w:hAnsiTheme="majorHAnsi" w:cstheme="majorHAnsi"/>
                <w:sz w:val="20"/>
                <w:szCs w:val="24"/>
                <w:highlight w:val="yellow"/>
                <w:lang w:val="ro-MD"/>
              </w:rPr>
            </w:pPr>
            <w:r w:rsidRPr="00653E85">
              <w:rPr>
                <w:rFonts w:asciiTheme="majorHAnsi" w:hAnsiTheme="majorHAnsi" w:cstheme="majorHAnsi"/>
                <w:sz w:val="20"/>
                <w:szCs w:val="20"/>
                <w:lang w:val="ro-MD"/>
              </w:rPr>
              <w:t>1.959,2</w:t>
            </w:r>
          </w:p>
        </w:tc>
      </w:tr>
      <w:tr w:rsidR="009101E4" w:rsidRPr="00B7675F" w14:paraId="77FC8746" w14:textId="77777777" w:rsidTr="00E939D7">
        <w:tc>
          <w:tcPr>
            <w:tcW w:w="2506" w:type="dxa"/>
          </w:tcPr>
          <w:p w14:paraId="3BCD6A2C" w14:textId="62FE27BC" w:rsidR="009101E4" w:rsidRPr="00B7675F" w:rsidRDefault="009101E4" w:rsidP="009101E4">
            <w:pPr>
              <w:jc w:val="center"/>
              <w:rPr>
                <w:rFonts w:asciiTheme="majorHAnsi" w:eastAsia="Calibri" w:hAnsiTheme="majorHAnsi" w:cstheme="majorHAnsi"/>
                <w:sz w:val="20"/>
                <w:szCs w:val="24"/>
                <w:lang w:val="ro-MD"/>
              </w:rPr>
            </w:pPr>
            <w:r w:rsidRPr="00653E85">
              <w:rPr>
                <w:rFonts w:asciiTheme="majorHAnsi" w:eastAsia="Times New Roman" w:hAnsiTheme="majorHAnsi" w:cstheme="majorHAnsi"/>
                <w:b/>
                <w:sz w:val="20"/>
                <w:szCs w:val="16"/>
                <w:lang w:val="ro-MD"/>
              </w:rPr>
              <w:t>Total</w:t>
            </w:r>
          </w:p>
        </w:tc>
        <w:tc>
          <w:tcPr>
            <w:tcW w:w="2506" w:type="dxa"/>
            <w:vAlign w:val="center"/>
          </w:tcPr>
          <w:p w14:paraId="526EE24A" w14:textId="1995E4AB" w:rsidR="009101E4" w:rsidRPr="00B7675F" w:rsidRDefault="009101E4" w:rsidP="00F3310A">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b/>
                <w:sz w:val="20"/>
                <w:szCs w:val="16"/>
                <w:lang w:val="ro-MD"/>
              </w:rPr>
              <w:t xml:space="preserve">26 </w:t>
            </w:r>
            <w:r w:rsidR="00F3310A" w:rsidRPr="00653E85">
              <w:rPr>
                <w:rFonts w:asciiTheme="majorHAnsi" w:eastAsia="Times New Roman" w:hAnsiTheme="majorHAnsi" w:cstheme="majorHAnsi"/>
                <w:b/>
                <w:sz w:val="20"/>
                <w:szCs w:val="16"/>
                <w:lang w:val="ro-MD"/>
              </w:rPr>
              <w:t>555.0</w:t>
            </w:r>
          </w:p>
        </w:tc>
        <w:tc>
          <w:tcPr>
            <w:tcW w:w="2506" w:type="dxa"/>
            <w:vAlign w:val="center"/>
          </w:tcPr>
          <w:p w14:paraId="02EC1597" w14:textId="7592B800" w:rsidR="009101E4" w:rsidRPr="00B7675F" w:rsidRDefault="009101E4" w:rsidP="009101E4">
            <w:pPr>
              <w:jc w:val="right"/>
              <w:rPr>
                <w:rFonts w:asciiTheme="majorHAnsi" w:eastAsia="Calibri" w:hAnsiTheme="majorHAnsi" w:cstheme="majorHAnsi"/>
                <w:sz w:val="20"/>
                <w:szCs w:val="24"/>
                <w:lang w:val="ro-MD"/>
              </w:rPr>
            </w:pPr>
            <w:r w:rsidRPr="00653E85">
              <w:rPr>
                <w:rFonts w:asciiTheme="majorHAnsi" w:eastAsia="Times New Roman" w:hAnsiTheme="majorHAnsi" w:cstheme="majorHAnsi"/>
                <w:b/>
                <w:sz w:val="20"/>
                <w:szCs w:val="16"/>
                <w:lang w:val="ro-MD"/>
              </w:rPr>
              <w:t xml:space="preserve">1 </w:t>
            </w:r>
            <w:r w:rsidR="00F3310A" w:rsidRPr="00653E85">
              <w:rPr>
                <w:rFonts w:asciiTheme="majorHAnsi" w:eastAsia="Times New Roman" w:hAnsiTheme="majorHAnsi" w:cstheme="majorHAnsi"/>
                <w:b/>
                <w:sz w:val="20"/>
                <w:szCs w:val="16"/>
                <w:lang w:val="ro-MD"/>
              </w:rPr>
              <w:t>593.3</w:t>
            </w:r>
          </w:p>
        </w:tc>
        <w:tc>
          <w:tcPr>
            <w:tcW w:w="2506" w:type="dxa"/>
            <w:vAlign w:val="bottom"/>
          </w:tcPr>
          <w:p w14:paraId="3604FA21" w14:textId="5FDA7ECB" w:rsidR="009101E4" w:rsidRPr="00B7675F" w:rsidRDefault="009101E4" w:rsidP="00F3310A">
            <w:pPr>
              <w:jc w:val="right"/>
              <w:rPr>
                <w:rFonts w:asciiTheme="majorHAnsi" w:eastAsia="Calibri" w:hAnsiTheme="majorHAnsi" w:cstheme="majorHAnsi"/>
                <w:sz w:val="20"/>
                <w:szCs w:val="24"/>
                <w:highlight w:val="yellow"/>
                <w:lang w:val="ro-MD"/>
              </w:rPr>
            </w:pPr>
            <w:r w:rsidRPr="00653E85">
              <w:rPr>
                <w:rFonts w:asciiTheme="majorHAnsi" w:hAnsiTheme="majorHAnsi" w:cstheme="majorHAnsi"/>
                <w:sz w:val="20"/>
                <w:szCs w:val="20"/>
                <w:lang w:val="ro-MD"/>
              </w:rPr>
              <w:t>5.139,</w:t>
            </w:r>
            <w:r w:rsidR="00F3310A" w:rsidRPr="00653E85">
              <w:rPr>
                <w:rFonts w:asciiTheme="majorHAnsi" w:hAnsiTheme="majorHAnsi" w:cstheme="majorHAnsi"/>
                <w:sz w:val="20"/>
                <w:szCs w:val="20"/>
                <w:lang w:val="ro-MD"/>
              </w:rPr>
              <w:t>7</w:t>
            </w:r>
          </w:p>
        </w:tc>
      </w:tr>
    </w:tbl>
    <w:p w14:paraId="6001DA85" w14:textId="4662BC27" w:rsidR="008352F4" w:rsidRPr="00B7675F" w:rsidRDefault="008352F4" w:rsidP="008352F4">
      <w:pPr>
        <w:tabs>
          <w:tab w:val="left" w:pos="284"/>
          <w:tab w:val="left" w:pos="425"/>
        </w:tabs>
        <w:spacing w:after="0" w:line="276" w:lineRule="auto"/>
        <w:rPr>
          <w:rFonts w:asciiTheme="majorHAnsi" w:eastAsia="Calibri" w:hAnsiTheme="majorHAnsi" w:cstheme="majorHAnsi"/>
          <w:i/>
          <w:szCs w:val="20"/>
          <w:lang w:val="ro-MD"/>
        </w:rPr>
      </w:pPr>
      <w:r w:rsidRPr="00B7675F">
        <w:rPr>
          <w:rFonts w:asciiTheme="majorHAnsi" w:eastAsia="Calibri" w:hAnsiTheme="majorHAnsi" w:cstheme="majorHAnsi"/>
          <w:i/>
          <w:szCs w:val="20"/>
          <w:lang w:val="ro-MD"/>
        </w:rPr>
        <w:t>Sursa: Elaborat de audit în baza datelor preze</w:t>
      </w:r>
      <w:r w:rsidRPr="0038225D">
        <w:rPr>
          <w:rFonts w:asciiTheme="majorHAnsi" w:eastAsia="Calibri" w:hAnsiTheme="majorHAnsi" w:cstheme="majorHAnsi"/>
          <w:i/>
          <w:szCs w:val="20"/>
          <w:lang w:val="ro-MD"/>
        </w:rPr>
        <w:t>ntate de SFS pentru perioada 2020-2022</w:t>
      </w:r>
      <w:r w:rsidR="00DC7634" w:rsidRPr="00B7675F">
        <w:rPr>
          <w:rFonts w:asciiTheme="majorHAnsi" w:eastAsia="Calibri" w:hAnsiTheme="majorHAnsi" w:cstheme="majorHAnsi"/>
          <w:i/>
          <w:szCs w:val="20"/>
          <w:lang w:val="ro-MD"/>
        </w:rPr>
        <w:t>.</w:t>
      </w:r>
    </w:p>
    <w:p w14:paraId="69F42A5A" w14:textId="77777777" w:rsidR="008352F4" w:rsidRPr="00B7675F" w:rsidRDefault="008352F4" w:rsidP="008352F4">
      <w:pPr>
        <w:pStyle w:val="aa"/>
        <w:tabs>
          <w:tab w:val="left" w:pos="284"/>
          <w:tab w:val="left" w:pos="425"/>
        </w:tabs>
        <w:spacing w:after="0" w:line="276" w:lineRule="auto"/>
        <w:rPr>
          <w:rFonts w:asciiTheme="majorHAnsi" w:eastAsia="Calibri" w:hAnsiTheme="majorHAnsi" w:cstheme="majorHAnsi"/>
          <w:sz w:val="20"/>
          <w:szCs w:val="20"/>
          <w:lang w:val="ro-MD"/>
        </w:rPr>
      </w:pPr>
    </w:p>
    <w:p w14:paraId="3F83F12E" w14:textId="12B0771C" w:rsidR="00C67851" w:rsidRPr="00FB7074" w:rsidRDefault="00C67851" w:rsidP="008C25BC">
      <w:pPr>
        <w:pStyle w:val="aa"/>
        <w:numPr>
          <w:ilvl w:val="0"/>
          <w:numId w:val="26"/>
        </w:numPr>
        <w:tabs>
          <w:tab w:val="left" w:pos="0"/>
        </w:tabs>
        <w:spacing w:after="100" w:afterAutospacing="1" w:line="276" w:lineRule="auto"/>
        <w:ind w:left="0" w:firstLine="0"/>
        <w:jc w:val="both"/>
        <w:rPr>
          <w:rFonts w:asciiTheme="majorHAnsi" w:eastAsia="Calibri" w:hAnsiTheme="majorHAnsi" w:cstheme="majorHAnsi"/>
          <w:b/>
          <w:sz w:val="24"/>
          <w:szCs w:val="24"/>
          <w:lang w:val="ro-MD"/>
        </w:rPr>
      </w:pPr>
      <w:r w:rsidRPr="00B7675F">
        <w:rPr>
          <w:rFonts w:asciiTheme="majorHAnsi" w:eastAsia="Calibri" w:hAnsiTheme="majorHAnsi" w:cstheme="majorHAnsi"/>
          <w:b/>
          <w:sz w:val="24"/>
          <w:szCs w:val="24"/>
          <w:lang w:val="ro-MD"/>
        </w:rPr>
        <w:t>Unii agenți economici</w:t>
      </w:r>
      <w:r w:rsidR="000C7D59" w:rsidRPr="00B7675F">
        <w:rPr>
          <w:rFonts w:asciiTheme="majorHAnsi" w:eastAsia="Calibri" w:hAnsiTheme="majorHAnsi" w:cstheme="majorHAnsi"/>
          <w:b/>
          <w:sz w:val="24"/>
          <w:szCs w:val="24"/>
          <w:lang w:val="ro-MD"/>
        </w:rPr>
        <w:t>,</w:t>
      </w:r>
      <w:r w:rsidRPr="00B7675F">
        <w:rPr>
          <w:rFonts w:asciiTheme="majorHAnsi" w:eastAsia="Calibri" w:hAnsiTheme="majorHAnsi" w:cstheme="majorHAnsi"/>
          <w:b/>
          <w:sz w:val="24"/>
          <w:szCs w:val="24"/>
          <w:lang w:val="ro-MD"/>
        </w:rPr>
        <w:t xml:space="preserve"> care pe parcursul anilor 2020-2021 au achita</w:t>
      </w:r>
      <w:r w:rsidR="005F0C90" w:rsidRPr="00B7675F">
        <w:rPr>
          <w:rFonts w:asciiTheme="majorHAnsi" w:eastAsia="Calibri" w:hAnsiTheme="majorHAnsi" w:cstheme="majorHAnsi"/>
          <w:b/>
          <w:sz w:val="24"/>
          <w:szCs w:val="24"/>
          <w:lang w:val="ro-MD"/>
        </w:rPr>
        <w:t>t dividende în valoare de 36,4</w:t>
      </w:r>
      <w:r w:rsidRPr="00B7675F">
        <w:rPr>
          <w:rFonts w:asciiTheme="majorHAnsi" w:eastAsia="Calibri" w:hAnsiTheme="majorHAnsi" w:cstheme="majorHAnsi"/>
          <w:b/>
          <w:sz w:val="24"/>
          <w:szCs w:val="24"/>
          <w:lang w:val="ro-MD"/>
        </w:rPr>
        <w:t xml:space="preserve"> mil. lei,  în anul 2022 au intrat în </w:t>
      </w:r>
      <w:r w:rsidR="000C7D59" w:rsidRPr="00B7675F">
        <w:rPr>
          <w:rFonts w:asciiTheme="majorHAnsi" w:eastAsia="Calibri" w:hAnsiTheme="majorHAnsi" w:cstheme="majorHAnsi"/>
          <w:b/>
          <w:sz w:val="24"/>
          <w:szCs w:val="24"/>
          <w:lang w:val="ro-MD"/>
        </w:rPr>
        <w:t>procedură de insolvabilitate cu</w:t>
      </w:r>
      <w:r w:rsidRPr="00B7675F">
        <w:rPr>
          <w:rFonts w:asciiTheme="majorHAnsi" w:eastAsia="Calibri" w:hAnsiTheme="majorHAnsi" w:cstheme="majorHAnsi"/>
          <w:b/>
          <w:sz w:val="24"/>
          <w:szCs w:val="24"/>
          <w:lang w:val="ro-MD"/>
        </w:rPr>
        <w:t xml:space="preserve"> datorii la bugetul asigurărilor sociale în valoare de 2,5 mil. lei</w:t>
      </w:r>
      <w:r w:rsidR="008C25BC" w:rsidRPr="00B7675F">
        <w:rPr>
          <w:rFonts w:asciiTheme="majorHAnsi" w:eastAsia="Calibri" w:hAnsiTheme="majorHAnsi" w:cstheme="majorHAnsi"/>
          <w:b/>
          <w:sz w:val="24"/>
          <w:szCs w:val="24"/>
          <w:lang w:val="ro-MD"/>
        </w:rPr>
        <w:t xml:space="preserve"> </w:t>
      </w:r>
      <w:r w:rsidR="008352F4" w:rsidRPr="00B7675F">
        <w:rPr>
          <w:rFonts w:asciiTheme="majorHAnsi" w:eastAsia="Calibri" w:hAnsiTheme="majorHAnsi" w:cstheme="majorHAnsi"/>
          <w:b/>
          <w:sz w:val="24"/>
          <w:szCs w:val="24"/>
          <w:lang w:val="ro-MD"/>
        </w:rPr>
        <w:t xml:space="preserve">. </w:t>
      </w:r>
      <w:r w:rsidR="008C25BC" w:rsidRPr="00B7675F">
        <w:rPr>
          <w:rFonts w:asciiTheme="majorHAnsi" w:eastAsia="Calibri" w:hAnsiTheme="majorHAnsi" w:cstheme="majorHAnsi"/>
          <w:sz w:val="24"/>
          <w:szCs w:val="24"/>
          <w:lang w:val="ro-MD"/>
        </w:rPr>
        <w:t>Astfel, î</w:t>
      </w:r>
      <w:r w:rsidRPr="00B7675F">
        <w:rPr>
          <w:rFonts w:asciiTheme="majorHAnsi" w:hAnsiTheme="majorHAnsi" w:cstheme="majorHAnsi"/>
          <w:sz w:val="24"/>
          <w:szCs w:val="24"/>
          <w:lang w:val="ro-MD"/>
        </w:rPr>
        <w:t>n 16</w:t>
      </w:r>
      <w:r w:rsidR="008C25BC" w:rsidRPr="00B7675F">
        <w:rPr>
          <w:rFonts w:asciiTheme="majorHAnsi" w:hAnsiTheme="majorHAnsi" w:cstheme="majorHAnsi"/>
          <w:sz w:val="24"/>
          <w:szCs w:val="24"/>
          <w:lang w:val="ro-MD"/>
        </w:rPr>
        <w:t xml:space="preserve"> cazuri,</w:t>
      </w:r>
      <w:r w:rsidRPr="00B7675F">
        <w:rPr>
          <w:rFonts w:asciiTheme="majorHAnsi" w:hAnsiTheme="majorHAnsi" w:cstheme="majorHAnsi"/>
          <w:sz w:val="24"/>
          <w:szCs w:val="24"/>
          <w:lang w:val="ro-MD"/>
        </w:rPr>
        <w:t xml:space="preserve"> </w:t>
      </w:r>
      <w:r w:rsidR="008C25BC" w:rsidRPr="00B7675F">
        <w:rPr>
          <w:rFonts w:asciiTheme="majorHAnsi" w:hAnsiTheme="majorHAnsi" w:cstheme="majorHAnsi"/>
          <w:sz w:val="24"/>
          <w:szCs w:val="24"/>
          <w:lang w:val="ro-MD"/>
        </w:rPr>
        <w:t xml:space="preserve">agenții economici, după achitarea dividendelor, în anul următor au fost </w:t>
      </w:r>
      <w:r w:rsidRPr="00B7675F">
        <w:rPr>
          <w:rFonts w:asciiTheme="majorHAnsi" w:hAnsiTheme="majorHAnsi" w:cstheme="majorHAnsi"/>
          <w:sz w:val="24"/>
          <w:szCs w:val="24"/>
          <w:lang w:val="ro-MD"/>
        </w:rPr>
        <w:t>în imposibilitatea de a-</w:t>
      </w:r>
      <w:r w:rsidRPr="00FB7074">
        <w:rPr>
          <w:rFonts w:asciiTheme="majorHAnsi" w:hAnsiTheme="majorHAnsi" w:cstheme="majorHAnsi"/>
          <w:sz w:val="24"/>
          <w:szCs w:val="24"/>
          <w:lang w:val="ro-MD"/>
        </w:rPr>
        <w:t xml:space="preserve">și onora obligațiile față de BASS. </w:t>
      </w:r>
      <w:r w:rsidR="008C25BC" w:rsidRPr="00FB7074">
        <w:rPr>
          <w:rFonts w:asciiTheme="majorHAnsi" w:hAnsiTheme="majorHAnsi" w:cstheme="majorHAnsi"/>
          <w:sz w:val="24"/>
          <w:szCs w:val="24"/>
          <w:lang w:val="ro-MD"/>
        </w:rPr>
        <w:t xml:space="preserve">Procedura de insolvabilitate atrage după sine riscuri semnificative la stabilirea prestațiilor (vezi pct. </w:t>
      </w:r>
      <w:r w:rsidR="00852CE4" w:rsidRPr="00FB7074">
        <w:rPr>
          <w:rFonts w:asciiTheme="majorHAnsi" w:hAnsiTheme="majorHAnsi" w:cstheme="majorHAnsi"/>
          <w:sz w:val="24"/>
          <w:szCs w:val="24"/>
          <w:lang w:val="ro-MD"/>
        </w:rPr>
        <w:t>7</w:t>
      </w:r>
      <w:r w:rsidR="008C25BC" w:rsidRPr="00FB7074">
        <w:rPr>
          <w:rFonts w:asciiTheme="majorHAnsi" w:hAnsiTheme="majorHAnsi" w:cstheme="majorHAnsi"/>
          <w:sz w:val="24"/>
          <w:szCs w:val="24"/>
          <w:lang w:val="ro-MD"/>
        </w:rPr>
        <w:t>.6).</w:t>
      </w:r>
    </w:p>
    <w:p w14:paraId="16D616FC" w14:textId="39011B61" w:rsidR="001C1CE5" w:rsidRPr="001C1CE5" w:rsidRDefault="0009417A" w:rsidP="001C1CE5">
      <w:pPr>
        <w:pStyle w:val="aa"/>
        <w:tabs>
          <w:tab w:val="left" w:pos="0"/>
        </w:tabs>
        <w:spacing w:after="100" w:afterAutospacing="1" w:line="276" w:lineRule="auto"/>
        <w:ind w:left="0"/>
        <w:jc w:val="both"/>
        <w:rPr>
          <w:rFonts w:asciiTheme="majorHAnsi" w:hAnsiTheme="majorHAnsi" w:cstheme="majorHAnsi"/>
          <w:sz w:val="24"/>
          <w:szCs w:val="24"/>
          <w:lang w:val="ro-MD"/>
        </w:rPr>
      </w:pPr>
      <w:r w:rsidRPr="00FB7074">
        <w:rPr>
          <w:rFonts w:asciiTheme="majorHAnsi" w:hAnsiTheme="majorHAnsi" w:cstheme="majorHAnsi"/>
          <w:sz w:val="24"/>
          <w:szCs w:val="24"/>
          <w:lang w:val="ro-MD"/>
        </w:rPr>
        <w:t>Ca</w:t>
      </w:r>
      <w:r w:rsidR="001C1CE5" w:rsidRPr="00FB7074">
        <w:rPr>
          <w:rFonts w:asciiTheme="majorHAnsi" w:hAnsiTheme="majorHAnsi" w:cstheme="majorHAnsi"/>
          <w:sz w:val="24"/>
          <w:szCs w:val="24"/>
          <w:lang w:val="ro-MD"/>
        </w:rPr>
        <w:t xml:space="preserve"> rezultat</w:t>
      </w:r>
      <w:r w:rsidRPr="00FB7074">
        <w:rPr>
          <w:rFonts w:asciiTheme="majorHAnsi" w:hAnsiTheme="majorHAnsi" w:cstheme="majorHAnsi"/>
          <w:sz w:val="24"/>
          <w:szCs w:val="24"/>
          <w:lang w:val="ro-MD"/>
        </w:rPr>
        <w:t xml:space="preserve"> a</w:t>
      </w:r>
      <w:r w:rsidR="001C1CE5" w:rsidRPr="00FB7074">
        <w:rPr>
          <w:rFonts w:asciiTheme="majorHAnsi" w:hAnsiTheme="majorHAnsi" w:cstheme="majorHAnsi"/>
          <w:sz w:val="24"/>
          <w:szCs w:val="24"/>
          <w:lang w:val="ro-MD"/>
        </w:rPr>
        <w:t>l acțiunilor de control desfășurate de către Serviciul Fiscal de Stat în legătur</w:t>
      </w:r>
      <w:r w:rsidRPr="00FB7074">
        <w:rPr>
          <w:rFonts w:asciiTheme="majorHAnsi" w:hAnsiTheme="majorHAnsi" w:cstheme="majorHAnsi"/>
          <w:sz w:val="24"/>
          <w:szCs w:val="24"/>
          <w:lang w:val="ro-MD"/>
        </w:rPr>
        <w:t>ă</w:t>
      </w:r>
      <w:r w:rsidR="001C1CE5" w:rsidRPr="00FB7074">
        <w:rPr>
          <w:rFonts w:asciiTheme="majorHAnsi" w:hAnsiTheme="majorHAnsi" w:cstheme="majorHAnsi"/>
          <w:sz w:val="24"/>
          <w:szCs w:val="24"/>
          <w:lang w:val="ro-MD"/>
        </w:rPr>
        <w:t xml:space="preserve"> cu intentarea procedurii de insolvabilitate, în 15 cazuri a fost sesizat organul de urmărire penală din cadrul Serviciului Fiscal de Stat, privind întrunirea indicilor de insolvabilitate intenționată.</w:t>
      </w:r>
    </w:p>
    <w:p w14:paraId="4BF3254A" w14:textId="14A4488B" w:rsidR="00FF3AE0" w:rsidRPr="00B7675F" w:rsidRDefault="008C25BC" w:rsidP="008C25BC">
      <w:pPr>
        <w:spacing w:after="30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Astfel, s</w:t>
      </w:r>
      <w:r w:rsidR="00C67851" w:rsidRPr="00B7675F">
        <w:rPr>
          <w:rFonts w:asciiTheme="majorHAnsi" w:hAnsiTheme="majorHAnsi" w:cstheme="majorHAnsi"/>
          <w:sz w:val="24"/>
          <w:szCs w:val="24"/>
          <w:lang w:val="ro-MD"/>
        </w:rPr>
        <w:t xml:space="preserve">alariul în plic este un fenomen nociv și o problemă pentru fiecare cetățean care acceptă o astfel de remunerare pentru munca sa. Banii primiți în plic evită plata impozitelor și contribuțiilor, dar această practică înseamnă de fapt o condamnare la un viitor nesigur, cu multe riscuri și urmări grave, care nu </w:t>
      </w:r>
      <w:r w:rsidRPr="00B7675F">
        <w:rPr>
          <w:rFonts w:asciiTheme="majorHAnsi" w:hAnsiTheme="majorHAnsi" w:cstheme="majorHAnsi"/>
          <w:sz w:val="24"/>
          <w:szCs w:val="24"/>
          <w:lang w:val="ro-MD"/>
        </w:rPr>
        <w:t xml:space="preserve">pot </w:t>
      </w:r>
      <w:r w:rsidR="00C67851" w:rsidRPr="00B7675F">
        <w:rPr>
          <w:rFonts w:asciiTheme="majorHAnsi" w:hAnsiTheme="majorHAnsi" w:cstheme="majorHAnsi"/>
          <w:sz w:val="24"/>
          <w:szCs w:val="24"/>
          <w:lang w:val="ro-MD"/>
        </w:rPr>
        <w:t>fi evitate.</w:t>
      </w:r>
    </w:p>
    <w:p w14:paraId="15BE4B54" w14:textId="128DEC6F" w:rsidR="00DE27FA" w:rsidRPr="00B7675F" w:rsidRDefault="00DE27FA" w:rsidP="00437B23">
      <w:pPr>
        <w:pStyle w:val="aa"/>
        <w:numPr>
          <w:ilvl w:val="0"/>
          <w:numId w:val="2"/>
        </w:numPr>
        <w:shd w:val="clear" w:color="auto" w:fill="FFFFFF" w:themeFill="background1"/>
        <w:spacing w:line="276" w:lineRule="auto"/>
        <w:jc w:val="both"/>
        <w:outlineLvl w:val="0"/>
        <w:rPr>
          <w:rFonts w:asciiTheme="majorHAnsi" w:hAnsiTheme="majorHAnsi" w:cstheme="majorHAnsi"/>
          <w:b/>
          <w:sz w:val="28"/>
          <w:szCs w:val="24"/>
          <w:lang w:val="ro-MD"/>
        </w:rPr>
      </w:pPr>
      <w:r w:rsidRPr="00B7675F">
        <w:rPr>
          <w:rFonts w:asciiTheme="majorHAnsi" w:hAnsiTheme="majorHAnsi" w:cstheme="majorHAnsi"/>
          <w:b/>
          <w:sz w:val="28"/>
          <w:szCs w:val="24"/>
          <w:lang w:val="ro-MD"/>
        </w:rPr>
        <w:t>ALTE INFORMAȚII</w:t>
      </w:r>
    </w:p>
    <w:p w14:paraId="75E330BD" w14:textId="608F140F" w:rsidR="00F77382" w:rsidRPr="00653E85" w:rsidRDefault="00F77382" w:rsidP="005F0C90">
      <w:pPr>
        <w:pStyle w:val="aa"/>
        <w:numPr>
          <w:ilvl w:val="1"/>
          <w:numId w:val="2"/>
        </w:numPr>
        <w:spacing w:after="120" w:line="276" w:lineRule="auto"/>
        <w:ind w:left="0" w:firstLine="0"/>
        <w:jc w:val="both"/>
        <w:outlineLvl w:val="1"/>
        <w:rPr>
          <w:rFonts w:asciiTheme="majorHAnsi" w:hAnsiTheme="majorHAnsi" w:cstheme="majorHAnsi"/>
          <w:b/>
          <w:sz w:val="24"/>
          <w:szCs w:val="24"/>
          <w:lang w:val="ro-MD"/>
        </w:rPr>
      </w:pPr>
      <w:r w:rsidRPr="00653E85">
        <w:rPr>
          <w:rFonts w:asciiTheme="majorHAnsi" w:hAnsiTheme="majorHAnsi" w:cstheme="majorHAnsi"/>
          <w:b/>
          <w:sz w:val="24"/>
          <w:szCs w:val="24"/>
          <w:lang w:val="ro-MD"/>
        </w:rPr>
        <w:t>Neajustarea soldurilor inițiale ale datoriilor nu oferă comparabilitate la reflectarea datoriilor pe termen scurt ale prestațiilor sociale pentru anul 2022, acestea fiind diminuate cu cel puțin 14,0 mil</w:t>
      </w:r>
      <w:r w:rsidR="00DC7634" w:rsidRPr="00653E85">
        <w:rPr>
          <w:rFonts w:asciiTheme="majorHAnsi" w:hAnsiTheme="majorHAnsi" w:cstheme="majorHAnsi"/>
          <w:b/>
          <w:sz w:val="24"/>
          <w:szCs w:val="24"/>
          <w:lang w:val="ro-MD"/>
        </w:rPr>
        <w:t>.</w:t>
      </w:r>
      <w:r w:rsidRPr="00653E85">
        <w:rPr>
          <w:rFonts w:asciiTheme="majorHAnsi" w:hAnsiTheme="majorHAnsi" w:cstheme="majorHAnsi"/>
          <w:b/>
          <w:sz w:val="24"/>
          <w:szCs w:val="24"/>
          <w:lang w:val="ro-MD"/>
        </w:rPr>
        <w:t xml:space="preserve"> lei.</w:t>
      </w:r>
    </w:p>
    <w:p w14:paraId="27D1C0EB" w14:textId="106F577E" w:rsidR="00F77382" w:rsidRPr="00B7675F" w:rsidRDefault="00F77382" w:rsidP="00F77382">
      <w:pPr>
        <w:pStyle w:val="af3"/>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Constatările de audit din anii precedenți</w:t>
      </w:r>
      <w:r w:rsidRPr="00653E85">
        <w:rPr>
          <w:rStyle w:val="a5"/>
          <w:rFonts w:asciiTheme="majorHAnsi" w:hAnsiTheme="majorHAnsi" w:cstheme="majorHAnsi"/>
          <w:sz w:val="24"/>
          <w:szCs w:val="24"/>
          <w:lang w:val="ro-MD"/>
        </w:rPr>
        <w:footnoteReference w:id="30"/>
      </w:r>
      <w:r w:rsidRPr="00653E85">
        <w:rPr>
          <w:rFonts w:asciiTheme="majorHAnsi" w:hAnsiTheme="majorHAnsi" w:cstheme="majorHAnsi"/>
          <w:sz w:val="24"/>
          <w:szCs w:val="24"/>
          <w:lang w:val="ro-MD"/>
        </w:rPr>
        <w:t xml:space="preserve"> au identificat carențe la reflectarea soldurilor datoriilor suspendate după 3/6 luni ale perioadelor precedente, menținându-se doar în SI „Protecția Socială”. Neregulile constatate au avut loc din cauza c</w:t>
      </w:r>
      <w:r w:rsidRPr="00B7675F">
        <w:rPr>
          <w:rFonts w:asciiTheme="majorHAnsi" w:hAnsiTheme="majorHAnsi" w:cstheme="majorHAnsi"/>
          <w:sz w:val="24"/>
          <w:szCs w:val="24"/>
          <w:lang w:val="ro-MD"/>
        </w:rPr>
        <w:t xml:space="preserve">ă </w:t>
      </w:r>
      <w:r w:rsidRPr="00653E85">
        <w:rPr>
          <w:rFonts w:asciiTheme="majorHAnsi" w:hAnsiTheme="majorHAnsi" w:cstheme="majorHAnsi"/>
          <w:sz w:val="24"/>
          <w:szCs w:val="24"/>
          <w:lang w:val="ro-MD"/>
        </w:rPr>
        <w:t>SI „Protecția Socială” oferă posibilitatea accesării datoriei per beneficiar (prin verificarea contului individual pentru prestațiile suspendate până în anul 2021), iar datoria asociată cu plățile suspendate nu a fost inclus</w:t>
      </w:r>
      <w:r w:rsidR="00D65E5D" w:rsidRPr="00653E85">
        <w:rPr>
          <w:rFonts w:asciiTheme="majorHAnsi" w:hAnsiTheme="majorHAnsi" w:cstheme="majorHAnsi"/>
          <w:sz w:val="24"/>
          <w:szCs w:val="24"/>
          <w:lang w:val="ro-MD"/>
        </w:rPr>
        <w:t>ă</w:t>
      </w:r>
      <w:r w:rsidRPr="00653E85">
        <w:rPr>
          <w:rFonts w:asciiTheme="majorHAnsi" w:hAnsiTheme="majorHAnsi" w:cstheme="majorHAnsi"/>
          <w:sz w:val="24"/>
          <w:szCs w:val="24"/>
          <w:lang w:val="ro-MD"/>
        </w:rPr>
        <w:t xml:space="preserve"> în evidență. Acestea se mențin în sistem și apar în evidență odată cu cererea de reluare a plății.</w:t>
      </w:r>
    </w:p>
    <w:p w14:paraId="34E2AD65" w14:textId="4A758E7E" w:rsidR="00F77382" w:rsidRPr="00653E85" w:rsidRDefault="00F77382" w:rsidP="00F77382">
      <w:pPr>
        <w:pStyle w:val="af3"/>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Începând cu anul 2021, CNAS a elaborat modificări ale normelor de evidență a datoriilor, astfel acestea au fost reflectate ca datorii pe termen lung la conturile extrabilanțiere. În acest context, auditul menționează că metoda nouă reflectă datoriile formate după 12 luni în caz de neridicare a prestației, fără a fi luate în calcul datoriile suspendate după 3/6 luni ale perioadelor precedente, menținându-se doar în SI „Protecția Socială”, iar soldurile datoriilor ale anului precedent nu au suportat modificări/ajustări.</w:t>
      </w:r>
    </w:p>
    <w:p w14:paraId="7722D41B" w14:textId="1909D3F9" w:rsidR="00F77382" w:rsidRPr="00653E85" w:rsidRDefault="00F77382" w:rsidP="00F77382">
      <w:pPr>
        <w:pStyle w:val="af3"/>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w:t>
      </w:r>
      <w:r w:rsidR="00D65E5D" w:rsidRPr="00653E85">
        <w:rPr>
          <w:rFonts w:asciiTheme="majorHAnsi" w:hAnsiTheme="majorHAnsi" w:cstheme="majorHAnsi"/>
          <w:sz w:val="24"/>
          <w:szCs w:val="24"/>
          <w:lang w:val="ro-MD"/>
        </w:rPr>
        <w:t xml:space="preserve"> acest</w:t>
      </w:r>
      <w:r w:rsidRPr="00653E85">
        <w:rPr>
          <w:rFonts w:asciiTheme="majorHAnsi" w:hAnsiTheme="majorHAnsi" w:cstheme="majorHAnsi"/>
          <w:sz w:val="24"/>
          <w:szCs w:val="24"/>
          <w:lang w:val="ro-MD"/>
        </w:rPr>
        <w:t xml:space="preserve"> context, auditul a analizat cererile de reluare a prestațiilor în anul 2022. Astfel, pe parcursul anului auditat, au depus cerere de reluare a pensiei 221 </w:t>
      </w:r>
      <w:r w:rsidR="00D65E5D"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beneficiari ale căror prestații au fost suspendate anterior, până la implementarea mecanismului de reflectare a datoriilor pe termen lung. Aceștia nu au ridicat prestația pentru o perioadă de la 1 an și 8 luni până la 12 ani și 4 luni, în valoare totală de 14,0 mil</w:t>
      </w:r>
      <w:r w:rsidR="00D65E5D"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lei. Astfel, valoarea atribuită datoriei nereflectate în soldurile inițiale se estimează la cel puțin 14,0 mil. lei.</w:t>
      </w:r>
    </w:p>
    <w:p w14:paraId="3E6B2603" w14:textId="3772AFCC" w:rsidR="00F77382" w:rsidRPr="00653E85" w:rsidRDefault="00F77382" w:rsidP="00F77382">
      <w:pPr>
        <w:pStyle w:val="af3"/>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Cu referire la reflectarea datoriilor pe termen lung, se denotă că</w:t>
      </w:r>
      <w:r w:rsidR="00D65E5D"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la finele fiecărei luni, sumele pensiilor stabilite și neprimite de beneficiar în decurs de 12 luni consecutive se suspendă și se reflectă la conturi extrabilanțiere, iar la sfârșitul anului 2022 </w:t>
      </w:r>
      <w:r w:rsidR="00D65E5D" w:rsidRPr="00653E85">
        <w:rPr>
          <w:rFonts w:asciiTheme="majorHAnsi" w:hAnsiTheme="majorHAnsi" w:cstheme="majorHAnsi"/>
          <w:sz w:val="24"/>
          <w:szCs w:val="24"/>
          <w:lang w:val="ro-MD"/>
        </w:rPr>
        <w:t xml:space="preserve">acestea </w:t>
      </w:r>
      <w:r w:rsidRPr="00653E85">
        <w:rPr>
          <w:rFonts w:asciiTheme="majorHAnsi" w:hAnsiTheme="majorHAnsi" w:cstheme="majorHAnsi"/>
          <w:sz w:val="24"/>
          <w:szCs w:val="24"/>
          <w:lang w:val="ro-MD"/>
        </w:rPr>
        <w:t>au însumat 53,6 mil</w:t>
      </w:r>
      <w:r w:rsidR="00D65E5D"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lei.</w:t>
      </w:r>
    </w:p>
    <w:p w14:paraId="412CC06B" w14:textId="77777777" w:rsidR="00F77382" w:rsidRPr="00653E85" w:rsidRDefault="00F77382" w:rsidP="00F77382">
      <w:pPr>
        <w:pStyle w:val="af3"/>
        <w:spacing w:after="0" w:line="276" w:lineRule="auto"/>
        <w:jc w:val="both"/>
        <w:rPr>
          <w:rFonts w:asciiTheme="majorHAnsi" w:hAnsiTheme="majorHAnsi" w:cstheme="majorHAnsi"/>
          <w:sz w:val="24"/>
          <w:szCs w:val="24"/>
          <w:lang w:val="ro-MD"/>
        </w:rPr>
      </w:pPr>
    </w:p>
    <w:p w14:paraId="208E3306" w14:textId="3E3F47FA" w:rsidR="005E7DC9" w:rsidRPr="00653E85" w:rsidRDefault="005E7DC9" w:rsidP="00E948EA">
      <w:pPr>
        <w:pStyle w:val="aa"/>
        <w:numPr>
          <w:ilvl w:val="1"/>
          <w:numId w:val="2"/>
        </w:numPr>
        <w:spacing w:line="276" w:lineRule="auto"/>
        <w:ind w:left="0" w:firstLine="0"/>
        <w:jc w:val="both"/>
        <w:outlineLvl w:val="1"/>
        <w:rPr>
          <w:rFonts w:asciiTheme="majorHAnsi" w:eastAsia="Times New Roman" w:hAnsiTheme="majorHAnsi" w:cs="Times New Roman"/>
          <w:b/>
          <w:sz w:val="24"/>
          <w:szCs w:val="24"/>
          <w:lang w:val="ro-MD"/>
        </w:rPr>
      </w:pPr>
      <w:r w:rsidRPr="00653E85">
        <w:rPr>
          <w:rFonts w:asciiTheme="majorHAnsi" w:eastAsia="Times New Roman" w:hAnsiTheme="majorHAnsi" w:cs="Times New Roman"/>
          <w:b/>
          <w:sz w:val="24"/>
          <w:szCs w:val="24"/>
          <w:lang w:val="ro-MD"/>
        </w:rPr>
        <w:t>Cadrul regulator imperfect, lipsa unui registru</w:t>
      </w:r>
      <w:r w:rsidR="005F0C90" w:rsidRPr="00653E85">
        <w:rPr>
          <w:rFonts w:asciiTheme="majorHAnsi" w:eastAsia="Times New Roman" w:hAnsiTheme="majorHAnsi" w:cs="Times New Roman"/>
          <w:b/>
          <w:sz w:val="24"/>
          <w:szCs w:val="24"/>
          <w:lang w:val="ro-MD"/>
        </w:rPr>
        <w:t xml:space="preserve"> electronic</w:t>
      </w:r>
      <w:r w:rsidRPr="00653E85">
        <w:rPr>
          <w:rFonts w:asciiTheme="majorHAnsi" w:eastAsia="Times New Roman" w:hAnsiTheme="majorHAnsi" w:cs="Times New Roman"/>
          <w:b/>
          <w:sz w:val="24"/>
          <w:szCs w:val="24"/>
          <w:lang w:val="ro-MD"/>
        </w:rPr>
        <w:t xml:space="preserve"> de evidență a liber</w:t>
      </w:r>
      <w:r w:rsidR="00D65E5D" w:rsidRPr="00653E85">
        <w:rPr>
          <w:rFonts w:asciiTheme="majorHAnsi" w:eastAsia="Times New Roman" w:hAnsiTheme="majorHAnsi" w:cs="Times New Roman"/>
          <w:b/>
          <w:sz w:val="24"/>
          <w:szCs w:val="24"/>
          <w:lang w:val="ro-MD"/>
        </w:rPr>
        <w:t>-</w:t>
      </w:r>
      <w:r w:rsidRPr="00653E85">
        <w:rPr>
          <w:rFonts w:asciiTheme="majorHAnsi" w:eastAsia="Times New Roman" w:hAnsiTheme="majorHAnsi" w:cs="Times New Roman"/>
          <w:b/>
          <w:sz w:val="24"/>
          <w:szCs w:val="24"/>
          <w:lang w:val="ro-MD"/>
        </w:rPr>
        <w:t>profesioniștilor ce practică activitatea în sectorul justiției</w:t>
      </w:r>
      <w:r w:rsidR="005F0C90" w:rsidRPr="00653E85">
        <w:rPr>
          <w:rFonts w:asciiTheme="majorHAnsi" w:eastAsia="Times New Roman" w:hAnsiTheme="majorHAnsi" w:cs="Times New Roman"/>
          <w:b/>
          <w:sz w:val="24"/>
          <w:szCs w:val="24"/>
          <w:lang w:val="ro-MD"/>
        </w:rPr>
        <w:t xml:space="preserve"> la organul abilitat cu dreptul de înregistrare (Ministerul Justiției)</w:t>
      </w:r>
      <w:r w:rsidRPr="00653E85">
        <w:rPr>
          <w:rFonts w:asciiTheme="majorHAnsi" w:eastAsia="Times New Roman" w:hAnsiTheme="majorHAnsi" w:cs="Times New Roman"/>
          <w:b/>
          <w:sz w:val="24"/>
          <w:szCs w:val="24"/>
          <w:lang w:val="ro-MD"/>
        </w:rPr>
        <w:t xml:space="preserve">, </w:t>
      </w:r>
      <w:r w:rsidR="008D1DF2" w:rsidRPr="00653E85">
        <w:rPr>
          <w:rFonts w:asciiTheme="majorHAnsi" w:eastAsia="Times New Roman" w:hAnsiTheme="majorHAnsi" w:cs="Times New Roman"/>
          <w:b/>
          <w:sz w:val="24"/>
          <w:szCs w:val="24"/>
          <w:lang w:val="ro-MD"/>
        </w:rPr>
        <w:t>lipsa fur</w:t>
      </w:r>
      <w:r w:rsidR="005F0C90" w:rsidRPr="00653E85">
        <w:rPr>
          <w:rFonts w:asciiTheme="majorHAnsi" w:eastAsia="Times New Roman" w:hAnsiTheme="majorHAnsi" w:cs="Times New Roman"/>
          <w:b/>
          <w:sz w:val="24"/>
          <w:szCs w:val="24"/>
          <w:lang w:val="ro-MD"/>
        </w:rPr>
        <w:t xml:space="preserve">nizării electronice a datelor către CNAS, </w:t>
      </w:r>
      <w:r w:rsidR="00E948EA" w:rsidRPr="00653E85">
        <w:rPr>
          <w:rFonts w:asciiTheme="majorHAnsi" w:eastAsia="Times New Roman" w:hAnsiTheme="majorHAnsi" w:cs="Times New Roman"/>
          <w:b/>
          <w:sz w:val="24"/>
          <w:szCs w:val="24"/>
          <w:lang w:val="ro-MD"/>
        </w:rPr>
        <w:t>precum şi acțiunile insuficiente de control a</w:t>
      </w:r>
      <w:r w:rsidR="00D65E5D" w:rsidRPr="00653E85">
        <w:rPr>
          <w:rFonts w:asciiTheme="majorHAnsi" w:eastAsia="Times New Roman" w:hAnsiTheme="majorHAnsi" w:cs="Times New Roman"/>
          <w:b/>
          <w:sz w:val="24"/>
          <w:szCs w:val="24"/>
          <w:lang w:val="ro-MD"/>
        </w:rPr>
        <w:t>l</w:t>
      </w:r>
      <w:r w:rsidR="00E948EA" w:rsidRPr="00653E85">
        <w:rPr>
          <w:rFonts w:asciiTheme="majorHAnsi" w:eastAsia="Times New Roman" w:hAnsiTheme="majorHAnsi" w:cs="Times New Roman"/>
          <w:b/>
          <w:sz w:val="24"/>
          <w:szCs w:val="24"/>
          <w:lang w:val="ro-MD"/>
        </w:rPr>
        <w:t xml:space="preserve"> corectitudinii calculării și virării lor în termen de către Serviciul Fiscal de Stat, </w:t>
      </w:r>
      <w:r w:rsidRPr="00653E85">
        <w:rPr>
          <w:rFonts w:asciiTheme="majorHAnsi" w:eastAsia="Times New Roman" w:hAnsiTheme="majorHAnsi" w:cs="Times New Roman"/>
          <w:b/>
          <w:sz w:val="24"/>
          <w:szCs w:val="24"/>
          <w:lang w:val="ro-MD"/>
        </w:rPr>
        <w:t>a determinat  venituri ratate la BASS de la această categorie de contribuabili în sumă de 310</w:t>
      </w:r>
      <w:r w:rsidR="005C5EAE">
        <w:rPr>
          <w:rFonts w:asciiTheme="majorHAnsi" w:eastAsia="Times New Roman" w:hAnsiTheme="majorHAnsi" w:cs="Times New Roman"/>
          <w:b/>
          <w:sz w:val="24"/>
          <w:szCs w:val="24"/>
          <w:lang w:val="ro-MD"/>
        </w:rPr>
        <w:t>,5</w:t>
      </w:r>
      <w:r w:rsidRPr="00653E85">
        <w:rPr>
          <w:rFonts w:asciiTheme="majorHAnsi" w:eastAsia="Times New Roman" w:hAnsiTheme="majorHAnsi" w:cs="Times New Roman"/>
          <w:b/>
          <w:sz w:val="24"/>
          <w:szCs w:val="24"/>
          <w:lang w:val="ro-MD"/>
        </w:rPr>
        <w:t xml:space="preserve"> mii lei. Astfel,</w:t>
      </w:r>
    </w:p>
    <w:p w14:paraId="0A4840E1" w14:textId="77777777" w:rsidR="005E7DC9" w:rsidRPr="00653E85" w:rsidRDefault="005E7DC9" w:rsidP="005E7DC9">
      <w:pPr>
        <w:pStyle w:val="aa"/>
        <w:tabs>
          <w:tab w:val="left" w:pos="-90"/>
          <w:tab w:val="left" w:pos="360"/>
        </w:tabs>
        <w:spacing w:line="276" w:lineRule="auto"/>
        <w:ind w:left="0"/>
        <w:jc w:val="both"/>
        <w:rPr>
          <w:rFonts w:asciiTheme="majorHAnsi" w:hAnsiTheme="majorHAnsi" w:cstheme="majorHAnsi"/>
          <w:b/>
          <w:bCs/>
          <w:i/>
          <w:iCs/>
          <w:sz w:val="24"/>
          <w:szCs w:val="24"/>
          <w:lang w:val="ro-MD"/>
        </w:rPr>
      </w:pPr>
    </w:p>
    <w:p w14:paraId="10EDA719" w14:textId="77777777" w:rsidR="005E7DC9" w:rsidRPr="00653E85" w:rsidRDefault="005E7DC9" w:rsidP="008352F4">
      <w:pPr>
        <w:pStyle w:val="aa"/>
        <w:numPr>
          <w:ilvl w:val="0"/>
          <w:numId w:val="4"/>
        </w:numPr>
        <w:tabs>
          <w:tab w:val="left" w:pos="-90"/>
          <w:tab w:val="left" w:pos="360"/>
        </w:tabs>
        <w:spacing w:line="276" w:lineRule="auto"/>
        <w:ind w:left="0" w:firstLine="0"/>
        <w:jc w:val="both"/>
        <w:rPr>
          <w:rFonts w:asciiTheme="majorHAnsi" w:hAnsiTheme="majorHAnsi" w:cstheme="majorHAnsi"/>
          <w:b/>
          <w:bCs/>
          <w:i/>
          <w:iCs/>
          <w:sz w:val="24"/>
          <w:szCs w:val="24"/>
          <w:lang w:val="ro-MD"/>
        </w:rPr>
      </w:pPr>
      <w:r w:rsidRPr="00653E85">
        <w:rPr>
          <w:rFonts w:asciiTheme="majorHAnsi" w:hAnsiTheme="majorHAnsi" w:cstheme="majorHAnsi"/>
          <w:b/>
          <w:bCs/>
          <w:i/>
          <w:iCs/>
          <w:sz w:val="24"/>
          <w:szCs w:val="24"/>
          <w:lang w:val="ro-MD"/>
        </w:rPr>
        <w:t>procesul de înregistrare a liber-profesioniștilor ce practică activitate în sectorul justiției în calitate de plătitori de contribuții la BASS, în condițiile cadrului regulator actual, nu asigură evidența completă a plătitorilor la nivel național.</w:t>
      </w:r>
    </w:p>
    <w:p w14:paraId="083015C5" w14:textId="1B13EC33" w:rsidR="005E7DC9" w:rsidRPr="00653E85" w:rsidRDefault="005E7DC9" w:rsidP="005E7DC9">
      <w:pPr>
        <w:tabs>
          <w:tab w:val="left" w:pos="3408"/>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Conform reglementărilor</w:t>
      </w:r>
      <w:r w:rsidRPr="00653E85">
        <w:rPr>
          <w:rStyle w:val="a5"/>
          <w:rFonts w:asciiTheme="majorHAnsi" w:hAnsiTheme="majorHAnsi" w:cstheme="majorHAnsi"/>
          <w:sz w:val="24"/>
          <w:szCs w:val="24"/>
          <w:lang w:val="ro-MD"/>
        </w:rPr>
        <w:footnoteReference w:id="31"/>
      </w:r>
      <w:r w:rsidR="00984D5C"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liber-profesionist ce practică activitate în sectorul justiției este persoana care are înregistrată una din formele de organizare a activității prevăzute de lege de avocat, notar, executor judecătoresc, administrator autorizat, mediator. </w:t>
      </w:r>
      <w:r w:rsidR="00831D54" w:rsidRPr="00653E85">
        <w:rPr>
          <w:rFonts w:asciiTheme="majorHAnsi" w:hAnsiTheme="majorHAnsi" w:cstheme="majorHAnsi"/>
          <w:sz w:val="24"/>
          <w:szCs w:val="24"/>
          <w:lang w:val="ro-MD"/>
        </w:rPr>
        <w:t>Unitățile</w:t>
      </w:r>
      <w:r w:rsidRPr="00653E85">
        <w:rPr>
          <w:rFonts w:asciiTheme="majorHAnsi" w:hAnsiTheme="majorHAnsi" w:cstheme="majorHAnsi"/>
          <w:sz w:val="24"/>
          <w:szCs w:val="24"/>
          <w:lang w:val="ro-MD"/>
        </w:rPr>
        <w:t xml:space="preserve"> şi persoanele fizice</w:t>
      </w:r>
      <w:r w:rsidRPr="00653E85">
        <w:rPr>
          <w:rStyle w:val="a5"/>
          <w:rFonts w:asciiTheme="majorHAnsi" w:hAnsiTheme="majorHAnsi" w:cstheme="majorHAnsi"/>
          <w:sz w:val="24"/>
          <w:szCs w:val="24"/>
          <w:lang w:val="ro-MD"/>
        </w:rPr>
        <w:footnoteReference w:id="32"/>
      </w:r>
      <w:r w:rsidRPr="00653E85">
        <w:rPr>
          <w:rFonts w:asciiTheme="majorHAnsi" w:hAnsiTheme="majorHAnsi" w:cstheme="majorHAnsi"/>
          <w:sz w:val="24"/>
          <w:szCs w:val="24"/>
          <w:lang w:val="ro-MD"/>
        </w:rPr>
        <w:t xml:space="preserve"> care nu cad sub </w:t>
      </w:r>
      <w:r w:rsidR="00831D54" w:rsidRPr="00653E85">
        <w:rPr>
          <w:rFonts w:asciiTheme="majorHAnsi" w:hAnsiTheme="majorHAnsi" w:cstheme="majorHAnsi"/>
          <w:sz w:val="24"/>
          <w:szCs w:val="24"/>
          <w:lang w:val="ro-MD"/>
        </w:rPr>
        <w:t>incidența</w:t>
      </w:r>
      <w:r w:rsidRPr="00653E85">
        <w:rPr>
          <w:rFonts w:asciiTheme="majorHAnsi" w:hAnsiTheme="majorHAnsi" w:cstheme="majorHAnsi"/>
          <w:sz w:val="24"/>
          <w:szCs w:val="24"/>
          <w:lang w:val="ro-MD"/>
        </w:rPr>
        <w:t xml:space="preserve"> </w:t>
      </w:r>
      <w:r w:rsidRPr="00653E85">
        <w:rPr>
          <w:rStyle w:val="af2"/>
          <w:rFonts w:asciiTheme="majorHAnsi" w:hAnsiTheme="majorHAnsi" w:cstheme="majorHAnsi"/>
          <w:color w:val="auto"/>
          <w:sz w:val="24"/>
          <w:szCs w:val="24"/>
          <w:u w:val="none"/>
          <w:lang w:val="ro-MD"/>
        </w:rPr>
        <w:t>Legii nr.220-XVI din 19.10.2007</w:t>
      </w:r>
      <w:r w:rsidRPr="00653E85">
        <w:rPr>
          <w:rStyle w:val="a5"/>
          <w:rFonts w:asciiTheme="majorHAnsi" w:hAnsiTheme="majorHAnsi" w:cstheme="majorHAnsi"/>
          <w:sz w:val="24"/>
          <w:szCs w:val="24"/>
          <w:lang w:val="ro-MD"/>
        </w:rPr>
        <w:footnoteReference w:id="33"/>
      </w:r>
      <w:r w:rsidRPr="00653E85">
        <w:rPr>
          <w:rStyle w:val="af2"/>
          <w:rFonts w:asciiTheme="majorHAnsi" w:hAnsiTheme="majorHAnsi" w:cstheme="majorHAnsi"/>
          <w:sz w:val="24"/>
          <w:szCs w:val="24"/>
          <w:u w:val="none"/>
          <w:lang w:val="ro-MD"/>
        </w:rPr>
        <w:t xml:space="preserve"> </w:t>
      </w:r>
      <w:r w:rsidRPr="00653E85">
        <w:rPr>
          <w:rFonts w:asciiTheme="majorHAnsi" w:hAnsiTheme="majorHAnsi" w:cstheme="majorHAnsi"/>
          <w:sz w:val="24"/>
          <w:szCs w:val="24"/>
          <w:lang w:val="ro-MD"/>
        </w:rPr>
        <w:t xml:space="preserve">sunt obligate să se înregistreze, în termen de 10 zile lucrătoare de la data </w:t>
      </w:r>
      <w:r w:rsidR="00831D54" w:rsidRPr="00653E85">
        <w:rPr>
          <w:rFonts w:asciiTheme="majorHAnsi" w:hAnsiTheme="majorHAnsi" w:cstheme="majorHAnsi"/>
          <w:sz w:val="24"/>
          <w:szCs w:val="24"/>
          <w:lang w:val="ro-MD"/>
        </w:rPr>
        <w:t>obținerii</w:t>
      </w:r>
      <w:r w:rsidRPr="00653E85">
        <w:rPr>
          <w:rFonts w:asciiTheme="majorHAnsi" w:hAnsiTheme="majorHAnsi" w:cstheme="majorHAnsi"/>
          <w:sz w:val="24"/>
          <w:szCs w:val="24"/>
          <w:lang w:val="ro-MD"/>
        </w:rPr>
        <w:t xml:space="preserve"> dreptului de a </w:t>
      </w:r>
      <w:r w:rsidR="00831D54" w:rsidRPr="00653E85">
        <w:rPr>
          <w:rFonts w:asciiTheme="majorHAnsi" w:hAnsiTheme="majorHAnsi" w:cstheme="majorHAnsi"/>
          <w:sz w:val="24"/>
          <w:szCs w:val="24"/>
          <w:lang w:val="ro-MD"/>
        </w:rPr>
        <w:t>desfășura</w:t>
      </w:r>
      <w:r w:rsidRPr="00653E85">
        <w:rPr>
          <w:rFonts w:asciiTheme="majorHAnsi" w:hAnsiTheme="majorHAnsi" w:cstheme="majorHAnsi"/>
          <w:sz w:val="24"/>
          <w:szCs w:val="24"/>
          <w:lang w:val="ro-MD"/>
        </w:rPr>
        <w:t xml:space="preserve"> o anumită activitate, ca plătitori de </w:t>
      </w:r>
      <w:r w:rsidR="00831D54" w:rsidRPr="00653E85">
        <w:rPr>
          <w:rFonts w:asciiTheme="majorHAnsi" w:hAnsiTheme="majorHAnsi" w:cstheme="majorHAnsi"/>
          <w:sz w:val="24"/>
          <w:szCs w:val="24"/>
          <w:lang w:val="ro-MD"/>
        </w:rPr>
        <w:t>contribuții</w:t>
      </w:r>
      <w:r w:rsidRPr="00653E85">
        <w:rPr>
          <w:rFonts w:asciiTheme="majorHAnsi" w:hAnsiTheme="majorHAnsi" w:cstheme="majorHAnsi"/>
          <w:sz w:val="24"/>
          <w:szCs w:val="24"/>
          <w:lang w:val="ro-MD"/>
        </w:rPr>
        <w:t xml:space="preserve"> de asigurări sociale de stat, la subdiviziunea teritorială a Casei </w:t>
      </w:r>
      <w:r w:rsidR="00831D54" w:rsidRPr="00653E85">
        <w:rPr>
          <w:rFonts w:asciiTheme="majorHAnsi" w:hAnsiTheme="majorHAnsi" w:cstheme="majorHAnsi"/>
          <w:sz w:val="24"/>
          <w:szCs w:val="24"/>
          <w:lang w:val="ro-MD"/>
        </w:rPr>
        <w:t>Naționale</w:t>
      </w:r>
      <w:r w:rsidRPr="00653E85">
        <w:rPr>
          <w:rFonts w:asciiTheme="majorHAnsi" w:hAnsiTheme="majorHAnsi" w:cstheme="majorHAnsi"/>
          <w:sz w:val="24"/>
          <w:szCs w:val="24"/>
          <w:lang w:val="ro-MD"/>
        </w:rPr>
        <w:t xml:space="preserve"> unde îşi au adresa juridică.</w:t>
      </w:r>
      <w:r w:rsidRPr="00653E85">
        <w:rPr>
          <w:rFonts w:asciiTheme="majorHAnsi" w:hAnsiTheme="majorHAnsi" w:cstheme="majorHAnsi"/>
          <w:lang w:val="ro-MD"/>
        </w:rPr>
        <w:t xml:space="preserve"> </w:t>
      </w:r>
      <w:r w:rsidRPr="00653E85">
        <w:rPr>
          <w:rFonts w:asciiTheme="majorHAnsi" w:hAnsiTheme="majorHAnsi" w:cstheme="majorHAnsi"/>
          <w:sz w:val="24"/>
          <w:szCs w:val="24"/>
          <w:lang w:val="ro-MD"/>
        </w:rPr>
        <w:t>Începând cu anul 2021, a fost modificată taxa fixă anuală, ce oferă acestei categorii de plătitori dreptul la prestațiile de asigurări sociale pentru riscurile asigurate survenite, la îndeplinirea condițiilor de acordare a acestora. Pentru an</w:t>
      </w:r>
      <w:r w:rsidR="00984D5C" w:rsidRPr="00653E85">
        <w:rPr>
          <w:rFonts w:asciiTheme="majorHAnsi" w:hAnsiTheme="majorHAnsi" w:cstheme="majorHAnsi"/>
          <w:sz w:val="24"/>
          <w:szCs w:val="24"/>
          <w:lang w:val="ro-MD"/>
        </w:rPr>
        <w:t>ii</w:t>
      </w:r>
      <w:r w:rsidRPr="00653E85">
        <w:rPr>
          <w:rFonts w:asciiTheme="majorHAnsi" w:hAnsiTheme="majorHAnsi" w:cstheme="majorHAnsi"/>
          <w:sz w:val="24"/>
          <w:szCs w:val="24"/>
          <w:lang w:val="ro-MD"/>
        </w:rPr>
        <w:t xml:space="preserve"> 2021</w:t>
      </w:r>
      <w:r w:rsidRPr="00653E85">
        <w:rPr>
          <w:rStyle w:val="a5"/>
          <w:rFonts w:asciiTheme="majorHAnsi" w:hAnsiTheme="majorHAnsi" w:cstheme="majorHAnsi"/>
          <w:sz w:val="24"/>
          <w:szCs w:val="24"/>
          <w:lang w:val="ro-MD"/>
        </w:rPr>
        <w:footnoteReference w:id="34"/>
      </w:r>
      <w:r w:rsidRPr="00653E85">
        <w:rPr>
          <w:rFonts w:asciiTheme="majorHAnsi" w:hAnsiTheme="majorHAnsi" w:cstheme="majorHAnsi"/>
          <w:sz w:val="24"/>
          <w:szCs w:val="24"/>
          <w:lang w:val="ro-MD"/>
        </w:rPr>
        <w:t xml:space="preserve">  și 2022</w:t>
      </w:r>
      <w:r w:rsidRPr="00653E85">
        <w:rPr>
          <w:rStyle w:val="a5"/>
          <w:rFonts w:asciiTheme="majorHAnsi" w:hAnsiTheme="majorHAnsi" w:cstheme="majorHAnsi"/>
          <w:sz w:val="24"/>
          <w:szCs w:val="24"/>
          <w:lang w:val="ro-MD"/>
        </w:rPr>
        <w:footnoteReference w:id="35"/>
      </w:r>
      <w:r w:rsidR="00984D5C"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contribuția de asigurări sociale de stat obligatorii în sumă fixă este stabilită în mărime de 24</w:t>
      </w:r>
      <w:r w:rsidR="00B529A6"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255 lei/an, respectiv suma taxei lunare constituind 2</w:t>
      </w:r>
      <w:r w:rsidR="00B529A6"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021,25 lei.</w:t>
      </w:r>
    </w:p>
    <w:p w14:paraId="37BFD612" w14:textId="7CDAC692" w:rsidR="005E7DC9" w:rsidRPr="00653E85" w:rsidRDefault="005E7DC9" w:rsidP="005E7DC9">
      <w:pPr>
        <w:tabs>
          <w:tab w:val="left" w:pos="3408"/>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Auditul, pentru a se asigura de înregistrarea liber-profesioniștilor care și-au înregistrat activitatea pe parcursul anilor 2021-2022, în calitate de plătitor de contribuții de asigurări sociale la BASS, a contrapus datele din Registrul de evidență a plătitorilor de contribuții în sistemul public de asigurări sociale de stat administrat de CNAS cu extrasul din Registrul Cabinetelor avocaților și birourilor asociate de avocați și extrasul din Registrul de stat al Mediatorilor, plasate pe pagina oficială a Ministerului Justiției (</w:t>
      </w:r>
      <w:hyperlink r:id="rId13" w:history="1">
        <w:r w:rsidRPr="00653E85">
          <w:rPr>
            <w:rStyle w:val="af2"/>
            <w:rFonts w:asciiTheme="majorHAnsi" w:hAnsiTheme="majorHAnsi" w:cstheme="majorHAnsi"/>
            <w:sz w:val="24"/>
            <w:szCs w:val="24"/>
            <w:lang w:val="ro-MD"/>
          </w:rPr>
          <w:t>www.justice.gov.md</w:t>
        </w:r>
      </w:hyperlink>
      <w:r w:rsidRPr="00653E85">
        <w:rPr>
          <w:rFonts w:asciiTheme="majorHAnsi" w:hAnsiTheme="majorHAnsi" w:cstheme="majorHAnsi"/>
          <w:sz w:val="24"/>
          <w:szCs w:val="24"/>
          <w:lang w:val="ro-MD"/>
        </w:rPr>
        <w:t>). Rezultatele atestă că</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din 114 cazuri privind înregistrarea Cabinetelor Avocaților, în 43 de cazuri (37,7%) a fost depășit termenul de înregistrare de la 1 zi </w:t>
      </w:r>
      <w:r w:rsidR="00EF49E8" w:rsidRPr="00653E85">
        <w:rPr>
          <w:rFonts w:asciiTheme="majorHAnsi" w:hAnsiTheme="majorHAnsi" w:cstheme="majorHAnsi"/>
          <w:sz w:val="24"/>
          <w:szCs w:val="24"/>
          <w:lang w:val="ro-MD"/>
        </w:rPr>
        <w:t>până</w:t>
      </w:r>
      <w:r w:rsidRPr="00653E85">
        <w:rPr>
          <w:rFonts w:asciiTheme="majorHAnsi" w:hAnsiTheme="majorHAnsi" w:cstheme="majorHAnsi"/>
          <w:sz w:val="24"/>
          <w:szCs w:val="24"/>
          <w:lang w:val="ro-MD"/>
        </w:rPr>
        <w:t xml:space="preserve"> la 431 de zile </w:t>
      </w:r>
      <w:r w:rsidR="00EF49E8" w:rsidRPr="00653E85">
        <w:rPr>
          <w:rFonts w:asciiTheme="majorHAnsi" w:hAnsiTheme="majorHAnsi" w:cstheme="majorHAnsi"/>
          <w:sz w:val="24"/>
          <w:szCs w:val="24"/>
          <w:lang w:val="ro-MD"/>
        </w:rPr>
        <w:t>întârziere</w:t>
      </w:r>
      <w:r w:rsidRPr="00653E85">
        <w:rPr>
          <w:rFonts w:asciiTheme="majorHAnsi" w:hAnsiTheme="majorHAnsi" w:cstheme="majorHAnsi"/>
          <w:sz w:val="24"/>
          <w:szCs w:val="24"/>
          <w:lang w:val="ro-MD"/>
        </w:rPr>
        <w:t>, iar în 18 cazuri (15,8%), unitatea nu a fost înregistrată ca plătitor de contribuții la BASS. Rezultatele verificării înregistrării  a  10 Birouri de Mediere relevă că</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în 3 cazuri (30%) unitățile au fost înregistrate cu </w:t>
      </w:r>
      <w:r w:rsidR="00EF49E8" w:rsidRPr="00653E85">
        <w:rPr>
          <w:rFonts w:asciiTheme="majorHAnsi" w:hAnsiTheme="majorHAnsi" w:cstheme="majorHAnsi"/>
          <w:sz w:val="24"/>
          <w:szCs w:val="24"/>
          <w:lang w:val="ro-MD"/>
        </w:rPr>
        <w:t>întârziere</w:t>
      </w:r>
      <w:r w:rsidRPr="00653E85">
        <w:rPr>
          <w:rFonts w:asciiTheme="majorHAnsi" w:hAnsiTheme="majorHAnsi" w:cstheme="majorHAnsi"/>
          <w:sz w:val="24"/>
          <w:szCs w:val="24"/>
          <w:lang w:val="ro-MD"/>
        </w:rPr>
        <w:t xml:space="preserve">, iar în 6 cazuri (60%), unitățile nu sunt înregistrate ca plătitori de contribuții la BASS. </w:t>
      </w:r>
      <w:r w:rsidR="00EF49E8" w:rsidRPr="00653E85">
        <w:rPr>
          <w:rFonts w:asciiTheme="majorHAnsi" w:hAnsiTheme="majorHAnsi" w:cstheme="majorHAnsi"/>
          <w:sz w:val="24"/>
          <w:szCs w:val="24"/>
          <w:lang w:val="ro-MD"/>
        </w:rPr>
        <w:t>Situațiile</w:t>
      </w:r>
      <w:r w:rsidRPr="00653E85">
        <w:rPr>
          <w:rFonts w:asciiTheme="majorHAnsi" w:hAnsiTheme="majorHAnsi" w:cstheme="majorHAnsi"/>
          <w:sz w:val="24"/>
          <w:szCs w:val="24"/>
          <w:lang w:val="ro-MD"/>
        </w:rPr>
        <w:t xml:space="preserve"> respective au fost admise din cauza lipse</w:t>
      </w:r>
      <w:r w:rsidR="00FD6B02" w:rsidRPr="00653E85">
        <w:rPr>
          <w:rFonts w:asciiTheme="majorHAnsi" w:hAnsiTheme="majorHAnsi" w:cstheme="majorHAnsi"/>
          <w:sz w:val="24"/>
          <w:szCs w:val="24"/>
          <w:lang w:val="ro-MD"/>
        </w:rPr>
        <w:t>i</w:t>
      </w:r>
      <w:r w:rsidRPr="00653E85">
        <w:rPr>
          <w:rFonts w:asciiTheme="majorHAnsi" w:hAnsiTheme="majorHAnsi" w:cstheme="majorHAnsi"/>
          <w:sz w:val="24"/>
          <w:szCs w:val="24"/>
          <w:lang w:val="ro-MD"/>
        </w:rPr>
        <w:t xml:space="preserve"> </w:t>
      </w:r>
      <w:r w:rsidR="00EF49E8" w:rsidRPr="00653E85">
        <w:rPr>
          <w:rFonts w:asciiTheme="majorHAnsi" w:hAnsiTheme="majorHAnsi" w:cstheme="majorHAnsi"/>
          <w:sz w:val="24"/>
          <w:szCs w:val="24"/>
          <w:lang w:val="ro-MD"/>
        </w:rPr>
        <w:t>conlucrării</w:t>
      </w:r>
      <w:r w:rsidRPr="00653E85">
        <w:rPr>
          <w:rFonts w:asciiTheme="majorHAnsi" w:hAnsiTheme="majorHAnsi" w:cstheme="majorHAnsi"/>
          <w:sz w:val="24"/>
          <w:szCs w:val="24"/>
          <w:lang w:val="ro-MD"/>
        </w:rPr>
        <w:t xml:space="preserve"> organului abilitat cu dreptul de înregistrare (Ministerului Justiției</w:t>
      </w:r>
      <w:r w:rsidR="00B529A6"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cu CNAS, precum și </w:t>
      </w:r>
      <w:r w:rsidR="00C4693F" w:rsidRPr="00653E85">
        <w:rPr>
          <w:rFonts w:asciiTheme="majorHAnsi" w:hAnsiTheme="majorHAnsi" w:cstheme="majorHAnsi"/>
          <w:sz w:val="24"/>
          <w:szCs w:val="24"/>
          <w:lang w:val="ro-MD"/>
        </w:rPr>
        <w:t>lipsei</w:t>
      </w:r>
      <w:r w:rsidRPr="00653E85">
        <w:rPr>
          <w:rFonts w:asciiTheme="majorHAnsi" w:hAnsiTheme="majorHAnsi" w:cstheme="majorHAnsi"/>
          <w:sz w:val="24"/>
          <w:szCs w:val="24"/>
          <w:lang w:val="ro-MD"/>
        </w:rPr>
        <w:t xml:space="preserve"> unui </w:t>
      </w:r>
      <w:r w:rsidR="00C4693F" w:rsidRPr="00653E85">
        <w:rPr>
          <w:rFonts w:asciiTheme="majorHAnsi" w:hAnsiTheme="majorHAnsi" w:cstheme="majorHAnsi"/>
          <w:sz w:val="24"/>
          <w:szCs w:val="24"/>
          <w:lang w:val="ro-MD"/>
        </w:rPr>
        <w:t>r</w:t>
      </w:r>
      <w:r w:rsidRPr="00653E85">
        <w:rPr>
          <w:rFonts w:asciiTheme="majorHAnsi" w:hAnsiTheme="majorHAnsi" w:cstheme="majorHAnsi"/>
          <w:sz w:val="24"/>
          <w:szCs w:val="24"/>
          <w:lang w:val="ro-MD"/>
        </w:rPr>
        <w:t>egistru electronic de evidență a liber-profesioniștilor ce ar asigura transmiterea informații</w:t>
      </w:r>
      <w:r w:rsidR="00C4693F" w:rsidRPr="00653E85">
        <w:rPr>
          <w:rFonts w:asciiTheme="majorHAnsi" w:hAnsiTheme="majorHAnsi" w:cstheme="majorHAnsi"/>
          <w:sz w:val="24"/>
          <w:szCs w:val="24"/>
          <w:lang w:val="ro-MD"/>
        </w:rPr>
        <w:t>lor</w:t>
      </w:r>
      <w:r w:rsidRPr="00653E85">
        <w:rPr>
          <w:rFonts w:asciiTheme="majorHAnsi" w:hAnsiTheme="majorHAnsi" w:cstheme="majorHAnsi"/>
          <w:sz w:val="24"/>
          <w:szCs w:val="24"/>
          <w:lang w:val="ro-MD"/>
        </w:rPr>
        <w:t xml:space="preserve"> cu privire la înregistrarea activității, în mod automatizat prin intermediul platformei de interoperabilitate (MConnect)</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prin conexiunile intersistemice a CNAS și Ministerul Justiției. Astfel, reprezentantul </w:t>
      </w:r>
      <w:r w:rsidR="00EF49E8" w:rsidRPr="00653E85">
        <w:rPr>
          <w:rFonts w:asciiTheme="majorHAnsi" w:hAnsiTheme="majorHAnsi" w:cstheme="majorHAnsi"/>
          <w:sz w:val="24"/>
          <w:szCs w:val="24"/>
          <w:lang w:val="ro-MD"/>
        </w:rPr>
        <w:t>unității</w:t>
      </w:r>
      <w:r w:rsidRPr="00653E85">
        <w:rPr>
          <w:rFonts w:asciiTheme="majorHAnsi" w:hAnsiTheme="majorHAnsi" w:cstheme="majorHAnsi"/>
          <w:sz w:val="24"/>
          <w:szCs w:val="24"/>
          <w:lang w:val="ro-MD"/>
        </w:rPr>
        <w:t xml:space="preserve"> urmează să se prezinte fizic la CTAS unde îşi are adresa juridică şi să depună cerere de luare </w:t>
      </w:r>
      <w:r w:rsidR="00C4693F" w:rsidRPr="00653E85">
        <w:rPr>
          <w:rFonts w:asciiTheme="majorHAnsi" w:hAnsiTheme="majorHAnsi" w:cstheme="majorHAnsi"/>
          <w:sz w:val="24"/>
          <w:szCs w:val="24"/>
          <w:lang w:val="ro-MD"/>
        </w:rPr>
        <w:t>în</w:t>
      </w:r>
      <w:r w:rsidRPr="00653E85">
        <w:rPr>
          <w:rFonts w:asciiTheme="majorHAnsi" w:hAnsiTheme="majorHAnsi" w:cstheme="majorHAnsi"/>
          <w:sz w:val="24"/>
          <w:szCs w:val="24"/>
          <w:lang w:val="ro-MD"/>
        </w:rPr>
        <w:t xml:space="preserve"> evidență</w:t>
      </w:r>
      <w:r w:rsidRPr="00653E85">
        <w:rPr>
          <w:rStyle w:val="a5"/>
          <w:rFonts w:asciiTheme="majorHAnsi" w:hAnsiTheme="majorHAnsi" w:cstheme="majorHAnsi"/>
          <w:sz w:val="24"/>
          <w:szCs w:val="24"/>
          <w:lang w:val="ro-MD"/>
        </w:rPr>
        <w:footnoteReference w:id="36"/>
      </w:r>
      <w:r w:rsidRPr="00653E85">
        <w:rPr>
          <w:rFonts w:asciiTheme="majorHAnsi" w:hAnsiTheme="majorHAnsi" w:cstheme="majorHAnsi"/>
          <w:sz w:val="24"/>
          <w:szCs w:val="24"/>
          <w:lang w:val="ro-MD"/>
        </w:rPr>
        <w:t xml:space="preserve">. </w:t>
      </w:r>
    </w:p>
    <w:p w14:paraId="55845085" w14:textId="6918A672" w:rsidR="005E7DC9" w:rsidRPr="00653E85" w:rsidRDefault="005E7DC9" w:rsidP="005E7DC9">
      <w:pPr>
        <w:tabs>
          <w:tab w:val="left" w:pos="3408"/>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Deși CNAS a într</w:t>
      </w:r>
      <w:r w:rsidR="00DA27A0" w:rsidRPr="00653E85">
        <w:rPr>
          <w:rFonts w:asciiTheme="majorHAnsi" w:hAnsiTheme="majorHAnsi" w:cstheme="majorHAnsi"/>
          <w:sz w:val="24"/>
          <w:szCs w:val="24"/>
          <w:lang w:val="ro-MD"/>
        </w:rPr>
        <w:t>eprins măsuri de informare a Un</w:t>
      </w:r>
      <w:r w:rsidRPr="00653E85">
        <w:rPr>
          <w:rFonts w:asciiTheme="majorHAnsi" w:hAnsiTheme="majorHAnsi" w:cstheme="majorHAnsi"/>
          <w:sz w:val="24"/>
          <w:szCs w:val="24"/>
          <w:lang w:val="ro-MD"/>
        </w:rPr>
        <w:t>iunii Avocaților, respectiv a Consiliului de Mediere</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referitor la necesitatea înregistrării acestei categorii de plătitori, nu toate persoanele care au înregistrate forme de organizare a activității prevăzute și-au onorat obligațiunea de înregistrare în calitate de plătitori la BASS.  Atribuirea responsabilității pe seama contribuabilului pentru a se înregistra ca plătitor de </w:t>
      </w:r>
      <w:r w:rsidR="00DA27A0" w:rsidRPr="00653E85">
        <w:rPr>
          <w:rFonts w:asciiTheme="majorHAnsi" w:hAnsiTheme="majorHAnsi" w:cstheme="majorHAnsi"/>
          <w:sz w:val="24"/>
          <w:szCs w:val="24"/>
          <w:lang w:val="ro-MD"/>
        </w:rPr>
        <w:t>contribuții</w:t>
      </w:r>
      <w:r w:rsidRPr="00653E85">
        <w:rPr>
          <w:rFonts w:asciiTheme="majorHAnsi" w:hAnsiTheme="majorHAnsi" w:cstheme="majorHAnsi"/>
          <w:sz w:val="24"/>
          <w:szCs w:val="24"/>
          <w:lang w:val="ro-MD"/>
        </w:rPr>
        <w:t>, determină imposibilitatea urmăririi posibilelor venituri la BASS.</w:t>
      </w:r>
    </w:p>
    <w:p w14:paraId="5011F24E" w14:textId="71B65C6C" w:rsidR="005E7DC9" w:rsidRPr="00653E85" w:rsidRDefault="005E7DC9" w:rsidP="005E7DC9">
      <w:pPr>
        <w:pStyle w:val="aa"/>
        <w:numPr>
          <w:ilvl w:val="0"/>
          <w:numId w:val="4"/>
        </w:numPr>
        <w:spacing w:line="276" w:lineRule="auto"/>
        <w:ind w:left="0" w:firstLine="360"/>
        <w:jc w:val="both"/>
        <w:rPr>
          <w:rFonts w:asciiTheme="majorHAnsi" w:hAnsiTheme="majorHAnsi" w:cstheme="majorHAnsi"/>
          <w:b/>
          <w:bCs/>
          <w:i/>
          <w:iCs/>
          <w:sz w:val="24"/>
          <w:szCs w:val="24"/>
          <w:lang w:val="ro-MD"/>
        </w:rPr>
      </w:pPr>
      <w:r w:rsidRPr="00653E85">
        <w:rPr>
          <w:rFonts w:asciiTheme="majorHAnsi" w:hAnsiTheme="majorHAnsi" w:cstheme="majorHAnsi"/>
          <w:b/>
          <w:bCs/>
          <w:i/>
          <w:iCs/>
          <w:sz w:val="24"/>
          <w:szCs w:val="24"/>
          <w:lang w:val="ro-MD"/>
        </w:rPr>
        <w:t xml:space="preserve">Înregistrarea liber-profesioniștilor ca plătitori de contribuții la BASS cu </w:t>
      </w:r>
      <w:r w:rsidR="00DA27A0" w:rsidRPr="00653E85">
        <w:rPr>
          <w:rFonts w:asciiTheme="majorHAnsi" w:hAnsiTheme="majorHAnsi" w:cstheme="majorHAnsi"/>
          <w:b/>
          <w:bCs/>
          <w:i/>
          <w:iCs/>
          <w:sz w:val="24"/>
          <w:szCs w:val="24"/>
          <w:lang w:val="ro-MD"/>
        </w:rPr>
        <w:t>întârziere</w:t>
      </w:r>
      <w:r w:rsidRPr="00653E85">
        <w:rPr>
          <w:rFonts w:asciiTheme="majorHAnsi" w:hAnsiTheme="majorHAnsi" w:cstheme="majorHAnsi"/>
          <w:b/>
          <w:bCs/>
          <w:i/>
          <w:iCs/>
          <w:sz w:val="24"/>
          <w:szCs w:val="24"/>
          <w:lang w:val="ro-MD"/>
        </w:rPr>
        <w:t xml:space="preserve"> s-a efectuat fără aplicarea măsurilor disciplinare, aceasta fiind o sursă suplimentară de venit la BASS.</w:t>
      </w:r>
    </w:p>
    <w:p w14:paraId="5B897B11" w14:textId="4AE08DC8" w:rsidR="005E7DC9" w:rsidRPr="00653E85" w:rsidRDefault="005E7DC9" w:rsidP="005E7DC9">
      <w:pPr>
        <w:tabs>
          <w:tab w:val="left" w:pos="3408"/>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 Conform prevederilor</w:t>
      </w:r>
      <w:r w:rsidRPr="00653E85">
        <w:rPr>
          <w:rStyle w:val="a5"/>
          <w:rFonts w:asciiTheme="majorHAnsi" w:hAnsiTheme="majorHAnsi" w:cstheme="majorHAnsi"/>
          <w:sz w:val="24"/>
          <w:szCs w:val="24"/>
          <w:lang w:val="ro-MD"/>
        </w:rPr>
        <w:footnoteReference w:id="37"/>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w:t>
      </w:r>
      <w:r w:rsidR="00DA27A0" w:rsidRPr="00653E85">
        <w:rPr>
          <w:rFonts w:asciiTheme="majorHAnsi" w:hAnsiTheme="majorHAnsi" w:cstheme="majorHAnsi"/>
          <w:sz w:val="24"/>
          <w:szCs w:val="24"/>
          <w:lang w:val="ro-MD"/>
        </w:rPr>
        <w:t>desfășurarea</w:t>
      </w:r>
      <w:r w:rsidRPr="00653E85">
        <w:rPr>
          <w:rFonts w:asciiTheme="majorHAnsi" w:hAnsiTheme="majorHAnsi" w:cstheme="majorHAnsi"/>
          <w:sz w:val="24"/>
          <w:szCs w:val="24"/>
          <w:lang w:val="ro-MD"/>
        </w:rPr>
        <w:t xml:space="preserve"> </w:t>
      </w:r>
      <w:r w:rsidR="00DA27A0" w:rsidRPr="00653E85">
        <w:rPr>
          <w:rFonts w:asciiTheme="majorHAnsi" w:hAnsiTheme="majorHAnsi" w:cstheme="majorHAnsi"/>
          <w:sz w:val="24"/>
          <w:szCs w:val="24"/>
          <w:lang w:val="ro-MD"/>
        </w:rPr>
        <w:t>activității</w:t>
      </w:r>
      <w:r w:rsidRPr="00653E85">
        <w:rPr>
          <w:rFonts w:asciiTheme="majorHAnsi" w:hAnsiTheme="majorHAnsi" w:cstheme="majorHAnsi"/>
          <w:sz w:val="24"/>
          <w:szCs w:val="24"/>
          <w:lang w:val="ro-MD"/>
        </w:rPr>
        <w:t xml:space="preserve"> în baza atestatului de mediator, a </w:t>
      </w:r>
      <w:r w:rsidR="00DA27A0" w:rsidRPr="00653E85">
        <w:rPr>
          <w:rFonts w:asciiTheme="majorHAnsi" w:hAnsiTheme="majorHAnsi" w:cstheme="majorHAnsi"/>
          <w:sz w:val="24"/>
          <w:szCs w:val="24"/>
          <w:lang w:val="ro-MD"/>
        </w:rPr>
        <w:t>licenței</w:t>
      </w:r>
      <w:r w:rsidRPr="00653E85">
        <w:rPr>
          <w:rFonts w:asciiTheme="majorHAnsi" w:hAnsiTheme="majorHAnsi" w:cstheme="majorHAnsi"/>
          <w:sz w:val="24"/>
          <w:szCs w:val="24"/>
          <w:lang w:val="ro-MD"/>
        </w:rPr>
        <w:t xml:space="preserve"> de notar, de executor judecătoresc, de avocat sau de expert judiciar care activează în cadrul unui birou de expertiză judiciară, a </w:t>
      </w:r>
      <w:r w:rsidR="00DA27A0" w:rsidRPr="00653E85">
        <w:rPr>
          <w:rFonts w:asciiTheme="majorHAnsi" w:hAnsiTheme="majorHAnsi" w:cstheme="majorHAnsi"/>
          <w:sz w:val="24"/>
          <w:szCs w:val="24"/>
          <w:lang w:val="ro-MD"/>
        </w:rPr>
        <w:t>autorizației</w:t>
      </w:r>
      <w:r w:rsidRPr="00653E85">
        <w:rPr>
          <w:rFonts w:asciiTheme="majorHAnsi" w:hAnsiTheme="majorHAnsi" w:cstheme="majorHAnsi"/>
          <w:sz w:val="24"/>
          <w:szCs w:val="24"/>
          <w:lang w:val="ro-MD"/>
        </w:rPr>
        <w:t xml:space="preserve"> pentru activitatea de administrator autorizat, fără a fi înregistrat ca plătitor de </w:t>
      </w:r>
      <w:r w:rsidR="00DA27A0" w:rsidRPr="00653E85">
        <w:rPr>
          <w:rFonts w:asciiTheme="majorHAnsi" w:hAnsiTheme="majorHAnsi" w:cstheme="majorHAnsi"/>
          <w:sz w:val="24"/>
          <w:szCs w:val="24"/>
          <w:lang w:val="ro-MD"/>
        </w:rPr>
        <w:t>contribuții</w:t>
      </w:r>
      <w:r w:rsidRPr="00653E85">
        <w:rPr>
          <w:rFonts w:asciiTheme="majorHAnsi" w:hAnsiTheme="majorHAnsi" w:cstheme="majorHAnsi"/>
          <w:sz w:val="24"/>
          <w:szCs w:val="24"/>
          <w:lang w:val="ro-MD"/>
        </w:rPr>
        <w:t xml:space="preserve"> de asigurări sociale de stat în termen de 10 zile lucrătoare din momentul </w:t>
      </w:r>
      <w:r w:rsidR="00DA27A0" w:rsidRPr="00653E85">
        <w:rPr>
          <w:rFonts w:asciiTheme="majorHAnsi" w:hAnsiTheme="majorHAnsi" w:cstheme="majorHAnsi"/>
          <w:sz w:val="24"/>
          <w:szCs w:val="24"/>
          <w:lang w:val="ro-MD"/>
        </w:rPr>
        <w:t>obținerii</w:t>
      </w:r>
      <w:r w:rsidRPr="00653E85">
        <w:rPr>
          <w:rFonts w:asciiTheme="majorHAnsi" w:hAnsiTheme="majorHAnsi" w:cstheme="majorHAnsi"/>
          <w:sz w:val="24"/>
          <w:szCs w:val="24"/>
          <w:lang w:val="ro-MD"/>
        </w:rPr>
        <w:t xml:space="preserve"> dreptului de a </w:t>
      </w:r>
      <w:r w:rsidR="00DA27A0" w:rsidRPr="00653E85">
        <w:rPr>
          <w:rFonts w:asciiTheme="majorHAnsi" w:hAnsiTheme="majorHAnsi" w:cstheme="majorHAnsi"/>
          <w:sz w:val="24"/>
          <w:szCs w:val="24"/>
          <w:lang w:val="ro-MD"/>
        </w:rPr>
        <w:t>desfășura</w:t>
      </w:r>
      <w:r w:rsidRPr="00653E85">
        <w:rPr>
          <w:rFonts w:asciiTheme="majorHAnsi" w:hAnsiTheme="majorHAnsi" w:cstheme="majorHAnsi"/>
          <w:sz w:val="24"/>
          <w:szCs w:val="24"/>
          <w:lang w:val="ro-MD"/>
        </w:rPr>
        <w:t xml:space="preserve"> activitatea</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se </w:t>
      </w:r>
      <w:r w:rsidR="00DA27A0" w:rsidRPr="00653E85">
        <w:rPr>
          <w:rFonts w:asciiTheme="majorHAnsi" w:hAnsiTheme="majorHAnsi" w:cstheme="majorHAnsi"/>
          <w:sz w:val="24"/>
          <w:szCs w:val="24"/>
          <w:lang w:val="ro-MD"/>
        </w:rPr>
        <w:t>sancționează</w:t>
      </w:r>
      <w:r w:rsidRPr="00653E85">
        <w:rPr>
          <w:rFonts w:asciiTheme="majorHAnsi" w:hAnsiTheme="majorHAnsi" w:cstheme="majorHAnsi"/>
          <w:sz w:val="24"/>
          <w:szCs w:val="24"/>
          <w:lang w:val="ro-MD"/>
        </w:rPr>
        <w:t xml:space="preserve"> cu amendă de la 15 la 30 de </w:t>
      </w:r>
      <w:r w:rsidR="00DA27A0" w:rsidRPr="00653E85">
        <w:rPr>
          <w:rFonts w:asciiTheme="majorHAnsi" w:hAnsiTheme="majorHAnsi" w:cstheme="majorHAnsi"/>
          <w:sz w:val="24"/>
          <w:szCs w:val="24"/>
          <w:lang w:val="ro-MD"/>
        </w:rPr>
        <w:t>unități</w:t>
      </w:r>
      <w:r w:rsidRPr="00653E85">
        <w:rPr>
          <w:rFonts w:asciiTheme="majorHAnsi" w:hAnsiTheme="majorHAnsi" w:cstheme="majorHAnsi"/>
          <w:sz w:val="24"/>
          <w:szCs w:val="24"/>
          <w:lang w:val="ro-MD"/>
        </w:rPr>
        <w:t xml:space="preserve"> </w:t>
      </w:r>
      <w:r w:rsidR="00DA27A0" w:rsidRPr="00653E85">
        <w:rPr>
          <w:rFonts w:asciiTheme="majorHAnsi" w:hAnsiTheme="majorHAnsi" w:cstheme="majorHAnsi"/>
          <w:sz w:val="24"/>
          <w:szCs w:val="24"/>
          <w:lang w:val="ro-MD"/>
        </w:rPr>
        <w:t>convenționale</w:t>
      </w:r>
      <w:r w:rsidRPr="00653E85">
        <w:rPr>
          <w:rFonts w:asciiTheme="majorHAnsi" w:hAnsiTheme="majorHAnsi" w:cstheme="majorHAnsi"/>
          <w:sz w:val="24"/>
          <w:szCs w:val="24"/>
          <w:lang w:val="ro-MD"/>
        </w:rPr>
        <w:t xml:space="preserve"> aplicată persoanei fizice, cu amendă de la 30 la 60 de </w:t>
      </w:r>
      <w:r w:rsidR="00DA27A0" w:rsidRPr="00653E85">
        <w:rPr>
          <w:rFonts w:asciiTheme="majorHAnsi" w:hAnsiTheme="majorHAnsi" w:cstheme="majorHAnsi"/>
          <w:sz w:val="24"/>
          <w:szCs w:val="24"/>
          <w:lang w:val="ro-MD"/>
        </w:rPr>
        <w:t>unități</w:t>
      </w:r>
      <w:r w:rsidRPr="00653E85">
        <w:rPr>
          <w:rFonts w:asciiTheme="majorHAnsi" w:hAnsiTheme="majorHAnsi" w:cstheme="majorHAnsi"/>
          <w:sz w:val="24"/>
          <w:szCs w:val="24"/>
          <w:lang w:val="ro-MD"/>
        </w:rPr>
        <w:t xml:space="preserve"> </w:t>
      </w:r>
      <w:r w:rsidR="00DA27A0" w:rsidRPr="00653E85">
        <w:rPr>
          <w:rFonts w:asciiTheme="majorHAnsi" w:hAnsiTheme="majorHAnsi" w:cstheme="majorHAnsi"/>
          <w:sz w:val="24"/>
          <w:szCs w:val="24"/>
          <w:lang w:val="ro-MD"/>
        </w:rPr>
        <w:t>convenționale</w:t>
      </w:r>
      <w:r w:rsidRPr="00653E85">
        <w:rPr>
          <w:rFonts w:asciiTheme="majorHAnsi" w:hAnsiTheme="majorHAnsi" w:cstheme="majorHAnsi"/>
          <w:sz w:val="24"/>
          <w:szCs w:val="24"/>
          <w:lang w:val="ro-MD"/>
        </w:rPr>
        <w:t xml:space="preserve"> aplicată persoanei cu </w:t>
      </w:r>
      <w:r w:rsidR="00DA27A0" w:rsidRPr="00653E85">
        <w:rPr>
          <w:rFonts w:asciiTheme="majorHAnsi" w:hAnsiTheme="majorHAnsi" w:cstheme="majorHAnsi"/>
          <w:sz w:val="24"/>
          <w:szCs w:val="24"/>
          <w:lang w:val="ro-MD"/>
        </w:rPr>
        <w:t>funcție</w:t>
      </w:r>
      <w:r w:rsidRPr="00653E85">
        <w:rPr>
          <w:rFonts w:asciiTheme="majorHAnsi" w:hAnsiTheme="majorHAnsi" w:cstheme="majorHAnsi"/>
          <w:sz w:val="24"/>
          <w:szCs w:val="24"/>
          <w:lang w:val="ro-MD"/>
        </w:rPr>
        <w:t xml:space="preserve"> de răspundere. Organul responsabil de aplicarea măsurilor disciplinare este Serviciul Fiscal de Stat.</w:t>
      </w:r>
    </w:p>
    <w:p w14:paraId="4443281F" w14:textId="3EED4FC0" w:rsidR="005E7DC9" w:rsidRPr="00653E85" w:rsidRDefault="005E7DC9" w:rsidP="005E7DC9">
      <w:pPr>
        <w:tabs>
          <w:tab w:val="left" w:pos="3408"/>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 acest context, deși auditul a constat</w:t>
      </w:r>
      <w:r w:rsidR="00C4693F" w:rsidRPr="00653E85">
        <w:rPr>
          <w:rFonts w:asciiTheme="majorHAnsi" w:hAnsiTheme="majorHAnsi" w:cstheme="majorHAnsi"/>
          <w:sz w:val="24"/>
          <w:szCs w:val="24"/>
          <w:lang w:val="ro-MD"/>
        </w:rPr>
        <w:t>at</w:t>
      </w:r>
      <w:r w:rsidRPr="00653E85">
        <w:rPr>
          <w:rFonts w:asciiTheme="majorHAnsi" w:hAnsiTheme="majorHAnsi" w:cstheme="majorHAnsi"/>
          <w:sz w:val="24"/>
          <w:szCs w:val="24"/>
          <w:lang w:val="ro-MD"/>
        </w:rPr>
        <w:t xml:space="preserve"> 70 </w:t>
      </w:r>
      <w:r w:rsidR="00C4693F"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cazuri în care liber</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profesioniștii ce practică activitate în domeniul justiției au </w:t>
      </w:r>
      <w:r w:rsidR="00DA27A0" w:rsidRPr="00653E85">
        <w:rPr>
          <w:rFonts w:asciiTheme="majorHAnsi" w:hAnsiTheme="majorHAnsi" w:cstheme="majorHAnsi"/>
          <w:sz w:val="24"/>
          <w:szCs w:val="24"/>
          <w:lang w:val="ro-MD"/>
        </w:rPr>
        <w:t>desfășurat</w:t>
      </w:r>
      <w:r w:rsidRPr="00653E85">
        <w:rPr>
          <w:rFonts w:asciiTheme="majorHAnsi" w:hAnsiTheme="majorHAnsi" w:cstheme="majorHAnsi"/>
          <w:sz w:val="24"/>
          <w:szCs w:val="24"/>
          <w:lang w:val="ro-MD"/>
        </w:rPr>
        <w:t xml:space="preserve"> activitate fără înregistrare ca plătitor de </w:t>
      </w:r>
      <w:r w:rsidR="00DA27A0" w:rsidRPr="00653E85">
        <w:rPr>
          <w:rFonts w:asciiTheme="majorHAnsi" w:hAnsiTheme="majorHAnsi" w:cstheme="majorHAnsi"/>
          <w:sz w:val="24"/>
          <w:szCs w:val="24"/>
          <w:lang w:val="ro-MD"/>
        </w:rPr>
        <w:t>contribuții</w:t>
      </w:r>
      <w:r w:rsidRPr="00653E85">
        <w:rPr>
          <w:rFonts w:asciiTheme="majorHAnsi" w:hAnsiTheme="majorHAnsi" w:cstheme="majorHAnsi"/>
          <w:sz w:val="24"/>
          <w:szCs w:val="24"/>
          <w:lang w:val="ro-MD"/>
        </w:rPr>
        <w:t xml:space="preserve"> la BASS, se atestă că SFS nu a întocmit niciun proces</w:t>
      </w:r>
      <w:r w:rsidR="00C4693F"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verbal de constatare a contravenției în acest sens. </w:t>
      </w:r>
    </w:p>
    <w:p w14:paraId="5F670B25" w14:textId="1D96A0A2" w:rsidR="005E7DC9" w:rsidRPr="00653E85" w:rsidRDefault="005E7DC9" w:rsidP="005E7DC9">
      <w:pPr>
        <w:tabs>
          <w:tab w:val="left" w:pos="3408"/>
        </w:tabs>
        <w:spacing w:line="276" w:lineRule="auto"/>
        <w:jc w:val="both"/>
        <w:rPr>
          <w:rFonts w:asciiTheme="majorHAnsi" w:hAnsiTheme="majorHAnsi" w:cstheme="majorHAnsi"/>
          <w:color w:val="000000" w:themeColor="text1"/>
          <w:sz w:val="24"/>
          <w:szCs w:val="24"/>
          <w:shd w:val="clear" w:color="auto" w:fill="FFFFFF"/>
          <w:lang w:val="ro-MD"/>
        </w:rPr>
      </w:pPr>
      <w:r w:rsidRPr="00653E85">
        <w:rPr>
          <w:rFonts w:asciiTheme="majorHAnsi" w:hAnsiTheme="majorHAnsi" w:cstheme="majorHAnsi"/>
          <w:color w:val="000000" w:themeColor="text1"/>
          <w:sz w:val="24"/>
          <w:szCs w:val="24"/>
          <w:lang w:val="ro-MD"/>
        </w:rPr>
        <w:t xml:space="preserve">Auditul </w:t>
      </w:r>
      <w:r w:rsidR="00DA27A0" w:rsidRPr="00653E85">
        <w:rPr>
          <w:rFonts w:asciiTheme="majorHAnsi" w:hAnsiTheme="majorHAnsi" w:cstheme="majorHAnsi"/>
          <w:color w:val="000000" w:themeColor="text1"/>
          <w:sz w:val="24"/>
          <w:szCs w:val="24"/>
          <w:lang w:val="ro-MD"/>
        </w:rPr>
        <w:t>menționează</w:t>
      </w:r>
      <w:r w:rsidRPr="00653E85">
        <w:rPr>
          <w:rFonts w:asciiTheme="majorHAnsi" w:hAnsiTheme="majorHAnsi" w:cstheme="majorHAnsi"/>
          <w:color w:val="000000" w:themeColor="text1"/>
          <w:sz w:val="24"/>
          <w:szCs w:val="24"/>
          <w:lang w:val="ro-MD"/>
        </w:rPr>
        <w:t xml:space="preserve"> că a</w:t>
      </w:r>
      <w:r w:rsidRPr="00653E85">
        <w:rPr>
          <w:rFonts w:asciiTheme="majorHAnsi" w:hAnsiTheme="majorHAnsi" w:cstheme="majorHAnsi"/>
          <w:color w:val="000000" w:themeColor="text1"/>
          <w:sz w:val="24"/>
          <w:szCs w:val="24"/>
          <w:shd w:val="clear" w:color="auto" w:fill="FFFFFF"/>
          <w:lang w:val="ro-MD"/>
        </w:rPr>
        <w:t xml:space="preserve">menzile aplicate de către organele Serviciului Fiscal de Stat pentru </w:t>
      </w:r>
      <w:r w:rsidR="00DA27A0" w:rsidRPr="00653E85">
        <w:rPr>
          <w:rFonts w:asciiTheme="majorHAnsi" w:hAnsiTheme="majorHAnsi" w:cstheme="majorHAnsi"/>
          <w:color w:val="000000" w:themeColor="text1"/>
          <w:sz w:val="24"/>
          <w:szCs w:val="24"/>
          <w:shd w:val="clear" w:color="auto" w:fill="FFFFFF"/>
          <w:lang w:val="ro-MD"/>
        </w:rPr>
        <w:t>contravențiile</w:t>
      </w:r>
      <w:r w:rsidRPr="00653E85">
        <w:rPr>
          <w:rFonts w:asciiTheme="majorHAnsi" w:hAnsiTheme="majorHAnsi" w:cstheme="majorHAnsi"/>
          <w:color w:val="000000" w:themeColor="text1"/>
          <w:sz w:val="24"/>
          <w:szCs w:val="24"/>
          <w:shd w:val="clear" w:color="auto" w:fill="FFFFFF"/>
          <w:lang w:val="ro-MD"/>
        </w:rPr>
        <w:t xml:space="preserve"> prevăzute la art.263 alin.(2) se virează în bugetul asigurărilor sociale de stat</w:t>
      </w:r>
      <w:r w:rsidRPr="00653E85">
        <w:rPr>
          <w:rStyle w:val="a5"/>
          <w:rFonts w:asciiTheme="majorHAnsi" w:hAnsiTheme="majorHAnsi" w:cstheme="majorHAnsi"/>
          <w:color w:val="000000" w:themeColor="text1"/>
          <w:sz w:val="24"/>
          <w:szCs w:val="24"/>
          <w:shd w:val="clear" w:color="auto" w:fill="FFFFFF"/>
          <w:lang w:val="ro-MD"/>
        </w:rPr>
        <w:footnoteReference w:id="38"/>
      </w:r>
      <w:r w:rsidRPr="00653E85">
        <w:rPr>
          <w:rFonts w:asciiTheme="majorHAnsi" w:hAnsiTheme="majorHAnsi" w:cstheme="majorHAnsi"/>
          <w:color w:val="000000" w:themeColor="text1"/>
          <w:sz w:val="24"/>
          <w:szCs w:val="24"/>
          <w:shd w:val="clear" w:color="auto" w:fill="FFFFFF"/>
          <w:lang w:val="ro-MD"/>
        </w:rPr>
        <w:t xml:space="preserve">. Veniturile ratate estimative sunt evaluate de audit de la 52,5 mii lei până la 210,0 mii lei. Astfel, neonorarea </w:t>
      </w:r>
      <w:r w:rsidR="003E6612" w:rsidRPr="00653E85">
        <w:rPr>
          <w:rFonts w:asciiTheme="majorHAnsi" w:hAnsiTheme="majorHAnsi" w:cstheme="majorHAnsi"/>
          <w:color w:val="000000" w:themeColor="text1"/>
          <w:sz w:val="24"/>
          <w:szCs w:val="24"/>
          <w:shd w:val="clear" w:color="auto" w:fill="FFFFFF"/>
          <w:lang w:val="ro-MD"/>
        </w:rPr>
        <w:t xml:space="preserve">de către SFS a </w:t>
      </w:r>
      <w:r w:rsidRPr="00653E85">
        <w:rPr>
          <w:rFonts w:asciiTheme="majorHAnsi" w:hAnsiTheme="majorHAnsi" w:cstheme="majorHAnsi"/>
          <w:color w:val="000000" w:themeColor="text1"/>
          <w:sz w:val="24"/>
          <w:szCs w:val="24"/>
          <w:shd w:val="clear" w:color="auto" w:fill="FFFFFF"/>
          <w:lang w:val="ro-MD"/>
        </w:rPr>
        <w:t xml:space="preserve">obligațiunilor prevăzute de </w:t>
      </w:r>
      <w:r w:rsidR="003E6612" w:rsidRPr="00653E85">
        <w:rPr>
          <w:rFonts w:asciiTheme="majorHAnsi" w:hAnsiTheme="majorHAnsi" w:cstheme="majorHAnsi"/>
          <w:color w:val="000000" w:themeColor="text1"/>
          <w:sz w:val="24"/>
          <w:szCs w:val="24"/>
          <w:shd w:val="clear" w:color="auto" w:fill="FFFFFF"/>
          <w:lang w:val="ro-MD"/>
        </w:rPr>
        <w:t>C</w:t>
      </w:r>
      <w:r w:rsidRPr="00653E85">
        <w:rPr>
          <w:rFonts w:asciiTheme="majorHAnsi" w:hAnsiTheme="majorHAnsi" w:cstheme="majorHAnsi"/>
          <w:color w:val="000000" w:themeColor="text1"/>
          <w:sz w:val="24"/>
          <w:szCs w:val="24"/>
          <w:shd w:val="clear" w:color="auto" w:fill="FFFFFF"/>
          <w:lang w:val="ro-MD"/>
        </w:rPr>
        <w:t>odul contravențional nu disciplinează această categorie de contribuabili, precum și admit</w:t>
      </w:r>
      <w:r w:rsidR="003E6612" w:rsidRPr="00653E85">
        <w:rPr>
          <w:rFonts w:asciiTheme="majorHAnsi" w:hAnsiTheme="majorHAnsi" w:cstheme="majorHAnsi"/>
          <w:color w:val="000000" w:themeColor="text1"/>
          <w:sz w:val="24"/>
          <w:szCs w:val="24"/>
          <w:shd w:val="clear" w:color="auto" w:fill="FFFFFF"/>
          <w:lang w:val="ro-MD"/>
        </w:rPr>
        <w:t>e</w:t>
      </w:r>
      <w:r w:rsidRPr="00653E85">
        <w:rPr>
          <w:rFonts w:asciiTheme="majorHAnsi" w:hAnsiTheme="majorHAnsi" w:cstheme="majorHAnsi"/>
          <w:color w:val="000000" w:themeColor="text1"/>
          <w:sz w:val="24"/>
          <w:szCs w:val="24"/>
          <w:shd w:val="clear" w:color="auto" w:fill="FFFFFF"/>
          <w:lang w:val="ro-MD"/>
        </w:rPr>
        <w:t xml:space="preserve"> </w:t>
      </w:r>
      <w:r w:rsidR="003E6612" w:rsidRPr="00653E85">
        <w:rPr>
          <w:rFonts w:asciiTheme="majorHAnsi" w:hAnsiTheme="majorHAnsi" w:cstheme="majorHAnsi"/>
          <w:color w:val="000000" w:themeColor="text1"/>
          <w:sz w:val="24"/>
          <w:szCs w:val="24"/>
          <w:shd w:val="clear" w:color="auto" w:fill="FFFFFF"/>
          <w:lang w:val="ro-MD"/>
        </w:rPr>
        <w:t xml:space="preserve">ratarea </w:t>
      </w:r>
      <w:r w:rsidRPr="00653E85">
        <w:rPr>
          <w:rFonts w:asciiTheme="majorHAnsi" w:hAnsiTheme="majorHAnsi" w:cstheme="majorHAnsi"/>
          <w:color w:val="000000" w:themeColor="text1"/>
          <w:sz w:val="24"/>
          <w:szCs w:val="24"/>
          <w:shd w:val="clear" w:color="auto" w:fill="FFFFFF"/>
          <w:lang w:val="ro-MD"/>
        </w:rPr>
        <w:t>venituri</w:t>
      </w:r>
      <w:r w:rsidR="003E6612" w:rsidRPr="00653E85">
        <w:rPr>
          <w:rFonts w:asciiTheme="majorHAnsi" w:hAnsiTheme="majorHAnsi" w:cstheme="majorHAnsi"/>
          <w:color w:val="000000" w:themeColor="text1"/>
          <w:sz w:val="24"/>
          <w:szCs w:val="24"/>
          <w:shd w:val="clear" w:color="auto" w:fill="FFFFFF"/>
          <w:lang w:val="ro-MD"/>
        </w:rPr>
        <w:t>lor</w:t>
      </w:r>
      <w:r w:rsidRPr="00653E85">
        <w:rPr>
          <w:rFonts w:asciiTheme="majorHAnsi" w:hAnsiTheme="majorHAnsi" w:cstheme="majorHAnsi"/>
          <w:color w:val="000000" w:themeColor="text1"/>
          <w:sz w:val="24"/>
          <w:szCs w:val="24"/>
          <w:shd w:val="clear" w:color="auto" w:fill="FFFFFF"/>
          <w:lang w:val="ro-MD"/>
        </w:rPr>
        <w:t xml:space="preserve"> la BASS.</w:t>
      </w:r>
    </w:p>
    <w:p w14:paraId="0F237B23" w14:textId="19415E87" w:rsidR="005E7DC9" w:rsidRPr="00653E85" w:rsidRDefault="00DA27A0" w:rsidP="005E7DC9">
      <w:pPr>
        <w:pStyle w:val="aa"/>
        <w:numPr>
          <w:ilvl w:val="0"/>
          <w:numId w:val="4"/>
        </w:numPr>
        <w:spacing w:line="276" w:lineRule="auto"/>
        <w:ind w:left="0" w:firstLine="360"/>
        <w:jc w:val="both"/>
        <w:rPr>
          <w:rFonts w:asciiTheme="majorHAnsi" w:hAnsiTheme="majorHAnsi" w:cstheme="majorHAnsi"/>
          <w:b/>
          <w:bCs/>
          <w:i/>
          <w:iCs/>
          <w:sz w:val="24"/>
          <w:szCs w:val="24"/>
          <w:lang w:val="ro-MD"/>
        </w:rPr>
      </w:pPr>
      <w:r w:rsidRPr="00653E85">
        <w:rPr>
          <w:rFonts w:asciiTheme="majorHAnsi" w:hAnsiTheme="majorHAnsi" w:cstheme="majorHAnsi"/>
          <w:b/>
          <w:bCs/>
          <w:i/>
          <w:iCs/>
          <w:sz w:val="24"/>
          <w:szCs w:val="24"/>
          <w:lang w:val="ro-MD"/>
        </w:rPr>
        <w:t>Obligația</w:t>
      </w:r>
      <w:r w:rsidR="005E7DC9" w:rsidRPr="00653E85">
        <w:rPr>
          <w:rFonts w:asciiTheme="majorHAnsi" w:hAnsiTheme="majorHAnsi" w:cstheme="majorHAnsi"/>
          <w:b/>
          <w:bCs/>
          <w:i/>
          <w:iCs/>
          <w:sz w:val="24"/>
          <w:szCs w:val="24"/>
          <w:lang w:val="ro-MD"/>
        </w:rPr>
        <w:t xml:space="preserve"> de declarare și achitare a </w:t>
      </w:r>
      <w:r w:rsidRPr="00653E85">
        <w:rPr>
          <w:rFonts w:asciiTheme="majorHAnsi" w:hAnsiTheme="majorHAnsi" w:cstheme="majorHAnsi"/>
          <w:b/>
          <w:bCs/>
          <w:i/>
          <w:iCs/>
          <w:sz w:val="24"/>
          <w:szCs w:val="24"/>
          <w:lang w:val="ro-MD"/>
        </w:rPr>
        <w:t>contribuțiilor</w:t>
      </w:r>
      <w:r w:rsidR="005E7DC9" w:rsidRPr="00653E85">
        <w:rPr>
          <w:rFonts w:asciiTheme="majorHAnsi" w:hAnsiTheme="majorHAnsi" w:cstheme="majorHAnsi"/>
          <w:b/>
          <w:bCs/>
          <w:i/>
          <w:iCs/>
          <w:sz w:val="24"/>
          <w:szCs w:val="24"/>
          <w:lang w:val="ro-MD"/>
        </w:rPr>
        <w:t xml:space="preserve"> de asigurări sociale de stat nu a fost onorată de către </w:t>
      </w:r>
      <w:r w:rsidRPr="00653E85">
        <w:rPr>
          <w:rFonts w:asciiTheme="majorHAnsi" w:hAnsiTheme="majorHAnsi" w:cstheme="majorHAnsi"/>
          <w:b/>
          <w:bCs/>
          <w:i/>
          <w:iCs/>
          <w:sz w:val="24"/>
          <w:szCs w:val="24"/>
          <w:lang w:val="ro-MD"/>
        </w:rPr>
        <w:t>toți</w:t>
      </w:r>
      <w:r w:rsidR="005E7DC9" w:rsidRPr="00653E85">
        <w:rPr>
          <w:rFonts w:asciiTheme="majorHAnsi" w:hAnsiTheme="majorHAnsi" w:cstheme="majorHAnsi"/>
          <w:b/>
          <w:bCs/>
          <w:i/>
          <w:iCs/>
          <w:sz w:val="24"/>
          <w:szCs w:val="24"/>
          <w:lang w:val="ro-MD"/>
        </w:rPr>
        <w:t xml:space="preserve"> liber-profesioniștii ce practică activitate în sectorul justiției, fapt ce a determinat prejudicierea BASS cu 310,5 mii lei.</w:t>
      </w:r>
    </w:p>
    <w:p w14:paraId="5F37A862" w14:textId="673C10B2" w:rsidR="005E7DC9" w:rsidRPr="00653E85"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Prezentarea declarațiilor privind calcularea și utilizarea contribuțiilor de asigurări sociale de stat obligatorii de către liber-profesioniștii ce practică activitate în sectorul justiției este reglementată de Legea privind sistemul public de asigurări sociale</w:t>
      </w:r>
      <w:r w:rsidRPr="00653E85">
        <w:rPr>
          <w:rStyle w:val="a5"/>
          <w:rFonts w:asciiTheme="majorHAnsi" w:hAnsiTheme="majorHAnsi" w:cstheme="majorHAnsi"/>
          <w:sz w:val="24"/>
          <w:szCs w:val="24"/>
          <w:lang w:val="ro-MD"/>
        </w:rPr>
        <w:footnoteReference w:id="39"/>
      </w:r>
      <w:r w:rsidRPr="00653E85">
        <w:rPr>
          <w:rFonts w:asciiTheme="majorHAnsi" w:hAnsiTheme="majorHAnsi" w:cstheme="majorHAnsi"/>
          <w:sz w:val="24"/>
          <w:szCs w:val="24"/>
          <w:lang w:val="ro-MD"/>
        </w:rPr>
        <w:t xml:space="preserve"> și </w:t>
      </w:r>
      <w:r w:rsidR="003E6612"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Legea bugetului asigurărilor sociale de stat pe anul 2022</w:t>
      </w:r>
      <w:r w:rsidRPr="00653E85">
        <w:rPr>
          <w:rStyle w:val="a5"/>
          <w:rFonts w:asciiTheme="majorHAnsi" w:hAnsiTheme="majorHAnsi" w:cstheme="majorHAnsi"/>
          <w:sz w:val="24"/>
          <w:szCs w:val="24"/>
          <w:lang w:val="ro-MD"/>
        </w:rPr>
        <w:footnoteReference w:id="40"/>
      </w:r>
      <w:r w:rsidRPr="00653E85">
        <w:rPr>
          <w:rFonts w:asciiTheme="majorHAnsi" w:hAnsiTheme="majorHAnsi" w:cstheme="majorHAnsi"/>
          <w:sz w:val="24"/>
          <w:szCs w:val="24"/>
          <w:lang w:val="ro-MD"/>
        </w:rPr>
        <w:t>. Pe parcursul anilor 2021-2022, și-au înregistrat activitatea 114 Cabinete a</w:t>
      </w:r>
      <w:r w:rsidR="003E6612"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avocatului, în anul 2022 </w:t>
      </w:r>
      <w:r w:rsidR="00DA27A0" w:rsidRPr="00653E85">
        <w:rPr>
          <w:rFonts w:asciiTheme="majorHAnsi" w:hAnsiTheme="majorHAnsi" w:cstheme="majorHAnsi"/>
          <w:sz w:val="24"/>
          <w:szCs w:val="24"/>
          <w:lang w:val="ro-MD"/>
        </w:rPr>
        <w:t>înregistrâ</w:t>
      </w:r>
      <w:r w:rsidRPr="00653E85">
        <w:rPr>
          <w:rFonts w:asciiTheme="majorHAnsi" w:hAnsiTheme="majorHAnsi" w:cstheme="majorHAnsi"/>
          <w:sz w:val="24"/>
          <w:szCs w:val="24"/>
          <w:lang w:val="ro-MD"/>
        </w:rPr>
        <w:t xml:space="preserve">ndu-și activitatea </w:t>
      </w:r>
      <w:r w:rsidR="003E6612" w:rsidRPr="00653E85">
        <w:rPr>
          <w:rFonts w:asciiTheme="majorHAnsi" w:hAnsiTheme="majorHAnsi" w:cstheme="majorHAnsi"/>
          <w:sz w:val="24"/>
          <w:szCs w:val="24"/>
          <w:lang w:val="ro-MD"/>
        </w:rPr>
        <w:t xml:space="preserve">și </w:t>
      </w:r>
      <w:r w:rsidRPr="00653E85">
        <w:rPr>
          <w:rFonts w:asciiTheme="majorHAnsi" w:hAnsiTheme="majorHAnsi" w:cstheme="majorHAnsi"/>
          <w:sz w:val="24"/>
          <w:szCs w:val="24"/>
          <w:lang w:val="ro-MD"/>
        </w:rPr>
        <w:t>10 Birouri de Mediere.</w:t>
      </w:r>
    </w:p>
    <w:p w14:paraId="75439A0E" w14:textId="5CB546D7" w:rsidR="005E7DC9" w:rsidRPr="00653E85"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Rezultatele auditării au relevat că monitorizarea procesului de prezentare a </w:t>
      </w:r>
      <w:r w:rsidR="00DA27A0" w:rsidRPr="00653E85">
        <w:rPr>
          <w:rFonts w:asciiTheme="majorHAnsi" w:hAnsiTheme="majorHAnsi" w:cstheme="majorHAnsi"/>
          <w:sz w:val="24"/>
          <w:szCs w:val="24"/>
          <w:lang w:val="ro-MD"/>
        </w:rPr>
        <w:t>declarațiilor</w:t>
      </w:r>
      <w:r w:rsidRPr="00653E85">
        <w:rPr>
          <w:rFonts w:asciiTheme="majorHAnsi" w:hAnsiTheme="majorHAnsi" w:cstheme="majorHAnsi"/>
          <w:sz w:val="24"/>
          <w:szCs w:val="24"/>
          <w:lang w:val="ro-MD"/>
        </w:rPr>
        <w:t xml:space="preserve"> privind calcularea și utilizarea contribuțiilor de asigurări sociale de către liber-profesioniști, prevăzute la acest capitol, nu a asigurat acumularea integrală a dărilor de seamă. De  menționat în acest sens</w:t>
      </w:r>
      <w:r w:rsidR="003E6612" w:rsidRPr="00653E85">
        <w:rPr>
          <w:rFonts w:asciiTheme="majorHAnsi" w:hAnsiTheme="majorHAnsi" w:cstheme="majorHAnsi"/>
          <w:sz w:val="24"/>
          <w:szCs w:val="24"/>
          <w:lang w:val="ro-MD"/>
        </w:rPr>
        <w:t xml:space="preserve"> și faptul că</w:t>
      </w:r>
      <w:r w:rsidRPr="00653E85">
        <w:rPr>
          <w:rFonts w:asciiTheme="majorHAnsi" w:hAnsiTheme="majorHAnsi" w:cstheme="majorHAnsi"/>
          <w:sz w:val="24"/>
          <w:szCs w:val="24"/>
          <w:lang w:val="ro-MD"/>
        </w:rPr>
        <w:t xml:space="preserve">  5 Cabinete a</w:t>
      </w:r>
      <w:r w:rsidR="003E6612"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avocatului, deși au avut obligația</w:t>
      </w:r>
      <w:r w:rsidRPr="00653E85">
        <w:rPr>
          <w:rStyle w:val="a5"/>
          <w:rFonts w:asciiTheme="majorHAnsi" w:hAnsiTheme="majorHAnsi" w:cstheme="majorHAnsi"/>
          <w:sz w:val="24"/>
          <w:szCs w:val="24"/>
          <w:lang w:val="ro-MD"/>
        </w:rPr>
        <w:footnoteReference w:id="41"/>
      </w:r>
      <w:r w:rsidRPr="00653E85">
        <w:rPr>
          <w:rFonts w:asciiTheme="majorHAnsi" w:hAnsiTheme="majorHAnsi" w:cstheme="majorHAnsi"/>
          <w:sz w:val="24"/>
          <w:szCs w:val="24"/>
          <w:lang w:val="ro-MD"/>
        </w:rPr>
        <w:t xml:space="preserve">, nu au prezentat nicio dare de seamă din momentul înregistrării activității până la 31.12.2022, alte 18 </w:t>
      </w:r>
      <w:r w:rsidR="003E6612" w:rsidRPr="00653E85">
        <w:rPr>
          <w:rFonts w:asciiTheme="majorHAnsi" w:hAnsiTheme="majorHAnsi" w:cstheme="majorHAnsi"/>
          <w:sz w:val="24"/>
          <w:szCs w:val="24"/>
          <w:lang w:val="ro-MD"/>
        </w:rPr>
        <w:t>c</w:t>
      </w:r>
      <w:r w:rsidRPr="00653E85">
        <w:rPr>
          <w:rFonts w:asciiTheme="majorHAnsi" w:hAnsiTheme="majorHAnsi" w:cstheme="majorHAnsi"/>
          <w:sz w:val="24"/>
          <w:szCs w:val="24"/>
          <w:lang w:val="ro-MD"/>
        </w:rPr>
        <w:t>abinete au prezentat parțial dările de seamă privind calcularea și utilizarea contribuțiilor de asigurări sociale pe parcursul anilor 2021-2022, înregistrând restanțe la capitolul prezent</w:t>
      </w:r>
      <w:r w:rsidR="003E6612" w:rsidRPr="00653E85">
        <w:rPr>
          <w:rFonts w:asciiTheme="majorHAnsi" w:hAnsiTheme="majorHAnsi" w:cstheme="majorHAnsi"/>
          <w:sz w:val="24"/>
          <w:szCs w:val="24"/>
          <w:lang w:val="ro-MD"/>
        </w:rPr>
        <w:t>area</w:t>
      </w:r>
      <w:r w:rsidRPr="00653E85">
        <w:rPr>
          <w:rFonts w:asciiTheme="majorHAnsi" w:hAnsiTheme="majorHAnsi" w:cstheme="majorHAnsi"/>
          <w:sz w:val="24"/>
          <w:szCs w:val="24"/>
          <w:lang w:val="ro-MD"/>
        </w:rPr>
        <w:t xml:space="preserve"> dărilor de seamă. </w:t>
      </w:r>
      <w:r w:rsidR="00DA27A0" w:rsidRPr="00653E85">
        <w:rPr>
          <w:rFonts w:asciiTheme="majorHAnsi" w:hAnsiTheme="majorHAnsi" w:cstheme="majorHAnsi"/>
          <w:sz w:val="24"/>
          <w:szCs w:val="24"/>
          <w:lang w:val="ro-MD"/>
        </w:rPr>
        <w:t>Informați</w:t>
      </w:r>
      <w:r w:rsidR="003E6612" w:rsidRPr="00653E85">
        <w:rPr>
          <w:rFonts w:asciiTheme="majorHAnsi" w:hAnsiTheme="majorHAnsi" w:cstheme="majorHAnsi"/>
          <w:sz w:val="24"/>
          <w:szCs w:val="24"/>
          <w:lang w:val="ro-MD"/>
        </w:rPr>
        <w:t>i</w:t>
      </w:r>
      <w:r w:rsidRPr="00653E85">
        <w:rPr>
          <w:rFonts w:asciiTheme="majorHAnsi" w:hAnsiTheme="majorHAnsi" w:cstheme="majorHAnsi"/>
          <w:sz w:val="24"/>
          <w:szCs w:val="24"/>
          <w:lang w:val="ro-MD"/>
        </w:rPr>
        <w:t xml:space="preserve"> privind neprezentarea de către Cabinetele Avocatului a </w:t>
      </w:r>
      <w:r w:rsidR="00DA27A0" w:rsidRPr="00653E85">
        <w:rPr>
          <w:rFonts w:asciiTheme="majorHAnsi" w:hAnsiTheme="majorHAnsi" w:cstheme="majorHAnsi"/>
          <w:sz w:val="24"/>
          <w:szCs w:val="24"/>
          <w:lang w:val="ro-MD"/>
        </w:rPr>
        <w:t>declarațiilor</w:t>
      </w:r>
      <w:r w:rsidRPr="00653E85">
        <w:rPr>
          <w:rFonts w:asciiTheme="majorHAnsi" w:hAnsiTheme="majorHAnsi" w:cstheme="majorHAnsi"/>
          <w:sz w:val="24"/>
          <w:szCs w:val="24"/>
          <w:lang w:val="ro-MD"/>
        </w:rPr>
        <w:t xml:space="preserve"> IPC21 </w:t>
      </w:r>
      <w:r w:rsidR="003E6612" w:rsidRPr="00653E85">
        <w:rPr>
          <w:rFonts w:asciiTheme="majorHAnsi" w:hAnsiTheme="majorHAnsi" w:cstheme="majorHAnsi"/>
          <w:sz w:val="24"/>
          <w:szCs w:val="24"/>
          <w:lang w:val="ro-MD"/>
        </w:rPr>
        <w:t xml:space="preserve">sunt </w:t>
      </w:r>
      <w:r w:rsidRPr="00653E85">
        <w:rPr>
          <w:rFonts w:asciiTheme="majorHAnsi" w:hAnsiTheme="majorHAnsi" w:cstheme="majorHAnsi"/>
          <w:sz w:val="24"/>
          <w:szCs w:val="24"/>
          <w:lang w:val="ro-MD"/>
        </w:rPr>
        <w:t>prezentată în Anexa nr</w:t>
      </w:r>
      <w:r w:rsidR="00612786" w:rsidRPr="00653E85">
        <w:rPr>
          <w:rFonts w:asciiTheme="majorHAnsi" w:hAnsiTheme="majorHAnsi" w:cstheme="majorHAnsi"/>
          <w:sz w:val="24"/>
          <w:szCs w:val="24"/>
          <w:lang w:val="ro-MD"/>
        </w:rPr>
        <w:t xml:space="preserve"> 5</w:t>
      </w:r>
      <w:r w:rsidRPr="00653E85">
        <w:rPr>
          <w:rFonts w:asciiTheme="majorHAnsi" w:hAnsiTheme="majorHAnsi" w:cstheme="majorHAnsi"/>
          <w:sz w:val="24"/>
          <w:szCs w:val="24"/>
          <w:lang w:val="ro-MD"/>
        </w:rPr>
        <w:t>. la prezentul Raport de audit.</w:t>
      </w:r>
    </w:p>
    <w:p w14:paraId="3D79FEDA" w14:textId="7DF632A6" w:rsidR="005E7DC9" w:rsidRPr="00653E85"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Totodată, la capitolul achit</w:t>
      </w:r>
      <w:r w:rsidR="00A913CB" w:rsidRPr="00653E85">
        <w:rPr>
          <w:rFonts w:asciiTheme="majorHAnsi" w:hAnsiTheme="majorHAnsi" w:cstheme="majorHAnsi"/>
          <w:sz w:val="24"/>
          <w:szCs w:val="24"/>
          <w:lang w:val="ro-MD"/>
        </w:rPr>
        <w:t>area</w:t>
      </w:r>
      <w:r w:rsidRPr="00653E85">
        <w:rPr>
          <w:rFonts w:asciiTheme="majorHAnsi" w:hAnsiTheme="majorHAnsi" w:cstheme="majorHAnsi"/>
          <w:sz w:val="24"/>
          <w:szCs w:val="24"/>
          <w:lang w:val="ro-MD"/>
        </w:rPr>
        <w:t xml:space="preserve"> contribuțiilor de asigurări sociale, auditul relevă că 23 </w:t>
      </w:r>
      <w:r w:rsidR="00A913CB"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Cabinete a</w:t>
      </w:r>
      <w:r w:rsidR="00A913CB"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avocatului</w:t>
      </w:r>
      <w:r w:rsidR="00A913CB"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la 31.12.2022</w:t>
      </w:r>
      <w:r w:rsidR="00A913CB"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au înregistrat restanț</w:t>
      </w:r>
      <w:r w:rsidR="00A913CB" w:rsidRPr="00653E85">
        <w:rPr>
          <w:rFonts w:asciiTheme="majorHAnsi" w:hAnsiTheme="majorHAnsi" w:cstheme="majorHAnsi"/>
          <w:sz w:val="24"/>
          <w:szCs w:val="24"/>
          <w:lang w:val="ro-MD"/>
        </w:rPr>
        <w:t>e</w:t>
      </w:r>
      <w:r w:rsidRPr="00653E85">
        <w:rPr>
          <w:rFonts w:asciiTheme="majorHAnsi" w:hAnsiTheme="majorHAnsi" w:cstheme="majorHAnsi"/>
          <w:sz w:val="24"/>
          <w:szCs w:val="24"/>
          <w:lang w:val="ro-MD"/>
        </w:rPr>
        <w:t xml:space="preserve"> la calcularea și achitarea contribuțiilor de asigurări sociale, în sumă de 310,5 mii lei. </w:t>
      </w:r>
    </w:p>
    <w:p w14:paraId="0C32BD1A" w14:textId="732E0271" w:rsidR="005E7DC9" w:rsidRPr="00FE54EB" w:rsidRDefault="005E7DC9" w:rsidP="005E7DC9">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Potrivit reglementărilor</w:t>
      </w:r>
      <w:r w:rsidRPr="00653E85">
        <w:rPr>
          <w:rStyle w:val="a5"/>
          <w:rFonts w:asciiTheme="majorHAnsi" w:hAnsiTheme="majorHAnsi" w:cstheme="majorHAnsi"/>
          <w:sz w:val="24"/>
          <w:szCs w:val="24"/>
          <w:lang w:val="ro-MD"/>
        </w:rPr>
        <w:footnoteReference w:id="42"/>
      </w:r>
      <w:r w:rsidR="00A913CB"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colectarea contribuțiilor de asigurări sociale de stat obligatorii, controlul corectitudinii calculării și virării lor în termen la bugetul asigurărilor sociale de stat se efectuează de către Serviciul Fiscal de Stat. Cele constat</w:t>
      </w:r>
      <w:r w:rsidR="00A913CB" w:rsidRPr="00653E85">
        <w:rPr>
          <w:rFonts w:asciiTheme="majorHAnsi" w:hAnsiTheme="majorHAnsi" w:cstheme="majorHAnsi"/>
          <w:sz w:val="24"/>
          <w:szCs w:val="24"/>
          <w:lang w:val="ro-MD"/>
        </w:rPr>
        <w:t>at</w:t>
      </w:r>
      <w:r w:rsidRPr="00653E85">
        <w:rPr>
          <w:rFonts w:asciiTheme="majorHAnsi" w:hAnsiTheme="majorHAnsi" w:cstheme="majorHAnsi"/>
          <w:sz w:val="24"/>
          <w:szCs w:val="24"/>
          <w:lang w:val="ro-MD"/>
        </w:rPr>
        <w:t>e de audit denotă că SFS nu a intervenit cu acțiuni de responsabilizare a liber</w:t>
      </w:r>
      <w:r w:rsidR="00A913CB"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profesioni</w:t>
      </w:r>
      <w:r w:rsidR="008352F4" w:rsidRPr="00653E85">
        <w:rPr>
          <w:rFonts w:asciiTheme="majorHAnsi" w:hAnsiTheme="majorHAnsi" w:cstheme="majorHAnsi"/>
          <w:sz w:val="24"/>
          <w:szCs w:val="24"/>
          <w:lang w:val="ro-MD"/>
        </w:rPr>
        <w:t>ș</w:t>
      </w:r>
      <w:r w:rsidRPr="00653E85">
        <w:rPr>
          <w:rFonts w:asciiTheme="majorHAnsi" w:hAnsiTheme="majorHAnsi" w:cstheme="majorHAnsi"/>
          <w:sz w:val="24"/>
          <w:szCs w:val="24"/>
          <w:lang w:val="ro-MD"/>
        </w:rPr>
        <w:t>tilor ce practică activitatea în justiție, pentru onorarea obligațiilor</w:t>
      </w:r>
      <w:r w:rsidR="00A913CB" w:rsidRPr="00653E85">
        <w:rPr>
          <w:rFonts w:asciiTheme="majorHAnsi" w:hAnsiTheme="majorHAnsi" w:cstheme="majorHAnsi"/>
          <w:sz w:val="24"/>
          <w:szCs w:val="24"/>
          <w:lang w:val="ro-MD"/>
        </w:rPr>
        <w:t xml:space="preserve"> față de</w:t>
      </w:r>
      <w:r w:rsidRPr="00653E85">
        <w:rPr>
          <w:rFonts w:asciiTheme="majorHAnsi" w:hAnsiTheme="majorHAnsi" w:cstheme="majorHAnsi"/>
          <w:sz w:val="24"/>
          <w:szCs w:val="24"/>
          <w:lang w:val="ro-MD"/>
        </w:rPr>
        <w:t xml:space="preserve"> BASS. La acest capitol SFS a informat c</w:t>
      </w:r>
      <w:r w:rsidRPr="00B7675F">
        <w:rPr>
          <w:rFonts w:asciiTheme="majorHAnsi" w:hAnsiTheme="majorHAnsi" w:cstheme="majorHAnsi"/>
          <w:sz w:val="24"/>
          <w:szCs w:val="24"/>
          <w:lang w:val="ro-MD"/>
        </w:rPr>
        <w:t>ă</w:t>
      </w:r>
      <w:r w:rsidRPr="0038225D">
        <w:rPr>
          <w:rFonts w:asciiTheme="majorHAnsi" w:hAnsiTheme="majorHAnsi" w:cstheme="majorHAnsi"/>
          <w:sz w:val="24"/>
          <w:szCs w:val="24"/>
          <w:lang w:val="ro-MD"/>
        </w:rPr>
        <w:t xml:space="preserve"> a remis scrisori de conformare voluntară și apeluri telefonice, </w:t>
      </w:r>
      <w:r w:rsidR="00A913CB" w:rsidRPr="00FE54EB">
        <w:rPr>
          <w:rFonts w:asciiTheme="majorHAnsi" w:hAnsiTheme="majorHAnsi" w:cstheme="majorHAnsi"/>
          <w:sz w:val="24"/>
          <w:szCs w:val="24"/>
          <w:lang w:val="ro-MD"/>
        </w:rPr>
        <w:t>însă</w:t>
      </w:r>
      <w:r w:rsidRPr="00FE54EB">
        <w:rPr>
          <w:rFonts w:asciiTheme="majorHAnsi" w:hAnsiTheme="majorHAnsi" w:cstheme="majorHAnsi"/>
          <w:sz w:val="24"/>
          <w:szCs w:val="24"/>
          <w:lang w:val="ro-MD"/>
        </w:rPr>
        <w:t xml:space="preserve"> această categorie de plătitori nu s-a conformat.</w:t>
      </w:r>
    </w:p>
    <w:p w14:paraId="660E0596" w14:textId="38AFF5CF" w:rsidR="009A17DA" w:rsidRDefault="005E7DC9" w:rsidP="009A17DA">
      <w:pPr>
        <w:pStyle w:val="aa"/>
        <w:tabs>
          <w:tab w:val="left" w:pos="270"/>
        </w:tabs>
        <w:spacing w:line="276" w:lineRule="auto"/>
        <w:ind w:left="0"/>
        <w:jc w:val="both"/>
        <w:rPr>
          <w:rFonts w:asciiTheme="majorHAnsi" w:hAnsiTheme="majorHAnsi" w:cstheme="majorHAnsi"/>
          <w:i/>
          <w:sz w:val="24"/>
          <w:szCs w:val="24"/>
          <w:lang w:val="ro-MD"/>
        </w:rPr>
      </w:pPr>
      <w:r w:rsidRPr="00FE54EB">
        <w:rPr>
          <w:rFonts w:asciiTheme="majorHAnsi" w:hAnsiTheme="majorHAnsi" w:cstheme="majorHAnsi"/>
          <w:b/>
          <w:bCs/>
          <w:sz w:val="24"/>
          <w:szCs w:val="24"/>
          <w:lang w:val="ro-MD"/>
        </w:rPr>
        <w:t>Notă:</w:t>
      </w:r>
      <w:r w:rsidRPr="00FE54EB">
        <w:rPr>
          <w:rFonts w:asciiTheme="majorHAnsi" w:hAnsiTheme="majorHAnsi" w:cstheme="majorHAnsi"/>
          <w:sz w:val="24"/>
          <w:szCs w:val="24"/>
          <w:lang w:val="ro-MD"/>
        </w:rPr>
        <w:t xml:space="preserve"> </w:t>
      </w:r>
      <w:r w:rsidRPr="00FE54EB">
        <w:rPr>
          <w:rFonts w:asciiTheme="majorHAnsi" w:hAnsiTheme="majorHAnsi" w:cstheme="majorHAnsi"/>
          <w:i/>
          <w:sz w:val="24"/>
          <w:szCs w:val="24"/>
          <w:lang w:val="ro-MD"/>
        </w:rPr>
        <w:t xml:space="preserve">Pe parcursul misiunii, la solicitarea echipei de audit, SFS  a întreprins măsuri de conformare benevolă repetată. Astfel, 15 </w:t>
      </w:r>
      <w:r w:rsidR="00C634F5" w:rsidRPr="00FE54EB">
        <w:rPr>
          <w:rFonts w:asciiTheme="majorHAnsi" w:hAnsiTheme="majorHAnsi" w:cstheme="majorHAnsi"/>
          <w:i/>
          <w:sz w:val="24"/>
          <w:szCs w:val="24"/>
          <w:lang w:val="ro-MD"/>
        </w:rPr>
        <w:t>c</w:t>
      </w:r>
      <w:r w:rsidRPr="00FE54EB">
        <w:rPr>
          <w:rFonts w:asciiTheme="majorHAnsi" w:hAnsiTheme="majorHAnsi" w:cstheme="majorHAnsi"/>
          <w:i/>
          <w:sz w:val="24"/>
          <w:szCs w:val="24"/>
          <w:lang w:val="ro-MD"/>
        </w:rPr>
        <w:t>abinete a</w:t>
      </w:r>
      <w:r w:rsidR="00A913CB" w:rsidRPr="00FE54EB">
        <w:rPr>
          <w:rFonts w:asciiTheme="majorHAnsi" w:hAnsiTheme="majorHAnsi" w:cstheme="majorHAnsi"/>
          <w:i/>
          <w:sz w:val="24"/>
          <w:szCs w:val="24"/>
          <w:lang w:val="ro-MD"/>
        </w:rPr>
        <w:t>le</w:t>
      </w:r>
      <w:r w:rsidRPr="00FE54EB">
        <w:rPr>
          <w:rFonts w:asciiTheme="majorHAnsi" w:hAnsiTheme="majorHAnsi" w:cstheme="majorHAnsi"/>
          <w:i/>
          <w:sz w:val="24"/>
          <w:szCs w:val="24"/>
          <w:lang w:val="ro-MD"/>
        </w:rPr>
        <w:t xml:space="preserve"> avocaților au prezentat 123 dări de seamă IPC21, aferente perioadei de activitate 2021-2022</w:t>
      </w:r>
      <w:r w:rsidR="009A17DA" w:rsidRPr="00FE54EB">
        <w:rPr>
          <w:rFonts w:asciiTheme="majorHAnsi" w:hAnsiTheme="majorHAnsi" w:cstheme="majorHAnsi"/>
          <w:i/>
          <w:sz w:val="24"/>
          <w:szCs w:val="24"/>
          <w:lang w:val="ro-MD"/>
        </w:rPr>
        <w:t>.</w:t>
      </w:r>
      <w:r w:rsidR="009A17DA" w:rsidRPr="00FE54EB">
        <w:rPr>
          <w:rFonts w:asciiTheme="majorHAnsi" w:hAnsiTheme="majorHAnsi" w:cstheme="majorHAnsi"/>
          <w:i/>
          <w:sz w:val="24"/>
          <w:szCs w:val="24"/>
          <w:lang w:val="ro-RO"/>
        </w:rPr>
        <w:t xml:space="preserve"> La situația din 23.05.2023</w:t>
      </w:r>
      <w:r w:rsidR="00C634F5" w:rsidRPr="00FE54EB">
        <w:rPr>
          <w:rFonts w:asciiTheme="majorHAnsi" w:hAnsiTheme="majorHAnsi" w:cstheme="majorHAnsi"/>
          <w:i/>
          <w:sz w:val="24"/>
          <w:szCs w:val="24"/>
          <w:lang w:val="ro-RO"/>
        </w:rPr>
        <w:t>,</w:t>
      </w:r>
      <w:r w:rsidR="009A17DA" w:rsidRPr="00FE54EB">
        <w:rPr>
          <w:rFonts w:asciiTheme="majorHAnsi" w:hAnsiTheme="majorHAnsi" w:cstheme="majorHAnsi"/>
          <w:i/>
          <w:sz w:val="24"/>
          <w:szCs w:val="24"/>
          <w:lang w:val="ro-RO"/>
        </w:rPr>
        <w:t xml:space="preserve"> suma contribuțiilor calculate în anul 2023 constituie 269,1 mii lei, iar suma contribuțiilor achitate – 206,4 mii lei,  înregistrând în continuare restanțe la BASS în sumă de 53,4 mii lei.</w:t>
      </w:r>
      <w:r w:rsidRPr="00653E85">
        <w:rPr>
          <w:rFonts w:asciiTheme="majorHAnsi" w:hAnsiTheme="majorHAnsi" w:cstheme="majorHAnsi"/>
          <w:i/>
          <w:sz w:val="24"/>
          <w:szCs w:val="24"/>
          <w:lang w:val="ro-MD"/>
        </w:rPr>
        <w:t xml:space="preserve"> </w:t>
      </w:r>
    </w:p>
    <w:p w14:paraId="554AE45C" w14:textId="77777777" w:rsidR="009A17DA" w:rsidRDefault="009A17DA" w:rsidP="009A17DA">
      <w:pPr>
        <w:pStyle w:val="aa"/>
        <w:tabs>
          <w:tab w:val="left" w:pos="270"/>
        </w:tabs>
        <w:spacing w:line="276" w:lineRule="auto"/>
        <w:ind w:left="0"/>
        <w:jc w:val="both"/>
        <w:rPr>
          <w:rFonts w:asciiTheme="majorHAnsi" w:hAnsiTheme="majorHAnsi" w:cstheme="majorHAnsi"/>
          <w:i/>
          <w:sz w:val="24"/>
          <w:szCs w:val="24"/>
          <w:lang w:val="ro-MD"/>
        </w:rPr>
      </w:pPr>
    </w:p>
    <w:p w14:paraId="1EB33925" w14:textId="62D5F7D2" w:rsidR="001F56F8" w:rsidRPr="00653E85" w:rsidRDefault="001F56F8" w:rsidP="00860800">
      <w:pPr>
        <w:pStyle w:val="aa"/>
        <w:numPr>
          <w:ilvl w:val="1"/>
          <w:numId w:val="2"/>
        </w:numPr>
        <w:tabs>
          <w:tab w:val="left" w:pos="270"/>
        </w:tabs>
        <w:spacing w:line="276" w:lineRule="auto"/>
        <w:ind w:left="0" w:firstLine="0"/>
        <w:jc w:val="both"/>
        <w:outlineLvl w:val="1"/>
        <w:rPr>
          <w:rFonts w:asciiTheme="majorHAnsi" w:hAnsiTheme="majorHAnsi" w:cstheme="majorHAnsi"/>
          <w:b/>
          <w:sz w:val="24"/>
          <w:szCs w:val="24"/>
          <w:lang w:val="ro-MD"/>
        </w:rPr>
      </w:pPr>
      <w:r w:rsidRPr="00653E85">
        <w:rPr>
          <w:rFonts w:asciiTheme="majorHAnsi" w:hAnsiTheme="majorHAnsi" w:cstheme="majorHAnsi"/>
          <w:b/>
          <w:sz w:val="24"/>
          <w:szCs w:val="24"/>
          <w:lang w:val="ro-MD"/>
        </w:rPr>
        <w:t>Achitarea</w:t>
      </w:r>
      <w:r w:rsidRPr="00B7675F">
        <w:rPr>
          <w:rFonts w:asciiTheme="majorHAnsi" w:hAnsiTheme="majorHAnsi" w:cstheme="majorHAnsi"/>
          <w:b/>
          <w:sz w:val="24"/>
          <w:szCs w:val="24"/>
          <w:lang w:val="ro-MD"/>
        </w:rPr>
        <w:t xml:space="preserve"> neregulamentară </w:t>
      </w:r>
      <w:r w:rsidRPr="0038225D">
        <w:rPr>
          <w:rFonts w:asciiTheme="majorHAnsi" w:hAnsiTheme="majorHAnsi" w:cstheme="majorHAnsi"/>
          <w:b/>
          <w:sz w:val="24"/>
          <w:szCs w:val="24"/>
          <w:lang w:val="ro-MD"/>
        </w:rPr>
        <w:t>(2</w:t>
      </w:r>
      <w:r w:rsidR="00250B37" w:rsidRPr="00B7675F">
        <w:rPr>
          <w:rFonts w:asciiTheme="majorHAnsi" w:hAnsiTheme="majorHAnsi" w:cstheme="majorHAnsi"/>
          <w:b/>
          <w:sz w:val="24"/>
          <w:szCs w:val="24"/>
          <w:lang w:val="ro-MD"/>
        </w:rPr>
        <w:t xml:space="preserve"> </w:t>
      </w:r>
      <w:r w:rsidRPr="00B7675F">
        <w:rPr>
          <w:rFonts w:asciiTheme="majorHAnsi" w:hAnsiTheme="majorHAnsi" w:cstheme="majorHAnsi"/>
          <w:b/>
          <w:sz w:val="24"/>
          <w:szCs w:val="24"/>
          <w:lang w:val="ro-MD"/>
        </w:rPr>
        <w:t>625,8 mii lei) și</w:t>
      </w:r>
      <w:r w:rsidRPr="00653E85">
        <w:rPr>
          <w:rFonts w:asciiTheme="majorHAnsi" w:hAnsiTheme="majorHAnsi" w:cstheme="majorHAnsi"/>
          <w:b/>
          <w:sz w:val="24"/>
          <w:szCs w:val="24"/>
          <w:lang w:val="ro-MD"/>
        </w:rPr>
        <w:t xml:space="preserve"> rest</w:t>
      </w:r>
      <w:r w:rsidRPr="00B7675F">
        <w:rPr>
          <w:rFonts w:asciiTheme="majorHAnsi" w:hAnsiTheme="majorHAnsi" w:cstheme="majorHAnsi"/>
          <w:b/>
          <w:sz w:val="24"/>
          <w:szCs w:val="24"/>
          <w:lang w:val="ro-MD"/>
        </w:rPr>
        <w:t xml:space="preserve">ituirea </w:t>
      </w:r>
      <w:r w:rsidRPr="0038225D">
        <w:rPr>
          <w:rFonts w:asciiTheme="majorHAnsi" w:hAnsiTheme="majorHAnsi" w:cstheme="majorHAnsi"/>
          <w:b/>
          <w:sz w:val="24"/>
          <w:szCs w:val="24"/>
          <w:lang w:val="ro-MD"/>
        </w:rPr>
        <w:t xml:space="preserve">parțială </w:t>
      </w:r>
      <w:r w:rsidRPr="00B7675F">
        <w:rPr>
          <w:rFonts w:asciiTheme="majorHAnsi" w:hAnsiTheme="majorHAnsi" w:cstheme="majorHAnsi"/>
          <w:b/>
          <w:sz w:val="24"/>
          <w:szCs w:val="24"/>
          <w:lang w:val="ro-MD"/>
        </w:rPr>
        <w:t>(28</w:t>
      </w:r>
      <w:r w:rsidR="00250B37" w:rsidRPr="00B7675F">
        <w:rPr>
          <w:rFonts w:asciiTheme="majorHAnsi" w:hAnsiTheme="majorHAnsi" w:cstheme="majorHAnsi"/>
          <w:b/>
          <w:sz w:val="24"/>
          <w:szCs w:val="24"/>
          <w:lang w:val="ro-MD"/>
        </w:rPr>
        <w:t>,</w:t>
      </w:r>
      <w:r w:rsidRPr="00B7675F">
        <w:rPr>
          <w:rFonts w:asciiTheme="majorHAnsi" w:hAnsiTheme="majorHAnsi" w:cstheme="majorHAnsi"/>
          <w:b/>
          <w:sz w:val="24"/>
          <w:szCs w:val="24"/>
          <w:lang w:val="ro-MD"/>
        </w:rPr>
        <w:t>4%) a sumelor acordate pentru ajutorul social și ajutorul pentru perioada rece a anului,</w:t>
      </w:r>
      <w:r w:rsidRPr="00653E85">
        <w:rPr>
          <w:rFonts w:asciiTheme="majorHAnsi" w:hAnsiTheme="majorHAnsi" w:cstheme="majorHAnsi"/>
          <w:b/>
          <w:sz w:val="24"/>
          <w:szCs w:val="24"/>
          <w:lang w:val="ro-MD"/>
        </w:rPr>
        <w:t xml:space="preserve"> influențează direct indicatorii BASS </w:t>
      </w:r>
      <w:r w:rsidRPr="00B7675F">
        <w:rPr>
          <w:rFonts w:asciiTheme="majorHAnsi" w:hAnsiTheme="majorHAnsi" w:cstheme="majorHAnsi"/>
          <w:b/>
          <w:sz w:val="24"/>
          <w:szCs w:val="24"/>
          <w:lang w:val="ro-MD"/>
        </w:rPr>
        <w:t xml:space="preserve">în anul 2022, </w:t>
      </w:r>
      <w:r w:rsidR="00A913CB" w:rsidRPr="0038225D">
        <w:rPr>
          <w:rFonts w:asciiTheme="majorHAnsi" w:hAnsiTheme="majorHAnsi" w:cstheme="majorHAnsi"/>
          <w:b/>
          <w:sz w:val="24"/>
          <w:szCs w:val="24"/>
          <w:lang w:val="ro-MD"/>
        </w:rPr>
        <w:t xml:space="preserve">fapt </w:t>
      </w:r>
      <w:r w:rsidRPr="00B7675F">
        <w:rPr>
          <w:rFonts w:asciiTheme="majorHAnsi" w:hAnsiTheme="majorHAnsi" w:cstheme="majorHAnsi"/>
          <w:b/>
          <w:sz w:val="24"/>
          <w:szCs w:val="24"/>
          <w:lang w:val="ro-MD"/>
        </w:rPr>
        <w:t>condiț</w:t>
      </w:r>
      <w:r w:rsidR="00FD6B02" w:rsidRPr="00B7675F">
        <w:rPr>
          <w:rFonts w:asciiTheme="majorHAnsi" w:hAnsiTheme="majorHAnsi" w:cstheme="majorHAnsi"/>
          <w:b/>
          <w:sz w:val="24"/>
          <w:szCs w:val="24"/>
          <w:lang w:val="ro-MD"/>
        </w:rPr>
        <w:t xml:space="preserve">ionat de </w:t>
      </w:r>
      <w:r w:rsidR="0074469F" w:rsidRPr="00653E85">
        <w:rPr>
          <w:rFonts w:asciiTheme="majorHAnsi" w:hAnsiTheme="majorHAnsi" w:cstheme="majorHAnsi"/>
          <w:b/>
          <w:sz w:val="24"/>
          <w:szCs w:val="24"/>
          <w:lang w:val="ro-MD"/>
        </w:rPr>
        <w:t>procesul</w:t>
      </w:r>
      <w:r w:rsidRPr="00653E85">
        <w:rPr>
          <w:rFonts w:asciiTheme="majorHAnsi" w:hAnsiTheme="majorHAnsi" w:cstheme="majorHAnsi"/>
          <w:b/>
          <w:sz w:val="24"/>
          <w:szCs w:val="24"/>
          <w:lang w:val="ro-MD"/>
        </w:rPr>
        <w:t xml:space="preserve"> fragmentat de acordare, verificare și plată a acestei prestații, ce menține în continuare incoerența datelor la toate etapele și nivelurile.</w:t>
      </w:r>
    </w:p>
    <w:p w14:paraId="5CA406B9" w14:textId="1EAA667B" w:rsidR="001F56F8" w:rsidRPr="00653E85" w:rsidRDefault="001F56F8" w:rsidP="00250B37">
      <w:pPr>
        <w:pStyle w:val="a6"/>
        <w:shd w:val="clear" w:color="auto" w:fill="FFFFFF"/>
        <w:spacing w:line="276" w:lineRule="auto"/>
        <w:ind w:firstLine="0"/>
        <w:rPr>
          <w:rFonts w:asciiTheme="majorHAnsi" w:eastAsiaTheme="minorHAnsi" w:hAnsiTheme="majorHAnsi" w:cstheme="majorHAnsi"/>
          <w:lang w:val="ro-MD"/>
        </w:rPr>
      </w:pPr>
      <w:r w:rsidRPr="00653E85">
        <w:rPr>
          <w:rFonts w:asciiTheme="majorHAnsi" w:eastAsiaTheme="minorHAnsi" w:hAnsiTheme="majorHAnsi" w:cstheme="majorHAnsi"/>
          <w:lang w:val="ro-MD"/>
        </w:rPr>
        <w:t xml:space="preserve">Ajutorul social </w:t>
      </w:r>
      <w:r w:rsidRPr="00653E85">
        <w:rPr>
          <w:rFonts w:asciiTheme="majorHAnsi" w:eastAsiaTheme="minorHAnsi" w:hAnsiTheme="majorHAnsi" w:cstheme="majorHAnsi"/>
          <w:iCs/>
          <w:lang w:val="ro-MD"/>
        </w:rPr>
        <w:t xml:space="preserve">este o plată </w:t>
      </w:r>
      <w:r w:rsidRPr="00653E85">
        <w:rPr>
          <w:rFonts w:asciiTheme="majorHAnsi" w:eastAsiaTheme="minorHAnsi" w:hAnsiTheme="majorHAnsi" w:cstheme="majorHAnsi"/>
          <w:lang w:val="ro-MD"/>
        </w:rPr>
        <w:t xml:space="preserve">lunară în bani acordată </w:t>
      </w:r>
      <w:r w:rsidR="0074469F" w:rsidRPr="00653E85">
        <w:rPr>
          <w:rFonts w:asciiTheme="majorHAnsi" w:eastAsiaTheme="minorHAnsi" w:hAnsiTheme="majorHAnsi" w:cstheme="majorHAnsi"/>
          <w:lang w:val="ro-MD"/>
        </w:rPr>
        <w:t>familiilor</w:t>
      </w:r>
      <w:r w:rsidRPr="00653E85">
        <w:rPr>
          <w:rFonts w:asciiTheme="majorHAnsi" w:eastAsiaTheme="minorHAnsi" w:hAnsiTheme="majorHAnsi" w:cstheme="majorHAnsi"/>
          <w:lang w:val="ro-MD"/>
        </w:rPr>
        <w:t xml:space="preserve"> defavorizate, iar ajutorul pentru perioada rece a anului se acordă acestui contingent pentru lunile ianuarie-martie şi noiembrie-decembrie. Astfel, d</w:t>
      </w:r>
      <w:r w:rsidRPr="00653E85">
        <w:rPr>
          <w:rFonts w:asciiTheme="majorHAnsi" w:hAnsiTheme="majorHAnsi" w:cstheme="majorHAnsi"/>
          <w:lang w:val="ro-MD"/>
        </w:rPr>
        <w:t>reptul la ajutor social și/sau ajutor pentru perioada rece a anului se acordă de către structurile teritoriale de asistență socială, iar asigurarea evidenței plății, de către Casa Națională prin intermediul MPay, verificarea modului de aplicare corectă şi unitară a cadrului regulamentar fiind efectuată de Inspecția Socială</w:t>
      </w:r>
      <w:r w:rsidRPr="00653E85">
        <w:rPr>
          <w:rStyle w:val="a5"/>
          <w:rFonts w:asciiTheme="majorHAnsi" w:eastAsiaTheme="majorEastAsia" w:hAnsiTheme="majorHAnsi" w:cstheme="majorHAnsi"/>
          <w:lang w:val="ro-MD"/>
        </w:rPr>
        <w:footnoteReference w:id="43"/>
      </w:r>
      <w:r w:rsidRPr="00653E85">
        <w:rPr>
          <w:rFonts w:asciiTheme="majorHAnsi" w:hAnsiTheme="majorHAnsi" w:cstheme="majorHAnsi"/>
          <w:lang w:val="ro-MD"/>
        </w:rPr>
        <w:t>.</w:t>
      </w:r>
    </w:p>
    <w:p w14:paraId="1BA2CF96" w14:textId="77777777" w:rsidR="001F56F8" w:rsidRPr="00653E85" w:rsidRDefault="001F56F8" w:rsidP="001F56F8">
      <w:pPr>
        <w:spacing w:line="276" w:lineRule="auto"/>
        <w:jc w:val="both"/>
        <w:rPr>
          <w:rFonts w:asciiTheme="majorHAnsi" w:hAnsiTheme="majorHAnsi" w:cstheme="majorHAnsi"/>
          <w:sz w:val="24"/>
          <w:szCs w:val="24"/>
          <w:lang w:val="ro-MD"/>
        </w:rPr>
      </w:pPr>
      <w:r w:rsidRPr="00653E85">
        <w:rPr>
          <w:noProof/>
          <w:lang w:val="ru-RU" w:eastAsia="ru-RU"/>
        </w:rPr>
        <w:drawing>
          <wp:inline distT="0" distB="0" distL="0" distR="0" wp14:anchorId="2AC5C400" wp14:editId="10D9E5AE">
            <wp:extent cx="6080760" cy="3006969"/>
            <wp:effectExtent l="0" t="0" r="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00261F1" w14:textId="18ADCB93" w:rsidR="001F56F8" w:rsidRPr="00653E85" w:rsidRDefault="008D1DF2" w:rsidP="001F56F8">
      <w:pPr>
        <w:spacing w:line="276" w:lineRule="auto"/>
        <w:jc w:val="both"/>
        <w:rPr>
          <w:rFonts w:asciiTheme="majorHAnsi" w:hAnsiTheme="majorHAnsi" w:cstheme="majorHAnsi"/>
          <w:i/>
          <w:sz w:val="20"/>
          <w:szCs w:val="20"/>
          <w:lang w:val="ro-MD"/>
        </w:rPr>
      </w:pPr>
      <w:r w:rsidRPr="00653E85">
        <w:rPr>
          <w:rFonts w:asciiTheme="majorHAnsi" w:hAnsiTheme="majorHAnsi" w:cstheme="majorHAnsi"/>
          <w:i/>
          <w:sz w:val="20"/>
          <w:szCs w:val="20"/>
          <w:lang w:val="ro-MD"/>
        </w:rPr>
        <w:t>Figura nr.2</w:t>
      </w:r>
      <w:r w:rsidR="001F56F8" w:rsidRPr="00653E85">
        <w:rPr>
          <w:rFonts w:asciiTheme="majorHAnsi" w:hAnsiTheme="majorHAnsi" w:cstheme="majorHAnsi"/>
          <w:i/>
          <w:sz w:val="20"/>
          <w:szCs w:val="20"/>
          <w:lang w:val="ro-MD"/>
        </w:rPr>
        <w:t xml:space="preserve"> Procesul de acordare, verificare și plată a ajutorului social și ajutorului pentru perioada rece a anului</w:t>
      </w:r>
      <w:r w:rsidR="00711DD9" w:rsidRPr="00653E85">
        <w:rPr>
          <w:rFonts w:asciiTheme="majorHAnsi" w:hAnsiTheme="majorHAnsi" w:cstheme="majorHAnsi"/>
          <w:i/>
          <w:sz w:val="20"/>
          <w:szCs w:val="20"/>
          <w:lang w:val="ro-MD"/>
        </w:rPr>
        <w:t>.</w:t>
      </w:r>
    </w:p>
    <w:p w14:paraId="06743A17" w14:textId="584B85AC" w:rsidR="001F56F8" w:rsidRPr="00653E85" w:rsidRDefault="001F56F8" w:rsidP="001F56F8">
      <w:pPr>
        <w:spacing w:before="240"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În ultimii cinci ani (2018-2022) se menține o tendință majoră a ponderii mijloacelor calculate și achitate neregulamentar, aceasta variind de la 16,2% până la 31,7%, situație reflectată în tabelul următor. </w:t>
      </w:r>
    </w:p>
    <w:p w14:paraId="4A8BB202" w14:textId="77777777" w:rsidR="005178B8" w:rsidRPr="00653E85" w:rsidRDefault="005178B8" w:rsidP="001F56F8">
      <w:pPr>
        <w:spacing w:after="0" w:line="276" w:lineRule="auto"/>
        <w:ind w:firstLine="720"/>
        <w:jc w:val="right"/>
        <w:rPr>
          <w:rFonts w:asciiTheme="majorHAnsi" w:hAnsiTheme="majorHAnsi" w:cstheme="majorHAnsi"/>
          <w:b/>
          <w:sz w:val="24"/>
          <w:szCs w:val="24"/>
          <w:lang w:val="ro-MD"/>
        </w:rPr>
      </w:pPr>
    </w:p>
    <w:p w14:paraId="33E5282C" w14:textId="625C25B8" w:rsidR="001F56F8" w:rsidRPr="00653E85" w:rsidRDefault="00612786" w:rsidP="001F56F8">
      <w:pPr>
        <w:spacing w:after="0" w:line="276" w:lineRule="auto"/>
        <w:ind w:firstLine="720"/>
        <w:jc w:val="right"/>
        <w:rPr>
          <w:rFonts w:asciiTheme="majorHAnsi" w:hAnsiTheme="majorHAnsi" w:cstheme="majorHAnsi"/>
          <w:b/>
          <w:sz w:val="24"/>
          <w:szCs w:val="24"/>
          <w:lang w:val="ro-MD"/>
        </w:rPr>
      </w:pPr>
      <w:r w:rsidRPr="00653E85">
        <w:rPr>
          <w:rFonts w:asciiTheme="majorHAnsi" w:hAnsiTheme="majorHAnsi" w:cstheme="majorHAnsi"/>
          <w:b/>
          <w:sz w:val="24"/>
          <w:szCs w:val="24"/>
          <w:lang w:val="ro-MD"/>
        </w:rPr>
        <w:t>Tabel</w:t>
      </w:r>
      <w:r w:rsidR="00711DD9" w:rsidRPr="00653E85">
        <w:rPr>
          <w:rFonts w:asciiTheme="majorHAnsi" w:hAnsiTheme="majorHAnsi" w:cstheme="majorHAnsi"/>
          <w:b/>
          <w:sz w:val="24"/>
          <w:szCs w:val="24"/>
          <w:lang w:val="ro-MD"/>
        </w:rPr>
        <w:t>ul</w:t>
      </w:r>
      <w:r w:rsidR="001F56F8" w:rsidRPr="00653E85">
        <w:rPr>
          <w:rFonts w:asciiTheme="majorHAnsi" w:hAnsiTheme="majorHAnsi" w:cstheme="majorHAnsi"/>
          <w:b/>
          <w:sz w:val="24"/>
          <w:szCs w:val="24"/>
          <w:lang w:val="ro-MD"/>
        </w:rPr>
        <w:t xml:space="preserve"> nr. </w:t>
      </w:r>
      <w:r w:rsidR="008D1DF2" w:rsidRPr="00653E85">
        <w:rPr>
          <w:rFonts w:asciiTheme="majorHAnsi" w:hAnsiTheme="majorHAnsi" w:cstheme="majorHAnsi"/>
          <w:b/>
          <w:sz w:val="24"/>
          <w:szCs w:val="24"/>
          <w:lang w:val="ro-MD"/>
        </w:rPr>
        <w:t>11</w:t>
      </w:r>
    </w:p>
    <w:p w14:paraId="7942F314" w14:textId="3531B51C" w:rsidR="001F56F8" w:rsidRPr="00653E85" w:rsidRDefault="001F56F8" w:rsidP="001F56F8">
      <w:pPr>
        <w:spacing w:after="0" w:line="276" w:lineRule="auto"/>
        <w:ind w:firstLine="720"/>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Analiza iregularităților identificate de Inspecția S</w:t>
      </w:r>
      <w:r w:rsidR="00A05222" w:rsidRPr="00653E85">
        <w:rPr>
          <w:rFonts w:asciiTheme="majorHAnsi" w:hAnsiTheme="majorHAnsi" w:cstheme="majorHAnsi"/>
          <w:b/>
          <w:sz w:val="24"/>
          <w:szCs w:val="24"/>
          <w:lang w:val="ro-MD"/>
        </w:rPr>
        <w:t xml:space="preserve">ocială la acordarea AS și APRA </w:t>
      </w:r>
      <w:r w:rsidRPr="00653E85">
        <w:rPr>
          <w:rFonts w:asciiTheme="majorHAnsi" w:hAnsiTheme="majorHAnsi" w:cstheme="majorHAnsi"/>
          <w:b/>
          <w:sz w:val="24"/>
          <w:szCs w:val="24"/>
          <w:lang w:val="ro-MD"/>
        </w:rPr>
        <w:t xml:space="preserve"> </w:t>
      </w:r>
    </w:p>
    <w:tbl>
      <w:tblPr>
        <w:tblW w:w="9400" w:type="dxa"/>
        <w:tblInd w:w="-10" w:type="dxa"/>
        <w:tblLook w:val="04A0" w:firstRow="1" w:lastRow="0" w:firstColumn="1" w:lastColumn="0" w:noHBand="0" w:noVBand="1"/>
      </w:tblPr>
      <w:tblGrid>
        <w:gridCol w:w="1819"/>
        <w:gridCol w:w="2312"/>
        <w:gridCol w:w="2957"/>
        <w:gridCol w:w="2312"/>
      </w:tblGrid>
      <w:tr w:rsidR="001F56F8" w:rsidRPr="00B7675F" w14:paraId="3C4AABC4" w14:textId="77777777" w:rsidTr="00E03E91">
        <w:trPr>
          <w:trHeight w:val="20"/>
        </w:trPr>
        <w:tc>
          <w:tcPr>
            <w:tcW w:w="1819" w:type="dxa"/>
            <w:tcBorders>
              <w:top w:val="single" w:sz="8" w:space="0" w:color="auto"/>
              <w:left w:val="single" w:sz="8" w:space="0" w:color="auto"/>
              <w:bottom w:val="nil"/>
              <w:right w:val="single" w:sz="8" w:space="0" w:color="auto"/>
            </w:tcBorders>
            <w:shd w:val="clear" w:color="auto" w:fill="auto"/>
            <w:vAlign w:val="center"/>
            <w:hideMark/>
          </w:tcPr>
          <w:p w14:paraId="187430F7"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Anul</w:t>
            </w:r>
          </w:p>
        </w:tc>
        <w:tc>
          <w:tcPr>
            <w:tcW w:w="2312" w:type="dxa"/>
            <w:tcBorders>
              <w:top w:val="single" w:sz="8" w:space="0" w:color="auto"/>
              <w:left w:val="nil"/>
              <w:bottom w:val="nil"/>
              <w:right w:val="single" w:sz="8" w:space="0" w:color="auto"/>
            </w:tcBorders>
            <w:shd w:val="clear" w:color="auto" w:fill="auto"/>
            <w:vAlign w:val="center"/>
            <w:hideMark/>
          </w:tcPr>
          <w:p w14:paraId="466B845F" w14:textId="77777777" w:rsidR="00711DD9"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Suma verificată</w:t>
            </w:r>
            <w:r w:rsidR="00A05222" w:rsidRPr="00653E85">
              <w:rPr>
                <w:rFonts w:ascii="Calibri Light" w:eastAsia="Times New Roman" w:hAnsi="Calibri Light" w:cs="Calibri Light"/>
                <w:b/>
                <w:bCs/>
                <w:color w:val="000000"/>
                <w:sz w:val="24"/>
                <w:szCs w:val="24"/>
                <w:lang w:val="ro-MD"/>
              </w:rPr>
              <w:t xml:space="preserve">, </w:t>
            </w:r>
          </w:p>
          <w:p w14:paraId="3C874062" w14:textId="5E60E62F" w:rsidR="001F56F8" w:rsidRPr="00653E85" w:rsidRDefault="00A05222"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mii lei</w:t>
            </w:r>
          </w:p>
        </w:tc>
        <w:tc>
          <w:tcPr>
            <w:tcW w:w="2957" w:type="dxa"/>
            <w:tcBorders>
              <w:top w:val="single" w:sz="8" w:space="0" w:color="auto"/>
              <w:left w:val="nil"/>
              <w:bottom w:val="nil"/>
              <w:right w:val="single" w:sz="8" w:space="0" w:color="auto"/>
            </w:tcBorders>
            <w:shd w:val="clear" w:color="auto" w:fill="auto"/>
            <w:vAlign w:val="center"/>
            <w:hideMark/>
          </w:tcPr>
          <w:p w14:paraId="2BBDC279" w14:textId="57843B2A"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Suma depistată cu iregularități</w:t>
            </w:r>
            <w:r w:rsidR="00A05222" w:rsidRPr="00653E85">
              <w:rPr>
                <w:rFonts w:ascii="Calibri Light" w:eastAsia="Times New Roman" w:hAnsi="Calibri Light" w:cs="Calibri Light"/>
                <w:b/>
                <w:bCs/>
                <w:color w:val="000000"/>
                <w:sz w:val="24"/>
                <w:szCs w:val="24"/>
                <w:lang w:val="ro-MD"/>
              </w:rPr>
              <w:t>, mii lei</w:t>
            </w:r>
          </w:p>
        </w:tc>
        <w:tc>
          <w:tcPr>
            <w:tcW w:w="2312" w:type="dxa"/>
            <w:tcBorders>
              <w:top w:val="single" w:sz="8" w:space="0" w:color="auto"/>
              <w:left w:val="nil"/>
              <w:bottom w:val="nil"/>
              <w:right w:val="single" w:sz="8" w:space="0" w:color="auto"/>
            </w:tcBorders>
            <w:shd w:val="clear" w:color="auto" w:fill="auto"/>
            <w:vAlign w:val="center"/>
            <w:hideMark/>
          </w:tcPr>
          <w:p w14:paraId="29DA71C0" w14:textId="12438542" w:rsidR="001F56F8" w:rsidRPr="00653E85" w:rsidRDefault="001F56F8" w:rsidP="00711DD9">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Ponderea</w:t>
            </w:r>
            <w:r w:rsidR="00711DD9" w:rsidRPr="00653E85">
              <w:rPr>
                <w:rFonts w:ascii="Calibri Light" w:eastAsia="Times New Roman" w:hAnsi="Calibri Light" w:cs="Calibri Light"/>
                <w:b/>
                <w:bCs/>
                <w:color w:val="000000"/>
                <w:sz w:val="24"/>
                <w:szCs w:val="24"/>
                <w:lang w:val="ro-MD"/>
              </w:rPr>
              <w:t>,</w:t>
            </w:r>
            <w:r w:rsidRPr="00653E85">
              <w:rPr>
                <w:rFonts w:ascii="Calibri Light" w:eastAsia="Times New Roman" w:hAnsi="Calibri Light" w:cs="Calibri Light"/>
                <w:b/>
                <w:bCs/>
                <w:color w:val="000000"/>
                <w:sz w:val="24"/>
                <w:szCs w:val="24"/>
                <w:lang w:val="ro-MD"/>
              </w:rPr>
              <w:t xml:space="preserve"> %</w:t>
            </w:r>
          </w:p>
        </w:tc>
      </w:tr>
      <w:tr w:rsidR="001F56F8" w:rsidRPr="00B7675F" w14:paraId="0E79C0D5" w14:textId="77777777" w:rsidTr="00E03E91">
        <w:trPr>
          <w:trHeight w:val="20"/>
        </w:trPr>
        <w:tc>
          <w:tcPr>
            <w:tcW w:w="18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C4FF4"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2018</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14:paraId="4883FDA3" w14:textId="128E8A91"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8</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803,1</w:t>
            </w:r>
          </w:p>
        </w:tc>
        <w:tc>
          <w:tcPr>
            <w:tcW w:w="2957" w:type="dxa"/>
            <w:tcBorders>
              <w:top w:val="single" w:sz="4" w:space="0" w:color="auto"/>
              <w:left w:val="nil"/>
              <w:bottom w:val="single" w:sz="4" w:space="0" w:color="auto"/>
              <w:right w:val="single" w:sz="4" w:space="0" w:color="auto"/>
            </w:tcBorders>
            <w:shd w:val="clear" w:color="auto" w:fill="auto"/>
            <w:vAlign w:val="center"/>
            <w:hideMark/>
          </w:tcPr>
          <w:p w14:paraId="0AA62053" w14:textId="298F1859"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426,1</w:t>
            </w:r>
          </w:p>
        </w:tc>
        <w:tc>
          <w:tcPr>
            <w:tcW w:w="2312" w:type="dxa"/>
            <w:tcBorders>
              <w:top w:val="single" w:sz="4" w:space="0" w:color="auto"/>
              <w:left w:val="nil"/>
              <w:bottom w:val="single" w:sz="4" w:space="0" w:color="auto"/>
              <w:right w:val="single" w:sz="4" w:space="0" w:color="auto"/>
            </w:tcBorders>
            <w:shd w:val="clear" w:color="auto" w:fill="auto"/>
            <w:vAlign w:val="center"/>
            <w:hideMark/>
          </w:tcPr>
          <w:p w14:paraId="2232B5EB"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16,2%</w:t>
            </w:r>
          </w:p>
        </w:tc>
      </w:tr>
      <w:tr w:rsidR="001F56F8" w:rsidRPr="00B7675F" w14:paraId="22D10098" w14:textId="77777777" w:rsidTr="00E03E91">
        <w:trPr>
          <w:trHeight w:val="20"/>
        </w:trPr>
        <w:tc>
          <w:tcPr>
            <w:tcW w:w="1819" w:type="dxa"/>
            <w:tcBorders>
              <w:top w:val="nil"/>
              <w:left w:val="single" w:sz="4" w:space="0" w:color="auto"/>
              <w:bottom w:val="single" w:sz="4" w:space="0" w:color="auto"/>
              <w:right w:val="single" w:sz="4" w:space="0" w:color="auto"/>
            </w:tcBorders>
            <w:shd w:val="clear" w:color="auto" w:fill="auto"/>
            <w:vAlign w:val="center"/>
            <w:hideMark/>
          </w:tcPr>
          <w:p w14:paraId="6FE7514A"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2019</w:t>
            </w:r>
          </w:p>
        </w:tc>
        <w:tc>
          <w:tcPr>
            <w:tcW w:w="2312" w:type="dxa"/>
            <w:tcBorders>
              <w:top w:val="nil"/>
              <w:left w:val="nil"/>
              <w:bottom w:val="single" w:sz="4" w:space="0" w:color="auto"/>
              <w:right w:val="single" w:sz="4" w:space="0" w:color="auto"/>
            </w:tcBorders>
            <w:shd w:val="clear" w:color="auto" w:fill="auto"/>
            <w:vAlign w:val="center"/>
            <w:hideMark/>
          </w:tcPr>
          <w:p w14:paraId="182680A4" w14:textId="5619C0D3"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6</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934,1</w:t>
            </w:r>
          </w:p>
        </w:tc>
        <w:tc>
          <w:tcPr>
            <w:tcW w:w="2957" w:type="dxa"/>
            <w:tcBorders>
              <w:top w:val="nil"/>
              <w:left w:val="nil"/>
              <w:bottom w:val="single" w:sz="4" w:space="0" w:color="auto"/>
              <w:right w:val="single" w:sz="4" w:space="0" w:color="auto"/>
            </w:tcBorders>
            <w:shd w:val="clear" w:color="auto" w:fill="auto"/>
            <w:vAlign w:val="center"/>
            <w:hideMark/>
          </w:tcPr>
          <w:p w14:paraId="1821D7B1" w14:textId="04DCD0C1"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198,9</w:t>
            </w:r>
          </w:p>
        </w:tc>
        <w:tc>
          <w:tcPr>
            <w:tcW w:w="2312" w:type="dxa"/>
            <w:tcBorders>
              <w:top w:val="nil"/>
              <w:left w:val="nil"/>
              <w:bottom w:val="single" w:sz="4" w:space="0" w:color="auto"/>
              <w:right w:val="single" w:sz="4" w:space="0" w:color="auto"/>
            </w:tcBorders>
            <w:shd w:val="clear" w:color="auto" w:fill="auto"/>
            <w:vAlign w:val="center"/>
            <w:hideMark/>
          </w:tcPr>
          <w:p w14:paraId="655C590C"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31,7%</w:t>
            </w:r>
          </w:p>
        </w:tc>
      </w:tr>
      <w:tr w:rsidR="001F56F8" w:rsidRPr="00B7675F" w14:paraId="1DBAC87C" w14:textId="77777777" w:rsidTr="00E03E91">
        <w:trPr>
          <w:trHeight w:val="20"/>
        </w:trPr>
        <w:tc>
          <w:tcPr>
            <w:tcW w:w="1819" w:type="dxa"/>
            <w:tcBorders>
              <w:top w:val="nil"/>
              <w:left w:val="single" w:sz="4" w:space="0" w:color="auto"/>
              <w:bottom w:val="single" w:sz="4" w:space="0" w:color="auto"/>
              <w:right w:val="single" w:sz="4" w:space="0" w:color="auto"/>
            </w:tcBorders>
            <w:shd w:val="clear" w:color="auto" w:fill="auto"/>
            <w:vAlign w:val="center"/>
            <w:hideMark/>
          </w:tcPr>
          <w:p w14:paraId="47109BE3"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2020</w:t>
            </w:r>
          </w:p>
        </w:tc>
        <w:tc>
          <w:tcPr>
            <w:tcW w:w="2312" w:type="dxa"/>
            <w:tcBorders>
              <w:top w:val="nil"/>
              <w:left w:val="nil"/>
              <w:bottom w:val="single" w:sz="4" w:space="0" w:color="auto"/>
              <w:right w:val="single" w:sz="4" w:space="0" w:color="auto"/>
            </w:tcBorders>
            <w:shd w:val="clear" w:color="auto" w:fill="auto"/>
            <w:vAlign w:val="center"/>
            <w:hideMark/>
          </w:tcPr>
          <w:p w14:paraId="6339370B" w14:textId="6FD8A4E0"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8</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304,7</w:t>
            </w:r>
          </w:p>
        </w:tc>
        <w:tc>
          <w:tcPr>
            <w:tcW w:w="2957" w:type="dxa"/>
            <w:tcBorders>
              <w:top w:val="nil"/>
              <w:left w:val="nil"/>
              <w:bottom w:val="single" w:sz="4" w:space="0" w:color="auto"/>
              <w:right w:val="single" w:sz="4" w:space="0" w:color="auto"/>
            </w:tcBorders>
            <w:shd w:val="clear" w:color="auto" w:fill="auto"/>
            <w:vAlign w:val="center"/>
            <w:hideMark/>
          </w:tcPr>
          <w:p w14:paraId="25018A33" w14:textId="2F2A35C0"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437,4</w:t>
            </w:r>
          </w:p>
        </w:tc>
        <w:tc>
          <w:tcPr>
            <w:tcW w:w="2312" w:type="dxa"/>
            <w:tcBorders>
              <w:top w:val="nil"/>
              <w:left w:val="nil"/>
              <w:bottom w:val="single" w:sz="4" w:space="0" w:color="auto"/>
              <w:right w:val="single" w:sz="4" w:space="0" w:color="auto"/>
            </w:tcBorders>
            <w:shd w:val="clear" w:color="auto" w:fill="auto"/>
            <w:vAlign w:val="center"/>
            <w:hideMark/>
          </w:tcPr>
          <w:p w14:paraId="471F7AE7"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29,3%</w:t>
            </w:r>
          </w:p>
        </w:tc>
      </w:tr>
      <w:tr w:rsidR="001F56F8" w:rsidRPr="00B7675F" w14:paraId="2484C433" w14:textId="77777777" w:rsidTr="00E03E91">
        <w:trPr>
          <w:trHeight w:val="20"/>
        </w:trPr>
        <w:tc>
          <w:tcPr>
            <w:tcW w:w="1819" w:type="dxa"/>
            <w:tcBorders>
              <w:top w:val="nil"/>
              <w:left w:val="single" w:sz="4" w:space="0" w:color="auto"/>
              <w:bottom w:val="single" w:sz="4" w:space="0" w:color="auto"/>
              <w:right w:val="single" w:sz="4" w:space="0" w:color="auto"/>
            </w:tcBorders>
            <w:shd w:val="clear" w:color="auto" w:fill="auto"/>
            <w:vAlign w:val="center"/>
            <w:hideMark/>
          </w:tcPr>
          <w:p w14:paraId="21AA0B59"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2021</w:t>
            </w:r>
          </w:p>
        </w:tc>
        <w:tc>
          <w:tcPr>
            <w:tcW w:w="2312" w:type="dxa"/>
            <w:tcBorders>
              <w:top w:val="nil"/>
              <w:left w:val="nil"/>
              <w:bottom w:val="single" w:sz="4" w:space="0" w:color="auto"/>
              <w:right w:val="single" w:sz="4" w:space="0" w:color="auto"/>
            </w:tcBorders>
            <w:shd w:val="clear" w:color="000000" w:fill="FFFFFF"/>
            <w:vAlign w:val="center"/>
            <w:hideMark/>
          </w:tcPr>
          <w:p w14:paraId="1382280E" w14:textId="7F313995"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10</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173,2</w:t>
            </w:r>
          </w:p>
        </w:tc>
        <w:tc>
          <w:tcPr>
            <w:tcW w:w="2957" w:type="dxa"/>
            <w:tcBorders>
              <w:top w:val="nil"/>
              <w:left w:val="nil"/>
              <w:bottom w:val="single" w:sz="4" w:space="0" w:color="auto"/>
              <w:right w:val="single" w:sz="4" w:space="0" w:color="auto"/>
            </w:tcBorders>
            <w:shd w:val="clear" w:color="000000" w:fill="FFFFFF"/>
            <w:vAlign w:val="center"/>
            <w:hideMark/>
          </w:tcPr>
          <w:p w14:paraId="034768F2" w14:textId="62745A49"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826,5</w:t>
            </w:r>
          </w:p>
        </w:tc>
        <w:tc>
          <w:tcPr>
            <w:tcW w:w="2312" w:type="dxa"/>
            <w:tcBorders>
              <w:top w:val="nil"/>
              <w:left w:val="nil"/>
              <w:bottom w:val="single" w:sz="4" w:space="0" w:color="auto"/>
              <w:right w:val="single" w:sz="4" w:space="0" w:color="auto"/>
            </w:tcBorders>
            <w:shd w:val="clear" w:color="auto" w:fill="auto"/>
            <w:vAlign w:val="center"/>
            <w:hideMark/>
          </w:tcPr>
          <w:p w14:paraId="6591C6CE"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27,8%</w:t>
            </w:r>
          </w:p>
        </w:tc>
      </w:tr>
      <w:tr w:rsidR="001F56F8" w:rsidRPr="00B7675F" w14:paraId="2D6C8E96" w14:textId="77777777" w:rsidTr="00E03E91">
        <w:trPr>
          <w:trHeight w:val="20"/>
        </w:trPr>
        <w:tc>
          <w:tcPr>
            <w:tcW w:w="1819" w:type="dxa"/>
            <w:tcBorders>
              <w:top w:val="nil"/>
              <w:left w:val="single" w:sz="4" w:space="0" w:color="auto"/>
              <w:bottom w:val="single" w:sz="4" w:space="0" w:color="auto"/>
              <w:right w:val="single" w:sz="4" w:space="0" w:color="auto"/>
            </w:tcBorders>
            <w:shd w:val="clear" w:color="auto" w:fill="auto"/>
            <w:vAlign w:val="center"/>
            <w:hideMark/>
          </w:tcPr>
          <w:p w14:paraId="1467B092"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2022</w:t>
            </w:r>
          </w:p>
        </w:tc>
        <w:tc>
          <w:tcPr>
            <w:tcW w:w="2312" w:type="dxa"/>
            <w:tcBorders>
              <w:top w:val="nil"/>
              <w:left w:val="nil"/>
              <w:bottom w:val="single" w:sz="4" w:space="0" w:color="auto"/>
              <w:right w:val="single" w:sz="4" w:space="0" w:color="auto"/>
            </w:tcBorders>
            <w:shd w:val="clear" w:color="auto" w:fill="auto"/>
            <w:noWrap/>
            <w:vAlign w:val="bottom"/>
            <w:hideMark/>
          </w:tcPr>
          <w:p w14:paraId="68ED94EC" w14:textId="6DB51B24"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10</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133,9</w:t>
            </w:r>
          </w:p>
        </w:tc>
        <w:tc>
          <w:tcPr>
            <w:tcW w:w="2957" w:type="dxa"/>
            <w:tcBorders>
              <w:top w:val="nil"/>
              <w:left w:val="nil"/>
              <w:bottom w:val="single" w:sz="4" w:space="0" w:color="auto"/>
              <w:right w:val="single" w:sz="4" w:space="0" w:color="auto"/>
            </w:tcBorders>
            <w:shd w:val="clear" w:color="auto" w:fill="auto"/>
            <w:noWrap/>
            <w:vAlign w:val="bottom"/>
            <w:hideMark/>
          </w:tcPr>
          <w:p w14:paraId="7D77114D" w14:textId="5705D5D9"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625,8</w:t>
            </w:r>
          </w:p>
        </w:tc>
        <w:tc>
          <w:tcPr>
            <w:tcW w:w="2312" w:type="dxa"/>
            <w:tcBorders>
              <w:top w:val="nil"/>
              <w:left w:val="nil"/>
              <w:bottom w:val="single" w:sz="4" w:space="0" w:color="auto"/>
              <w:right w:val="single" w:sz="4" w:space="0" w:color="auto"/>
            </w:tcBorders>
            <w:shd w:val="clear" w:color="auto" w:fill="auto"/>
            <w:vAlign w:val="center"/>
            <w:hideMark/>
          </w:tcPr>
          <w:p w14:paraId="5BDFA291"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25,9%</w:t>
            </w:r>
          </w:p>
        </w:tc>
      </w:tr>
    </w:tbl>
    <w:p w14:paraId="73C3CFB7" w14:textId="167D3FCE" w:rsidR="001F56F8" w:rsidRPr="00653E85" w:rsidRDefault="001F56F8" w:rsidP="001F56F8">
      <w:pPr>
        <w:spacing w:line="276" w:lineRule="auto"/>
        <w:jc w:val="both"/>
        <w:rPr>
          <w:rFonts w:asciiTheme="majorHAnsi" w:hAnsiTheme="majorHAnsi" w:cstheme="majorHAnsi"/>
          <w:i/>
          <w:sz w:val="20"/>
          <w:szCs w:val="20"/>
          <w:lang w:val="ro-MD"/>
        </w:rPr>
      </w:pPr>
      <w:r w:rsidRPr="00653E85">
        <w:rPr>
          <w:rFonts w:asciiTheme="majorHAnsi" w:hAnsiTheme="majorHAnsi" w:cstheme="majorHAnsi"/>
          <w:i/>
          <w:sz w:val="20"/>
          <w:szCs w:val="20"/>
          <w:lang w:val="ro-MD"/>
        </w:rPr>
        <w:t>Sursă: Informațiile Inspecției Sociale privind misiunile de inspectări pentru anii 2018-2022</w:t>
      </w:r>
      <w:r w:rsidR="00711DD9" w:rsidRPr="00653E85">
        <w:rPr>
          <w:rFonts w:asciiTheme="majorHAnsi" w:hAnsiTheme="majorHAnsi" w:cstheme="majorHAnsi"/>
          <w:i/>
          <w:sz w:val="20"/>
          <w:szCs w:val="20"/>
          <w:lang w:val="ro-MD"/>
        </w:rPr>
        <w:t>.</w:t>
      </w:r>
    </w:p>
    <w:p w14:paraId="3A049AF7" w14:textId="1B4FF708" w:rsidR="001F56F8" w:rsidRPr="00653E85" w:rsidRDefault="001F56F8" w:rsidP="001F56F8">
      <w:pPr>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Analizând datele Inspecției Sociale, s-a constatat că în anul 2022 structurilor teritoriale de asistență socială li s-a recomandat întreprinderea măsurilor necesare în vederea restit</w:t>
      </w:r>
      <w:r w:rsidR="001C61F8" w:rsidRPr="00653E85">
        <w:rPr>
          <w:rFonts w:asciiTheme="majorHAnsi" w:hAnsiTheme="majorHAnsi" w:cstheme="majorHAnsi"/>
          <w:sz w:val="24"/>
          <w:szCs w:val="24"/>
          <w:lang w:val="ro-MD"/>
        </w:rPr>
        <w:t xml:space="preserve">uirii sumei de 2 468,6 mii lei. </w:t>
      </w:r>
      <w:r w:rsidRPr="00653E85">
        <w:rPr>
          <w:rFonts w:asciiTheme="majorHAnsi" w:hAnsiTheme="majorHAnsi" w:cstheme="majorHAnsi"/>
          <w:sz w:val="24"/>
          <w:szCs w:val="24"/>
          <w:lang w:val="ro-MD"/>
        </w:rPr>
        <w:t xml:space="preserve">În funcție de factorii responsabili de comitere a iregularităților, se constată că 2 438,7 mii lei </w:t>
      </w:r>
      <w:r w:rsidR="00711DD9" w:rsidRPr="00653E85">
        <w:rPr>
          <w:rFonts w:asciiTheme="majorHAnsi" w:hAnsiTheme="majorHAnsi" w:cstheme="majorHAnsi"/>
          <w:sz w:val="24"/>
          <w:szCs w:val="24"/>
          <w:lang w:val="ro-MD"/>
        </w:rPr>
        <w:t>din</w:t>
      </w:r>
      <w:r w:rsidRPr="00653E85">
        <w:rPr>
          <w:rFonts w:asciiTheme="majorHAnsi" w:hAnsiTheme="majorHAnsi" w:cstheme="majorHAnsi"/>
          <w:sz w:val="24"/>
          <w:szCs w:val="24"/>
          <w:lang w:val="ro-MD"/>
        </w:rPr>
        <w:t xml:space="preserve"> sum</w:t>
      </w:r>
      <w:r w:rsidR="00711DD9" w:rsidRPr="00653E85">
        <w:rPr>
          <w:rFonts w:asciiTheme="majorHAnsi" w:hAnsiTheme="majorHAnsi" w:cstheme="majorHAnsi"/>
          <w:sz w:val="24"/>
          <w:szCs w:val="24"/>
          <w:lang w:val="ro-MD"/>
        </w:rPr>
        <w:t>a</w:t>
      </w:r>
      <w:r w:rsidRPr="00653E85">
        <w:rPr>
          <w:rFonts w:asciiTheme="majorHAnsi" w:hAnsiTheme="majorHAnsi" w:cstheme="majorHAnsi"/>
          <w:sz w:val="24"/>
          <w:szCs w:val="24"/>
          <w:lang w:val="ro-MD"/>
        </w:rPr>
        <w:t xml:space="preserve"> achitat</w:t>
      </w:r>
      <w:r w:rsidR="00711DD9" w:rsidRPr="00653E85">
        <w:rPr>
          <w:rFonts w:asciiTheme="majorHAnsi" w:hAnsiTheme="majorHAnsi" w:cstheme="majorHAnsi"/>
          <w:sz w:val="24"/>
          <w:szCs w:val="24"/>
          <w:lang w:val="ro-MD"/>
        </w:rPr>
        <w:t>ă</w:t>
      </w:r>
      <w:r w:rsidRPr="00653E85">
        <w:rPr>
          <w:rFonts w:asciiTheme="majorHAnsi" w:hAnsiTheme="majorHAnsi" w:cstheme="majorHAnsi"/>
          <w:sz w:val="24"/>
          <w:szCs w:val="24"/>
          <w:lang w:val="ro-MD"/>
        </w:rPr>
        <w:t xml:space="preserve"> necuvenit, </w:t>
      </w:r>
      <w:r w:rsidR="00711DD9" w:rsidRPr="00653E85">
        <w:rPr>
          <w:rFonts w:asciiTheme="majorHAnsi" w:hAnsiTheme="majorHAnsi" w:cstheme="majorHAnsi"/>
          <w:sz w:val="24"/>
          <w:szCs w:val="24"/>
          <w:lang w:val="ro-MD"/>
        </w:rPr>
        <w:t xml:space="preserve">sau </w:t>
      </w:r>
      <w:r w:rsidRPr="00653E85">
        <w:rPr>
          <w:rFonts w:asciiTheme="majorHAnsi" w:hAnsiTheme="majorHAnsi" w:cstheme="majorHAnsi"/>
          <w:sz w:val="24"/>
          <w:szCs w:val="24"/>
          <w:lang w:val="ro-MD"/>
        </w:rPr>
        <w:t>98,5%</w:t>
      </w:r>
      <w:r w:rsidR="00711DD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au fost </w:t>
      </w:r>
      <w:r w:rsidR="00711DD9" w:rsidRPr="00653E85">
        <w:rPr>
          <w:rFonts w:asciiTheme="majorHAnsi" w:hAnsiTheme="majorHAnsi" w:cstheme="majorHAnsi"/>
          <w:sz w:val="24"/>
          <w:szCs w:val="24"/>
          <w:lang w:val="ro-MD"/>
        </w:rPr>
        <w:t xml:space="preserve">achitate </w:t>
      </w:r>
      <w:r w:rsidRPr="00653E85">
        <w:rPr>
          <w:rFonts w:asciiTheme="majorHAnsi" w:hAnsiTheme="majorHAnsi" w:cstheme="majorHAnsi"/>
          <w:sz w:val="24"/>
          <w:szCs w:val="24"/>
          <w:lang w:val="ro-MD"/>
        </w:rPr>
        <w:t xml:space="preserve">din vina beneficiarilor, ca urmare a prezentării unor date incomplete, greșite sau </w:t>
      </w:r>
      <w:r w:rsidR="00711DD9" w:rsidRPr="00653E85">
        <w:rPr>
          <w:rFonts w:asciiTheme="majorHAnsi" w:hAnsiTheme="majorHAnsi" w:cstheme="majorHAnsi"/>
          <w:sz w:val="24"/>
          <w:szCs w:val="24"/>
          <w:lang w:val="ro-MD"/>
        </w:rPr>
        <w:t xml:space="preserve">din cauza </w:t>
      </w:r>
      <w:r w:rsidRPr="00653E85">
        <w:rPr>
          <w:rFonts w:asciiTheme="majorHAnsi" w:hAnsiTheme="majorHAnsi" w:cstheme="majorHAnsi"/>
          <w:sz w:val="24"/>
          <w:szCs w:val="24"/>
          <w:lang w:val="ro-MD"/>
        </w:rPr>
        <w:t>neinform</w:t>
      </w:r>
      <w:r w:rsidR="00711DD9" w:rsidRPr="00653E85">
        <w:rPr>
          <w:rFonts w:asciiTheme="majorHAnsi" w:hAnsiTheme="majorHAnsi" w:cstheme="majorHAnsi"/>
          <w:sz w:val="24"/>
          <w:szCs w:val="24"/>
          <w:lang w:val="ro-MD"/>
        </w:rPr>
        <w:t>ării</w:t>
      </w:r>
      <w:r w:rsidRPr="00653E85">
        <w:rPr>
          <w:rFonts w:asciiTheme="majorHAnsi" w:hAnsiTheme="majorHAnsi" w:cstheme="majorHAnsi"/>
          <w:sz w:val="24"/>
          <w:szCs w:val="24"/>
          <w:lang w:val="ro-MD"/>
        </w:rPr>
        <w:t xml:space="preserve"> despre schimbările ce au parvenit în cuantumul veniturilor și </w:t>
      </w:r>
      <w:r w:rsidR="00711DD9" w:rsidRPr="00653E85">
        <w:rPr>
          <w:rFonts w:asciiTheme="majorHAnsi" w:hAnsiTheme="majorHAnsi" w:cstheme="majorHAnsi"/>
          <w:sz w:val="24"/>
          <w:szCs w:val="24"/>
          <w:lang w:val="ro-MD"/>
        </w:rPr>
        <w:t xml:space="preserve">în </w:t>
      </w:r>
      <w:r w:rsidRPr="00653E85">
        <w:rPr>
          <w:rFonts w:asciiTheme="majorHAnsi" w:hAnsiTheme="majorHAnsi" w:cstheme="majorHAnsi"/>
          <w:sz w:val="24"/>
          <w:szCs w:val="24"/>
          <w:lang w:val="ro-MD"/>
        </w:rPr>
        <w:t xml:space="preserve">circumstanțele familiei. Celelalte iregularități (1,5%) </w:t>
      </w:r>
      <w:r w:rsidR="00711DD9" w:rsidRPr="00653E85">
        <w:rPr>
          <w:rFonts w:asciiTheme="majorHAnsi" w:hAnsiTheme="majorHAnsi" w:cstheme="majorHAnsi"/>
          <w:sz w:val="24"/>
          <w:szCs w:val="24"/>
          <w:lang w:val="ro-MD"/>
        </w:rPr>
        <w:t xml:space="preserve">au fost </w:t>
      </w:r>
      <w:r w:rsidRPr="00653E85">
        <w:rPr>
          <w:rFonts w:asciiTheme="majorHAnsi" w:hAnsiTheme="majorHAnsi" w:cstheme="majorHAnsi"/>
          <w:sz w:val="24"/>
          <w:szCs w:val="24"/>
          <w:lang w:val="ro-MD"/>
        </w:rPr>
        <w:t xml:space="preserve">de tip administrativ, dintre care majoritatea sunt comise de factorii responsabili din cadrul Direcțiilor asistență socială și protecție a familiei în procesul de acordare și plată a AS și APRA </w:t>
      </w:r>
      <w:r w:rsidRPr="00B7675F">
        <w:rPr>
          <w:rFonts w:asciiTheme="majorHAnsi" w:hAnsiTheme="majorHAnsi" w:cstheme="majorHAnsi"/>
          <w:sz w:val="24"/>
          <w:szCs w:val="24"/>
          <w:lang w:val="ro-MD"/>
        </w:rPr>
        <w:t>ș</w:t>
      </w:r>
      <w:r w:rsidRPr="0038225D">
        <w:rPr>
          <w:rFonts w:asciiTheme="majorHAnsi" w:hAnsiTheme="majorHAnsi" w:cstheme="majorHAnsi"/>
          <w:sz w:val="24"/>
          <w:szCs w:val="24"/>
          <w:lang w:val="ro-MD"/>
        </w:rPr>
        <w:t xml:space="preserve">i </w:t>
      </w:r>
      <w:r w:rsidRPr="00653E85">
        <w:rPr>
          <w:rFonts w:asciiTheme="majorHAnsi" w:hAnsiTheme="majorHAnsi" w:cstheme="majorHAnsi"/>
          <w:sz w:val="24"/>
          <w:szCs w:val="24"/>
          <w:lang w:val="ro-MD"/>
        </w:rPr>
        <w:t>mai puțin comise de către autoritățile publice locale care le-au acordat.</w:t>
      </w:r>
    </w:p>
    <w:p w14:paraId="5DB9B664" w14:textId="4B5611F3" w:rsidR="001F56F8" w:rsidRPr="00653E85" w:rsidRDefault="001F56F8" w:rsidP="001F56F8">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Totodată, cu privire la restituirea sumelor încasate necuvenit pentru aceste prestații, se înregistrează un nivel redus de rambursare, nivelul fiind influențat inclusiv de categoria vulnerabilă de beneficiari. Astfel, din suma totală înaintată spre restituire în anul 2022, au fost restituite 701,2 mii lei, ceea ce constituie 28,4%. De asemenea, pe parcursul anului 2022 au fost restituite mijloace financiare în sumă totală de 5562,9 mii lei</w:t>
      </w:r>
      <w:r w:rsidR="00711DD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în temeiul recomandărilor înaintate în anii precedenți (2017-2021). Prin urmare, în an</w:t>
      </w:r>
      <w:r w:rsidR="001C61F8" w:rsidRPr="00653E85">
        <w:rPr>
          <w:rFonts w:asciiTheme="majorHAnsi" w:hAnsiTheme="majorHAnsi" w:cstheme="majorHAnsi"/>
          <w:sz w:val="24"/>
          <w:szCs w:val="24"/>
          <w:lang w:val="ro-MD"/>
        </w:rPr>
        <w:t>ii</w:t>
      </w:r>
      <w:r w:rsidRPr="00653E85">
        <w:rPr>
          <w:rFonts w:asciiTheme="majorHAnsi" w:hAnsiTheme="majorHAnsi" w:cstheme="majorHAnsi"/>
          <w:sz w:val="24"/>
          <w:szCs w:val="24"/>
          <w:lang w:val="ro-MD"/>
        </w:rPr>
        <w:t xml:space="preserve"> </w:t>
      </w:r>
      <w:r w:rsidR="001C61F8" w:rsidRPr="00653E85">
        <w:rPr>
          <w:rFonts w:asciiTheme="majorHAnsi" w:hAnsiTheme="majorHAnsi" w:cstheme="majorHAnsi"/>
          <w:sz w:val="24"/>
          <w:szCs w:val="24"/>
          <w:lang w:val="ro-MD"/>
        </w:rPr>
        <w:t>2017-</w:t>
      </w:r>
      <w:r w:rsidRPr="00653E85">
        <w:rPr>
          <w:rFonts w:asciiTheme="majorHAnsi" w:hAnsiTheme="majorHAnsi" w:cstheme="majorHAnsi"/>
          <w:sz w:val="24"/>
          <w:szCs w:val="24"/>
          <w:lang w:val="ro-MD"/>
        </w:rPr>
        <w:t>2022 a fost restituită suma de 6</w:t>
      </w:r>
      <w:r w:rsidR="00275CED"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267,1 mii lei din totalul de 11 729,8 mii lei propus spre restituire în anii 2017-2022, ceea ce constituie 53,4%, situație redată în tabelul de mai jos.</w:t>
      </w:r>
      <w:r w:rsidRPr="00653E85">
        <w:rPr>
          <w:rFonts w:asciiTheme="majorHAnsi" w:hAnsiTheme="majorHAnsi" w:cstheme="majorHAnsi"/>
          <w:sz w:val="24"/>
          <w:szCs w:val="24"/>
          <w:lang w:val="ro-MD"/>
        </w:rPr>
        <w:tab/>
      </w:r>
      <w:r w:rsidRPr="00653E85">
        <w:rPr>
          <w:rFonts w:asciiTheme="majorHAnsi" w:hAnsiTheme="majorHAnsi" w:cstheme="majorHAnsi"/>
          <w:sz w:val="24"/>
          <w:szCs w:val="24"/>
          <w:lang w:val="ro-MD"/>
        </w:rPr>
        <w:tab/>
      </w:r>
    </w:p>
    <w:p w14:paraId="3897112A" w14:textId="1E35A844" w:rsidR="001F56F8" w:rsidRPr="00653E85" w:rsidRDefault="001F56F8" w:rsidP="001F56F8">
      <w:pPr>
        <w:spacing w:after="0" w:line="276" w:lineRule="auto"/>
        <w:jc w:val="right"/>
        <w:rPr>
          <w:rFonts w:asciiTheme="majorHAnsi" w:hAnsiTheme="majorHAnsi" w:cstheme="majorHAnsi"/>
          <w:b/>
          <w:sz w:val="24"/>
          <w:szCs w:val="24"/>
          <w:lang w:val="ro-MD"/>
        </w:rPr>
      </w:pPr>
      <w:r w:rsidRPr="00653E85">
        <w:rPr>
          <w:rFonts w:asciiTheme="majorHAnsi" w:hAnsiTheme="majorHAnsi" w:cstheme="majorHAnsi"/>
          <w:b/>
          <w:sz w:val="24"/>
          <w:szCs w:val="24"/>
          <w:lang w:val="ro-MD"/>
        </w:rPr>
        <w:t>Tabel</w:t>
      </w:r>
      <w:r w:rsidR="00711DD9" w:rsidRPr="00653E85">
        <w:rPr>
          <w:rFonts w:asciiTheme="majorHAnsi" w:hAnsiTheme="majorHAnsi" w:cstheme="majorHAnsi"/>
          <w:b/>
          <w:sz w:val="24"/>
          <w:szCs w:val="24"/>
          <w:lang w:val="ro-MD"/>
        </w:rPr>
        <w:t>ul</w:t>
      </w:r>
      <w:r w:rsidRPr="00653E85">
        <w:rPr>
          <w:rFonts w:asciiTheme="majorHAnsi" w:hAnsiTheme="majorHAnsi" w:cstheme="majorHAnsi"/>
          <w:b/>
          <w:sz w:val="24"/>
          <w:szCs w:val="24"/>
          <w:lang w:val="ro-MD"/>
        </w:rPr>
        <w:t xml:space="preserve"> nr.</w:t>
      </w:r>
      <w:r w:rsidR="008D1DF2" w:rsidRPr="00653E85">
        <w:rPr>
          <w:rFonts w:asciiTheme="majorHAnsi" w:hAnsiTheme="majorHAnsi" w:cstheme="majorHAnsi"/>
          <w:b/>
          <w:sz w:val="24"/>
          <w:szCs w:val="24"/>
          <w:lang w:val="ro-MD"/>
        </w:rPr>
        <w:t>12</w:t>
      </w:r>
    </w:p>
    <w:p w14:paraId="167A553F" w14:textId="59D99E05" w:rsidR="001F56F8" w:rsidRPr="00653E85" w:rsidRDefault="001F56F8" w:rsidP="001F56F8">
      <w:pPr>
        <w:spacing w:after="0" w:line="276" w:lineRule="auto"/>
        <w:jc w:val="center"/>
        <w:rPr>
          <w:rFonts w:asciiTheme="majorHAnsi" w:hAnsiTheme="majorHAnsi" w:cstheme="majorHAnsi"/>
          <w:b/>
          <w:sz w:val="24"/>
          <w:szCs w:val="24"/>
          <w:lang w:val="ro-MD"/>
        </w:rPr>
      </w:pPr>
      <w:r w:rsidRPr="00653E85">
        <w:rPr>
          <w:rFonts w:asciiTheme="majorHAnsi" w:hAnsiTheme="majorHAnsi" w:cstheme="majorHAnsi"/>
          <w:b/>
          <w:sz w:val="24"/>
          <w:szCs w:val="24"/>
          <w:lang w:val="ro-MD"/>
        </w:rPr>
        <w:t xml:space="preserve">Analiza sumelor </w:t>
      </w:r>
      <w:r w:rsidR="004D6A3C" w:rsidRPr="00653E85">
        <w:rPr>
          <w:rFonts w:asciiTheme="majorHAnsi" w:hAnsiTheme="majorHAnsi" w:cstheme="majorHAnsi"/>
          <w:b/>
          <w:sz w:val="24"/>
          <w:szCs w:val="24"/>
          <w:lang w:val="ro-MD"/>
        </w:rPr>
        <w:t xml:space="preserve">aferente </w:t>
      </w:r>
      <w:r w:rsidRPr="00653E85">
        <w:rPr>
          <w:rFonts w:asciiTheme="majorHAnsi" w:hAnsiTheme="majorHAnsi" w:cstheme="majorHAnsi"/>
          <w:b/>
          <w:sz w:val="24"/>
          <w:szCs w:val="24"/>
          <w:lang w:val="ro-MD"/>
        </w:rPr>
        <w:t>ajutoarelor sociale și ajutoarelor pentru perioada rece a anului,</w:t>
      </w:r>
      <w:r w:rsidR="00CC1994" w:rsidRPr="00653E85">
        <w:rPr>
          <w:rFonts w:asciiTheme="majorHAnsi" w:hAnsiTheme="majorHAnsi" w:cstheme="majorHAnsi"/>
          <w:b/>
          <w:sz w:val="24"/>
          <w:szCs w:val="24"/>
          <w:lang w:val="ro-MD"/>
        </w:rPr>
        <w:t xml:space="preserve"> restituite în anul 2022,</w:t>
      </w:r>
      <w:r w:rsidRPr="00653E85">
        <w:rPr>
          <w:rFonts w:asciiTheme="majorHAnsi" w:hAnsiTheme="majorHAnsi" w:cstheme="majorHAnsi"/>
          <w:b/>
          <w:sz w:val="24"/>
          <w:szCs w:val="24"/>
          <w:lang w:val="ro-MD"/>
        </w:rPr>
        <w:t xml:space="preserve"> care au fost achitate necuvenit în ani</w:t>
      </w:r>
      <w:r w:rsidR="004D6A3C" w:rsidRPr="00653E85">
        <w:rPr>
          <w:rFonts w:asciiTheme="majorHAnsi" w:hAnsiTheme="majorHAnsi" w:cstheme="majorHAnsi"/>
          <w:b/>
          <w:sz w:val="24"/>
          <w:szCs w:val="24"/>
          <w:lang w:val="ro-MD"/>
        </w:rPr>
        <w:t>i</w:t>
      </w:r>
      <w:r w:rsidRPr="00653E85">
        <w:rPr>
          <w:rFonts w:asciiTheme="majorHAnsi" w:hAnsiTheme="majorHAnsi" w:cstheme="majorHAnsi"/>
          <w:b/>
          <w:sz w:val="24"/>
          <w:szCs w:val="24"/>
          <w:lang w:val="ro-MD"/>
        </w:rPr>
        <w:t xml:space="preserve"> 201</w:t>
      </w:r>
      <w:r w:rsidR="00A05222" w:rsidRPr="00653E85">
        <w:rPr>
          <w:rFonts w:asciiTheme="majorHAnsi" w:hAnsiTheme="majorHAnsi" w:cstheme="majorHAnsi"/>
          <w:b/>
          <w:sz w:val="24"/>
          <w:szCs w:val="24"/>
          <w:lang w:val="ro-MD"/>
        </w:rPr>
        <w:t>7</w:t>
      </w:r>
      <w:r w:rsidRPr="00653E85">
        <w:rPr>
          <w:rFonts w:asciiTheme="majorHAnsi" w:hAnsiTheme="majorHAnsi" w:cstheme="majorHAnsi"/>
          <w:b/>
          <w:sz w:val="24"/>
          <w:szCs w:val="24"/>
          <w:lang w:val="ro-MD"/>
        </w:rPr>
        <w:t>-202</w:t>
      </w:r>
      <w:r w:rsidR="00A05222" w:rsidRPr="00653E85">
        <w:rPr>
          <w:rFonts w:asciiTheme="majorHAnsi" w:hAnsiTheme="majorHAnsi" w:cstheme="majorHAnsi"/>
          <w:b/>
          <w:sz w:val="24"/>
          <w:szCs w:val="24"/>
          <w:lang w:val="ro-MD"/>
        </w:rPr>
        <w:t xml:space="preserve">2 </w:t>
      </w:r>
      <w:r w:rsidRPr="00653E85">
        <w:rPr>
          <w:rFonts w:asciiTheme="majorHAnsi" w:hAnsiTheme="majorHAnsi" w:cstheme="majorHAnsi"/>
          <w:b/>
          <w:sz w:val="24"/>
          <w:szCs w:val="24"/>
          <w:lang w:val="ro-MD"/>
        </w:rPr>
        <w:t xml:space="preserve"> </w:t>
      </w:r>
    </w:p>
    <w:tbl>
      <w:tblPr>
        <w:tblW w:w="9653" w:type="dxa"/>
        <w:tblInd w:w="-5" w:type="dxa"/>
        <w:tblLook w:val="04A0" w:firstRow="1" w:lastRow="0" w:firstColumn="1" w:lastColumn="0" w:noHBand="0" w:noVBand="1"/>
      </w:tblPr>
      <w:tblGrid>
        <w:gridCol w:w="1853"/>
        <w:gridCol w:w="2268"/>
        <w:gridCol w:w="1798"/>
        <w:gridCol w:w="1715"/>
        <w:gridCol w:w="2019"/>
      </w:tblGrid>
      <w:tr w:rsidR="001F56F8" w:rsidRPr="00B7675F" w14:paraId="082A3375" w14:textId="77777777" w:rsidTr="00275CED">
        <w:trPr>
          <w:trHeight w:val="774"/>
        </w:trPr>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83AA4" w14:textId="77777777" w:rsidR="001F56F8" w:rsidRPr="00653E85" w:rsidRDefault="001F56F8" w:rsidP="00275CED">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Anul</w:t>
            </w:r>
          </w:p>
          <w:p w14:paraId="6E251552" w14:textId="5C719183" w:rsidR="00275CED" w:rsidRPr="00653E85" w:rsidRDefault="00275CED" w:rsidP="00275CED">
            <w:pPr>
              <w:spacing w:after="0" w:line="240" w:lineRule="auto"/>
              <w:jc w:val="center"/>
              <w:rPr>
                <w:rFonts w:ascii="Calibri Light" w:eastAsia="Times New Roman" w:hAnsi="Calibri Light" w:cs="Calibri Light"/>
                <w:b/>
                <w:bCs/>
                <w:color w:val="000000"/>
                <w:sz w:val="24"/>
                <w:szCs w:val="24"/>
                <w:lang w:val="ro-MD"/>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FAFD6EA" w14:textId="27FFAF08" w:rsidR="001F56F8" w:rsidRPr="00653E85" w:rsidRDefault="001F56F8" w:rsidP="00275CED">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Suma propusă spre restituire</w:t>
            </w:r>
            <w:r w:rsidR="00A05222" w:rsidRPr="00653E85">
              <w:rPr>
                <w:rFonts w:ascii="Calibri Light" w:eastAsia="Times New Roman" w:hAnsi="Calibri Light" w:cs="Calibri Light"/>
                <w:b/>
                <w:bCs/>
                <w:color w:val="000000"/>
                <w:sz w:val="24"/>
                <w:szCs w:val="24"/>
                <w:lang w:val="ro-MD"/>
              </w:rPr>
              <w:t>, mii lei</w:t>
            </w:r>
          </w:p>
        </w:tc>
        <w:tc>
          <w:tcPr>
            <w:tcW w:w="1798" w:type="dxa"/>
            <w:tcBorders>
              <w:top w:val="single" w:sz="4" w:space="0" w:color="auto"/>
              <w:left w:val="nil"/>
              <w:bottom w:val="single" w:sz="4" w:space="0" w:color="auto"/>
              <w:right w:val="single" w:sz="4" w:space="0" w:color="auto"/>
            </w:tcBorders>
            <w:shd w:val="clear" w:color="auto" w:fill="auto"/>
            <w:vAlign w:val="center"/>
            <w:hideMark/>
          </w:tcPr>
          <w:p w14:paraId="37D486AE" w14:textId="2304AB86" w:rsidR="001F56F8" w:rsidRPr="00653E85" w:rsidRDefault="001F56F8" w:rsidP="00275CED">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Total restituit</w:t>
            </w:r>
            <w:r w:rsidR="00A05222" w:rsidRPr="00653E85">
              <w:rPr>
                <w:rFonts w:ascii="Calibri Light" w:eastAsia="Times New Roman" w:hAnsi="Calibri Light" w:cs="Calibri Light"/>
                <w:b/>
                <w:bCs/>
                <w:color w:val="000000"/>
                <w:sz w:val="24"/>
                <w:szCs w:val="24"/>
                <w:lang w:val="ro-MD"/>
              </w:rPr>
              <w:t>, mii lei</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14:paraId="56C33160" w14:textId="77777777" w:rsidR="004301C6" w:rsidRPr="00653E85" w:rsidRDefault="001F56F8" w:rsidP="00275CED">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Sold nerestituit</w:t>
            </w:r>
            <w:r w:rsidR="00A05222" w:rsidRPr="00653E85">
              <w:rPr>
                <w:rFonts w:ascii="Calibri Light" w:eastAsia="Times New Roman" w:hAnsi="Calibri Light" w:cs="Calibri Light"/>
                <w:b/>
                <w:bCs/>
                <w:color w:val="000000"/>
                <w:sz w:val="24"/>
                <w:szCs w:val="24"/>
                <w:lang w:val="ro-MD"/>
              </w:rPr>
              <w:t xml:space="preserve">, </w:t>
            </w:r>
          </w:p>
          <w:p w14:paraId="6F3F9979" w14:textId="045E08A6" w:rsidR="001F56F8" w:rsidRPr="00653E85" w:rsidRDefault="00A05222" w:rsidP="00275CED">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mii lei</w:t>
            </w:r>
          </w:p>
        </w:tc>
        <w:tc>
          <w:tcPr>
            <w:tcW w:w="2019" w:type="dxa"/>
            <w:tcBorders>
              <w:top w:val="single" w:sz="4" w:space="0" w:color="auto"/>
              <w:left w:val="nil"/>
              <w:bottom w:val="single" w:sz="4" w:space="0" w:color="auto"/>
              <w:right w:val="single" w:sz="4" w:space="0" w:color="auto"/>
            </w:tcBorders>
            <w:shd w:val="clear" w:color="auto" w:fill="auto"/>
            <w:vAlign w:val="center"/>
            <w:hideMark/>
          </w:tcPr>
          <w:p w14:paraId="75EFB61B" w14:textId="3362A0A4" w:rsidR="001F56F8" w:rsidRPr="00653E85" w:rsidRDefault="001F56F8" w:rsidP="00275CED">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Rata de restituire</w:t>
            </w:r>
            <w:r w:rsidR="00A05222" w:rsidRPr="00653E85">
              <w:rPr>
                <w:rFonts w:ascii="Calibri Light" w:eastAsia="Times New Roman" w:hAnsi="Calibri Light" w:cs="Calibri Light"/>
                <w:b/>
                <w:bCs/>
                <w:color w:val="000000"/>
                <w:sz w:val="24"/>
                <w:szCs w:val="24"/>
                <w:lang w:val="ro-MD"/>
              </w:rPr>
              <w:t>, %</w:t>
            </w:r>
          </w:p>
        </w:tc>
      </w:tr>
      <w:tr w:rsidR="001F56F8" w:rsidRPr="00B7675F" w14:paraId="4E3F68E8"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5604B68A" w14:textId="77777777" w:rsidR="001F56F8" w:rsidRPr="00653E85" w:rsidRDefault="001F56F8" w:rsidP="00275CED">
            <w:pPr>
              <w:spacing w:after="0" w:line="240" w:lineRule="auto"/>
              <w:jc w:val="center"/>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2017</w:t>
            </w:r>
          </w:p>
        </w:tc>
        <w:tc>
          <w:tcPr>
            <w:tcW w:w="2268" w:type="dxa"/>
            <w:tcBorders>
              <w:top w:val="nil"/>
              <w:left w:val="nil"/>
              <w:bottom w:val="single" w:sz="4" w:space="0" w:color="auto"/>
              <w:right w:val="single" w:sz="4" w:space="0" w:color="auto"/>
            </w:tcBorders>
            <w:shd w:val="clear" w:color="auto" w:fill="auto"/>
            <w:noWrap/>
            <w:vAlign w:val="bottom"/>
            <w:hideMark/>
          </w:tcPr>
          <w:p w14:paraId="0DDBBE54" w14:textId="671E5634"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448,7</w:t>
            </w:r>
          </w:p>
        </w:tc>
        <w:tc>
          <w:tcPr>
            <w:tcW w:w="1798" w:type="dxa"/>
            <w:tcBorders>
              <w:top w:val="nil"/>
              <w:left w:val="nil"/>
              <w:bottom w:val="single" w:sz="4" w:space="0" w:color="auto"/>
              <w:right w:val="single" w:sz="4" w:space="0" w:color="auto"/>
            </w:tcBorders>
            <w:shd w:val="clear" w:color="auto" w:fill="auto"/>
            <w:noWrap/>
            <w:vAlign w:val="bottom"/>
            <w:hideMark/>
          </w:tcPr>
          <w:p w14:paraId="42214919"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954,1</w:t>
            </w:r>
          </w:p>
        </w:tc>
        <w:tc>
          <w:tcPr>
            <w:tcW w:w="1715" w:type="dxa"/>
            <w:tcBorders>
              <w:top w:val="nil"/>
              <w:left w:val="nil"/>
              <w:bottom w:val="single" w:sz="4" w:space="0" w:color="auto"/>
              <w:right w:val="single" w:sz="4" w:space="0" w:color="auto"/>
            </w:tcBorders>
            <w:shd w:val="clear" w:color="auto" w:fill="auto"/>
            <w:noWrap/>
            <w:vAlign w:val="bottom"/>
            <w:hideMark/>
          </w:tcPr>
          <w:p w14:paraId="11FE20D9"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494,6</w:t>
            </w:r>
          </w:p>
        </w:tc>
        <w:tc>
          <w:tcPr>
            <w:tcW w:w="2019" w:type="dxa"/>
            <w:tcBorders>
              <w:top w:val="nil"/>
              <w:left w:val="nil"/>
              <w:bottom w:val="single" w:sz="4" w:space="0" w:color="auto"/>
              <w:right w:val="single" w:sz="4" w:space="0" w:color="auto"/>
            </w:tcBorders>
            <w:shd w:val="clear" w:color="auto" w:fill="auto"/>
            <w:noWrap/>
            <w:vAlign w:val="bottom"/>
            <w:hideMark/>
          </w:tcPr>
          <w:p w14:paraId="5D3ED35C"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65,9%</w:t>
            </w:r>
          </w:p>
        </w:tc>
      </w:tr>
      <w:tr w:rsidR="001F56F8" w:rsidRPr="00B7675F" w14:paraId="5FEC181B"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71A8691D" w14:textId="77777777" w:rsidR="001F56F8" w:rsidRPr="00653E85" w:rsidRDefault="001F56F8" w:rsidP="00275CED">
            <w:pPr>
              <w:spacing w:after="0" w:line="240" w:lineRule="auto"/>
              <w:jc w:val="center"/>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2018</w:t>
            </w:r>
          </w:p>
        </w:tc>
        <w:tc>
          <w:tcPr>
            <w:tcW w:w="2268" w:type="dxa"/>
            <w:tcBorders>
              <w:top w:val="nil"/>
              <w:left w:val="nil"/>
              <w:bottom w:val="single" w:sz="4" w:space="0" w:color="auto"/>
              <w:right w:val="single" w:sz="4" w:space="0" w:color="auto"/>
            </w:tcBorders>
            <w:shd w:val="clear" w:color="auto" w:fill="auto"/>
            <w:noWrap/>
            <w:vAlign w:val="bottom"/>
            <w:hideMark/>
          </w:tcPr>
          <w:p w14:paraId="64D57FC2" w14:textId="11DE04AD"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239,8</w:t>
            </w:r>
          </w:p>
        </w:tc>
        <w:tc>
          <w:tcPr>
            <w:tcW w:w="1798" w:type="dxa"/>
            <w:tcBorders>
              <w:top w:val="nil"/>
              <w:left w:val="nil"/>
              <w:bottom w:val="single" w:sz="4" w:space="0" w:color="auto"/>
              <w:right w:val="single" w:sz="4" w:space="0" w:color="auto"/>
            </w:tcBorders>
            <w:shd w:val="clear" w:color="auto" w:fill="auto"/>
            <w:noWrap/>
            <w:vAlign w:val="bottom"/>
            <w:hideMark/>
          </w:tcPr>
          <w:p w14:paraId="6D9329FD"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837,9</w:t>
            </w:r>
          </w:p>
        </w:tc>
        <w:tc>
          <w:tcPr>
            <w:tcW w:w="1715" w:type="dxa"/>
            <w:tcBorders>
              <w:top w:val="nil"/>
              <w:left w:val="nil"/>
              <w:bottom w:val="single" w:sz="4" w:space="0" w:color="auto"/>
              <w:right w:val="single" w:sz="4" w:space="0" w:color="auto"/>
            </w:tcBorders>
            <w:shd w:val="clear" w:color="auto" w:fill="auto"/>
            <w:noWrap/>
            <w:vAlign w:val="bottom"/>
            <w:hideMark/>
          </w:tcPr>
          <w:p w14:paraId="41BEBA0F"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401,9</w:t>
            </w:r>
          </w:p>
        </w:tc>
        <w:tc>
          <w:tcPr>
            <w:tcW w:w="2019" w:type="dxa"/>
            <w:tcBorders>
              <w:top w:val="nil"/>
              <w:left w:val="nil"/>
              <w:bottom w:val="single" w:sz="4" w:space="0" w:color="auto"/>
              <w:right w:val="single" w:sz="4" w:space="0" w:color="auto"/>
            </w:tcBorders>
            <w:shd w:val="clear" w:color="auto" w:fill="auto"/>
            <w:noWrap/>
            <w:vAlign w:val="bottom"/>
            <w:hideMark/>
          </w:tcPr>
          <w:p w14:paraId="4CF4A1B2"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67,6%</w:t>
            </w:r>
          </w:p>
        </w:tc>
      </w:tr>
      <w:tr w:rsidR="001F56F8" w:rsidRPr="00B7675F" w14:paraId="104E0436"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7F65B9F8" w14:textId="77777777" w:rsidR="001F56F8" w:rsidRPr="00653E85" w:rsidRDefault="001F56F8" w:rsidP="00275CED">
            <w:pPr>
              <w:spacing w:after="0" w:line="240" w:lineRule="auto"/>
              <w:jc w:val="center"/>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2019</w:t>
            </w:r>
          </w:p>
        </w:tc>
        <w:tc>
          <w:tcPr>
            <w:tcW w:w="2268" w:type="dxa"/>
            <w:tcBorders>
              <w:top w:val="nil"/>
              <w:left w:val="nil"/>
              <w:bottom w:val="single" w:sz="4" w:space="0" w:color="auto"/>
              <w:right w:val="single" w:sz="4" w:space="0" w:color="auto"/>
            </w:tcBorders>
            <w:shd w:val="clear" w:color="auto" w:fill="auto"/>
            <w:noWrap/>
            <w:vAlign w:val="bottom"/>
            <w:hideMark/>
          </w:tcPr>
          <w:p w14:paraId="7C9C4A17" w14:textId="0D661706"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986,0</w:t>
            </w:r>
          </w:p>
        </w:tc>
        <w:tc>
          <w:tcPr>
            <w:tcW w:w="1798" w:type="dxa"/>
            <w:tcBorders>
              <w:top w:val="nil"/>
              <w:left w:val="nil"/>
              <w:bottom w:val="single" w:sz="4" w:space="0" w:color="auto"/>
              <w:right w:val="single" w:sz="4" w:space="0" w:color="auto"/>
            </w:tcBorders>
            <w:shd w:val="clear" w:color="auto" w:fill="auto"/>
            <w:noWrap/>
            <w:vAlign w:val="bottom"/>
            <w:hideMark/>
          </w:tcPr>
          <w:p w14:paraId="12D33CE2" w14:textId="4D95397B"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269,8</w:t>
            </w:r>
          </w:p>
        </w:tc>
        <w:tc>
          <w:tcPr>
            <w:tcW w:w="1715" w:type="dxa"/>
            <w:tcBorders>
              <w:top w:val="nil"/>
              <w:left w:val="nil"/>
              <w:bottom w:val="single" w:sz="4" w:space="0" w:color="auto"/>
              <w:right w:val="single" w:sz="4" w:space="0" w:color="auto"/>
            </w:tcBorders>
            <w:shd w:val="clear" w:color="auto" w:fill="auto"/>
            <w:noWrap/>
            <w:vAlign w:val="bottom"/>
            <w:hideMark/>
          </w:tcPr>
          <w:p w14:paraId="4CD36C90"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716,2</w:t>
            </w:r>
          </w:p>
        </w:tc>
        <w:tc>
          <w:tcPr>
            <w:tcW w:w="2019" w:type="dxa"/>
            <w:tcBorders>
              <w:top w:val="nil"/>
              <w:left w:val="nil"/>
              <w:bottom w:val="single" w:sz="4" w:space="0" w:color="auto"/>
              <w:right w:val="single" w:sz="4" w:space="0" w:color="auto"/>
            </w:tcBorders>
            <w:shd w:val="clear" w:color="auto" w:fill="auto"/>
            <w:noWrap/>
            <w:vAlign w:val="bottom"/>
            <w:hideMark/>
          </w:tcPr>
          <w:p w14:paraId="65F8AE92"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63,9%</w:t>
            </w:r>
          </w:p>
        </w:tc>
      </w:tr>
      <w:tr w:rsidR="001F56F8" w:rsidRPr="00B7675F" w14:paraId="6F84B9B8"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1C04580C" w14:textId="77777777" w:rsidR="001F56F8" w:rsidRPr="00653E85" w:rsidRDefault="001F56F8" w:rsidP="00275CED">
            <w:pPr>
              <w:spacing w:after="0" w:line="240" w:lineRule="auto"/>
              <w:jc w:val="center"/>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2020</w:t>
            </w:r>
          </w:p>
        </w:tc>
        <w:tc>
          <w:tcPr>
            <w:tcW w:w="2268" w:type="dxa"/>
            <w:tcBorders>
              <w:top w:val="nil"/>
              <w:left w:val="nil"/>
              <w:bottom w:val="single" w:sz="4" w:space="0" w:color="auto"/>
              <w:right w:val="single" w:sz="4" w:space="0" w:color="auto"/>
            </w:tcBorders>
            <w:shd w:val="clear" w:color="auto" w:fill="auto"/>
            <w:noWrap/>
            <w:vAlign w:val="bottom"/>
            <w:hideMark/>
          </w:tcPr>
          <w:p w14:paraId="6DB28253" w14:textId="208E012C"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199,6</w:t>
            </w:r>
          </w:p>
        </w:tc>
        <w:tc>
          <w:tcPr>
            <w:tcW w:w="1798" w:type="dxa"/>
            <w:tcBorders>
              <w:top w:val="nil"/>
              <w:left w:val="nil"/>
              <w:bottom w:val="single" w:sz="4" w:space="0" w:color="auto"/>
              <w:right w:val="single" w:sz="4" w:space="0" w:color="auto"/>
            </w:tcBorders>
            <w:shd w:val="clear" w:color="auto" w:fill="auto"/>
            <w:noWrap/>
            <w:vAlign w:val="bottom"/>
            <w:hideMark/>
          </w:tcPr>
          <w:p w14:paraId="743E8C4E" w14:textId="70CAF235"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411,2</w:t>
            </w:r>
          </w:p>
        </w:tc>
        <w:tc>
          <w:tcPr>
            <w:tcW w:w="1715" w:type="dxa"/>
            <w:tcBorders>
              <w:top w:val="nil"/>
              <w:left w:val="nil"/>
              <w:bottom w:val="single" w:sz="4" w:space="0" w:color="auto"/>
              <w:right w:val="single" w:sz="4" w:space="0" w:color="auto"/>
            </w:tcBorders>
            <w:shd w:val="clear" w:color="auto" w:fill="auto"/>
            <w:noWrap/>
            <w:vAlign w:val="bottom"/>
            <w:hideMark/>
          </w:tcPr>
          <w:p w14:paraId="1E998ABE"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788,4</w:t>
            </w:r>
          </w:p>
        </w:tc>
        <w:tc>
          <w:tcPr>
            <w:tcW w:w="2019" w:type="dxa"/>
            <w:tcBorders>
              <w:top w:val="nil"/>
              <w:left w:val="nil"/>
              <w:bottom w:val="single" w:sz="4" w:space="0" w:color="auto"/>
              <w:right w:val="single" w:sz="4" w:space="0" w:color="auto"/>
            </w:tcBorders>
            <w:shd w:val="clear" w:color="auto" w:fill="auto"/>
            <w:noWrap/>
            <w:vAlign w:val="bottom"/>
            <w:hideMark/>
          </w:tcPr>
          <w:p w14:paraId="036C5EFD"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64,2%</w:t>
            </w:r>
          </w:p>
        </w:tc>
      </w:tr>
      <w:tr w:rsidR="001F56F8" w:rsidRPr="00B7675F" w14:paraId="5625905B"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51D5AF52" w14:textId="77777777" w:rsidR="001F56F8" w:rsidRPr="00653E85" w:rsidRDefault="001F56F8" w:rsidP="00275CED">
            <w:pPr>
              <w:spacing w:after="0" w:line="240" w:lineRule="auto"/>
              <w:jc w:val="center"/>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2021</w:t>
            </w:r>
          </w:p>
        </w:tc>
        <w:tc>
          <w:tcPr>
            <w:tcW w:w="2268" w:type="dxa"/>
            <w:tcBorders>
              <w:top w:val="nil"/>
              <w:left w:val="nil"/>
              <w:bottom w:val="single" w:sz="4" w:space="0" w:color="auto"/>
              <w:right w:val="single" w:sz="4" w:space="0" w:color="auto"/>
            </w:tcBorders>
            <w:shd w:val="clear" w:color="auto" w:fill="auto"/>
            <w:noWrap/>
            <w:vAlign w:val="bottom"/>
            <w:hideMark/>
          </w:tcPr>
          <w:p w14:paraId="0DB3B0C9" w14:textId="02CFAD1C"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387,7</w:t>
            </w:r>
          </w:p>
        </w:tc>
        <w:tc>
          <w:tcPr>
            <w:tcW w:w="1798" w:type="dxa"/>
            <w:tcBorders>
              <w:top w:val="nil"/>
              <w:left w:val="nil"/>
              <w:bottom w:val="single" w:sz="4" w:space="0" w:color="auto"/>
              <w:right w:val="single" w:sz="4" w:space="0" w:color="auto"/>
            </w:tcBorders>
            <w:shd w:val="clear" w:color="auto" w:fill="auto"/>
            <w:noWrap/>
            <w:vAlign w:val="bottom"/>
            <w:hideMark/>
          </w:tcPr>
          <w:p w14:paraId="4191DA3F" w14:textId="34BAC2E1"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092,9</w:t>
            </w:r>
          </w:p>
        </w:tc>
        <w:tc>
          <w:tcPr>
            <w:tcW w:w="1715" w:type="dxa"/>
            <w:tcBorders>
              <w:top w:val="nil"/>
              <w:left w:val="nil"/>
              <w:bottom w:val="single" w:sz="4" w:space="0" w:color="auto"/>
              <w:right w:val="single" w:sz="4" w:space="0" w:color="auto"/>
            </w:tcBorders>
            <w:shd w:val="clear" w:color="auto" w:fill="auto"/>
            <w:noWrap/>
            <w:vAlign w:val="bottom"/>
            <w:hideMark/>
          </w:tcPr>
          <w:p w14:paraId="136E8AD1" w14:textId="6BA67078"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294,8</w:t>
            </w:r>
          </w:p>
        </w:tc>
        <w:tc>
          <w:tcPr>
            <w:tcW w:w="2019" w:type="dxa"/>
            <w:tcBorders>
              <w:top w:val="nil"/>
              <w:left w:val="nil"/>
              <w:bottom w:val="single" w:sz="4" w:space="0" w:color="auto"/>
              <w:right w:val="single" w:sz="4" w:space="0" w:color="auto"/>
            </w:tcBorders>
            <w:shd w:val="clear" w:color="auto" w:fill="auto"/>
            <w:noWrap/>
            <w:vAlign w:val="bottom"/>
            <w:hideMark/>
          </w:tcPr>
          <w:p w14:paraId="12D024EF"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45,8%</w:t>
            </w:r>
          </w:p>
        </w:tc>
      </w:tr>
      <w:tr w:rsidR="001F56F8" w:rsidRPr="00B7675F" w14:paraId="29F33799"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7A1FE15A" w14:textId="77777777" w:rsidR="001F56F8" w:rsidRPr="00653E85" w:rsidRDefault="001F56F8" w:rsidP="00275CED">
            <w:pPr>
              <w:spacing w:after="0" w:line="240" w:lineRule="auto"/>
              <w:jc w:val="center"/>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2022</w:t>
            </w:r>
          </w:p>
        </w:tc>
        <w:tc>
          <w:tcPr>
            <w:tcW w:w="2268" w:type="dxa"/>
            <w:tcBorders>
              <w:top w:val="nil"/>
              <w:left w:val="nil"/>
              <w:bottom w:val="single" w:sz="4" w:space="0" w:color="auto"/>
              <w:right w:val="single" w:sz="4" w:space="0" w:color="auto"/>
            </w:tcBorders>
            <w:shd w:val="clear" w:color="auto" w:fill="auto"/>
            <w:noWrap/>
            <w:vAlign w:val="bottom"/>
            <w:hideMark/>
          </w:tcPr>
          <w:p w14:paraId="341521EC" w14:textId="7430C085"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468,0</w:t>
            </w:r>
          </w:p>
        </w:tc>
        <w:tc>
          <w:tcPr>
            <w:tcW w:w="1798" w:type="dxa"/>
            <w:tcBorders>
              <w:top w:val="nil"/>
              <w:left w:val="nil"/>
              <w:bottom w:val="single" w:sz="4" w:space="0" w:color="auto"/>
              <w:right w:val="single" w:sz="4" w:space="0" w:color="auto"/>
            </w:tcBorders>
            <w:shd w:val="clear" w:color="auto" w:fill="auto"/>
            <w:noWrap/>
            <w:vAlign w:val="bottom"/>
            <w:hideMark/>
          </w:tcPr>
          <w:p w14:paraId="29C327B0"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701,2</w:t>
            </w:r>
          </w:p>
        </w:tc>
        <w:tc>
          <w:tcPr>
            <w:tcW w:w="1715" w:type="dxa"/>
            <w:tcBorders>
              <w:top w:val="nil"/>
              <w:left w:val="nil"/>
              <w:bottom w:val="single" w:sz="4" w:space="0" w:color="auto"/>
              <w:right w:val="single" w:sz="4" w:space="0" w:color="auto"/>
            </w:tcBorders>
            <w:shd w:val="clear" w:color="auto" w:fill="auto"/>
            <w:noWrap/>
            <w:vAlign w:val="bottom"/>
            <w:hideMark/>
          </w:tcPr>
          <w:p w14:paraId="3ED65352" w14:textId="6B35946B"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1</w:t>
            </w:r>
            <w:r w:rsidR="00275CED" w:rsidRPr="00653E85">
              <w:rPr>
                <w:rFonts w:ascii="Calibri Light" w:eastAsia="Times New Roman" w:hAnsi="Calibri Light" w:cs="Calibri Light"/>
                <w:color w:val="000000"/>
                <w:sz w:val="24"/>
                <w:szCs w:val="24"/>
                <w:lang w:val="ro-MD"/>
              </w:rPr>
              <w:t xml:space="preserve"> </w:t>
            </w:r>
            <w:r w:rsidRPr="00653E85">
              <w:rPr>
                <w:rFonts w:ascii="Calibri Light" w:eastAsia="Times New Roman" w:hAnsi="Calibri Light" w:cs="Calibri Light"/>
                <w:color w:val="000000"/>
                <w:sz w:val="24"/>
                <w:szCs w:val="24"/>
                <w:lang w:val="ro-MD"/>
              </w:rPr>
              <w:t>766,8</w:t>
            </w:r>
          </w:p>
        </w:tc>
        <w:tc>
          <w:tcPr>
            <w:tcW w:w="2019" w:type="dxa"/>
            <w:tcBorders>
              <w:top w:val="nil"/>
              <w:left w:val="nil"/>
              <w:bottom w:val="single" w:sz="4" w:space="0" w:color="auto"/>
              <w:right w:val="single" w:sz="4" w:space="0" w:color="auto"/>
            </w:tcBorders>
            <w:shd w:val="clear" w:color="auto" w:fill="auto"/>
            <w:noWrap/>
            <w:vAlign w:val="bottom"/>
            <w:hideMark/>
          </w:tcPr>
          <w:p w14:paraId="3F473619" w14:textId="77777777" w:rsidR="001F56F8" w:rsidRPr="00653E85" w:rsidRDefault="001F56F8" w:rsidP="00E03E91">
            <w:pPr>
              <w:spacing w:after="0" w:line="240" w:lineRule="auto"/>
              <w:jc w:val="right"/>
              <w:rPr>
                <w:rFonts w:ascii="Calibri Light" w:eastAsia="Times New Roman" w:hAnsi="Calibri Light" w:cs="Calibri Light"/>
                <w:color w:val="000000"/>
                <w:sz w:val="24"/>
                <w:szCs w:val="24"/>
                <w:lang w:val="ro-MD"/>
              </w:rPr>
            </w:pPr>
            <w:r w:rsidRPr="00653E85">
              <w:rPr>
                <w:rFonts w:ascii="Calibri Light" w:eastAsia="Times New Roman" w:hAnsi="Calibri Light" w:cs="Calibri Light"/>
                <w:color w:val="000000"/>
                <w:sz w:val="24"/>
                <w:szCs w:val="24"/>
                <w:lang w:val="ro-MD"/>
              </w:rPr>
              <w:t>28,4%</w:t>
            </w:r>
          </w:p>
        </w:tc>
      </w:tr>
      <w:tr w:rsidR="001F56F8" w:rsidRPr="00B7675F" w14:paraId="54228716" w14:textId="77777777" w:rsidTr="00E03E91">
        <w:trPr>
          <w:trHeight w:val="258"/>
        </w:trPr>
        <w:tc>
          <w:tcPr>
            <w:tcW w:w="1853" w:type="dxa"/>
            <w:tcBorders>
              <w:top w:val="nil"/>
              <w:left w:val="single" w:sz="4" w:space="0" w:color="auto"/>
              <w:bottom w:val="single" w:sz="4" w:space="0" w:color="auto"/>
              <w:right w:val="single" w:sz="4" w:space="0" w:color="auto"/>
            </w:tcBorders>
            <w:shd w:val="clear" w:color="auto" w:fill="auto"/>
            <w:noWrap/>
            <w:vAlign w:val="bottom"/>
            <w:hideMark/>
          </w:tcPr>
          <w:p w14:paraId="72A8AC3D" w14:textId="77777777" w:rsidR="001F56F8" w:rsidRPr="00653E85" w:rsidRDefault="001F56F8" w:rsidP="00E03E91">
            <w:pPr>
              <w:spacing w:after="0" w:line="240" w:lineRule="auto"/>
              <w:jc w:val="center"/>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Total</w:t>
            </w:r>
          </w:p>
        </w:tc>
        <w:tc>
          <w:tcPr>
            <w:tcW w:w="2268" w:type="dxa"/>
            <w:tcBorders>
              <w:top w:val="nil"/>
              <w:left w:val="nil"/>
              <w:bottom w:val="single" w:sz="4" w:space="0" w:color="auto"/>
              <w:right w:val="single" w:sz="4" w:space="0" w:color="auto"/>
            </w:tcBorders>
            <w:shd w:val="clear" w:color="auto" w:fill="auto"/>
            <w:noWrap/>
            <w:vAlign w:val="bottom"/>
            <w:hideMark/>
          </w:tcPr>
          <w:p w14:paraId="4BE4A130" w14:textId="0D5694C0" w:rsidR="001F56F8" w:rsidRPr="00653E85" w:rsidRDefault="001F56F8" w:rsidP="00E03E91">
            <w:pPr>
              <w:spacing w:after="0" w:line="240" w:lineRule="auto"/>
              <w:jc w:val="right"/>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11</w:t>
            </w:r>
            <w:r w:rsidR="00275CED" w:rsidRPr="00653E85">
              <w:rPr>
                <w:rFonts w:ascii="Calibri Light" w:eastAsia="Times New Roman" w:hAnsi="Calibri Light" w:cs="Calibri Light"/>
                <w:b/>
                <w:bCs/>
                <w:color w:val="000000"/>
                <w:sz w:val="24"/>
                <w:szCs w:val="24"/>
                <w:lang w:val="ro-MD"/>
              </w:rPr>
              <w:t xml:space="preserve"> </w:t>
            </w:r>
            <w:r w:rsidRPr="00653E85">
              <w:rPr>
                <w:rFonts w:ascii="Calibri Light" w:eastAsia="Times New Roman" w:hAnsi="Calibri Light" w:cs="Calibri Light"/>
                <w:b/>
                <w:bCs/>
                <w:color w:val="000000"/>
                <w:sz w:val="24"/>
                <w:szCs w:val="24"/>
                <w:lang w:val="ro-MD"/>
              </w:rPr>
              <w:t>729,8</w:t>
            </w:r>
          </w:p>
        </w:tc>
        <w:tc>
          <w:tcPr>
            <w:tcW w:w="1798" w:type="dxa"/>
            <w:tcBorders>
              <w:top w:val="nil"/>
              <w:left w:val="nil"/>
              <w:bottom w:val="single" w:sz="4" w:space="0" w:color="auto"/>
              <w:right w:val="single" w:sz="4" w:space="0" w:color="auto"/>
            </w:tcBorders>
            <w:shd w:val="clear" w:color="auto" w:fill="auto"/>
            <w:noWrap/>
            <w:vAlign w:val="bottom"/>
            <w:hideMark/>
          </w:tcPr>
          <w:p w14:paraId="1D088030" w14:textId="7BD313AB" w:rsidR="001F56F8" w:rsidRPr="00653E85" w:rsidRDefault="001F56F8" w:rsidP="00E03E91">
            <w:pPr>
              <w:spacing w:after="0" w:line="240" w:lineRule="auto"/>
              <w:jc w:val="right"/>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6</w:t>
            </w:r>
            <w:r w:rsidR="00275CED" w:rsidRPr="00653E85">
              <w:rPr>
                <w:rFonts w:ascii="Calibri Light" w:eastAsia="Times New Roman" w:hAnsi="Calibri Light" w:cs="Calibri Light"/>
                <w:b/>
                <w:bCs/>
                <w:color w:val="000000"/>
                <w:sz w:val="24"/>
                <w:szCs w:val="24"/>
                <w:lang w:val="ro-MD"/>
              </w:rPr>
              <w:t xml:space="preserve"> </w:t>
            </w:r>
            <w:r w:rsidRPr="00653E85">
              <w:rPr>
                <w:rFonts w:ascii="Calibri Light" w:eastAsia="Times New Roman" w:hAnsi="Calibri Light" w:cs="Calibri Light"/>
                <w:b/>
                <w:bCs/>
                <w:color w:val="000000"/>
                <w:sz w:val="24"/>
                <w:szCs w:val="24"/>
                <w:lang w:val="ro-MD"/>
              </w:rPr>
              <w:t>267,1</w:t>
            </w:r>
          </w:p>
        </w:tc>
        <w:tc>
          <w:tcPr>
            <w:tcW w:w="1715" w:type="dxa"/>
            <w:tcBorders>
              <w:top w:val="nil"/>
              <w:left w:val="nil"/>
              <w:bottom w:val="single" w:sz="4" w:space="0" w:color="auto"/>
              <w:right w:val="single" w:sz="4" w:space="0" w:color="auto"/>
            </w:tcBorders>
            <w:shd w:val="clear" w:color="auto" w:fill="auto"/>
            <w:noWrap/>
            <w:vAlign w:val="bottom"/>
            <w:hideMark/>
          </w:tcPr>
          <w:p w14:paraId="6A2A6B6E" w14:textId="018BAB36" w:rsidR="001F56F8" w:rsidRPr="00653E85" w:rsidRDefault="001F56F8" w:rsidP="00E03E91">
            <w:pPr>
              <w:spacing w:after="0" w:line="240" w:lineRule="auto"/>
              <w:jc w:val="right"/>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5</w:t>
            </w:r>
            <w:r w:rsidR="00275CED" w:rsidRPr="00653E85">
              <w:rPr>
                <w:rFonts w:ascii="Calibri Light" w:eastAsia="Times New Roman" w:hAnsi="Calibri Light" w:cs="Calibri Light"/>
                <w:b/>
                <w:bCs/>
                <w:color w:val="000000"/>
                <w:sz w:val="24"/>
                <w:szCs w:val="24"/>
                <w:lang w:val="ro-MD"/>
              </w:rPr>
              <w:t xml:space="preserve"> </w:t>
            </w:r>
            <w:r w:rsidRPr="00653E85">
              <w:rPr>
                <w:rFonts w:ascii="Calibri Light" w:eastAsia="Times New Roman" w:hAnsi="Calibri Light" w:cs="Calibri Light"/>
                <w:b/>
                <w:bCs/>
                <w:color w:val="000000"/>
                <w:sz w:val="24"/>
                <w:szCs w:val="24"/>
                <w:lang w:val="ro-MD"/>
              </w:rPr>
              <w:t>462,7</w:t>
            </w:r>
          </w:p>
        </w:tc>
        <w:tc>
          <w:tcPr>
            <w:tcW w:w="2019" w:type="dxa"/>
            <w:tcBorders>
              <w:top w:val="nil"/>
              <w:left w:val="nil"/>
              <w:bottom w:val="single" w:sz="4" w:space="0" w:color="auto"/>
              <w:right w:val="single" w:sz="4" w:space="0" w:color="auto"/>
            </w:tcBorders>
            <w:shd w:val="clear" w:color="auto" w:fill="auto"/>
            <w:noWrap/>
            <w:vAlign w:val="bottom"/>
            <w:hideMark/>
          </w:tcPr>
          <w:p w14:paraId="78684B6D" w14:textId="77777777" w:rsidR="001F56F8" w:rsidRPr="00653E85" w:rsidRDefault="001F56F8" w:rsidP="00E03E91">
            <w:pPr>
              <w:spacing w:after="0" w:line="240" w:lineRule="auto"/>
              <w:jc w:val="right"/>
              <w:rPr>
                <w:rFonts w:ascii="Calibri Light" w:eastAsia="Times New Roman" w:hAnsi="Calibri Light" w:cs="Calibri Light"/>
                <w:b/>
                <w:bCs/>
                <w:color w:val="000000"/>
                <w:sz w:val="24"/>
                <w:szCs w:val="24"/>
                <w:lang w:val="ro-MD"/>
              </w:rPr>
            </w:pPr>
            <w:r w:rsidRPr="00653E85">
              <w:rPr>
                <w:rFonts w:ascii="Calibri Light" w:eastAsia="Times New Roman" w:hAnsi="Calibri Light" w:cs="Calibri Light"/>
                <w:b/>
                <w:bCs/>
                <w:color w:val="000000"/>
                <w:sz w:val="24"/>
                <w:szCs w:val="24"/>
                <w:lang w:val="ro-MD"/>
              </w:rPr>
              <w:t>53,4%</w:t>
            </w:r>
          </w:p>
        </w:tc>
      </w:tr>
    </w:tbl>
    <w:p w14:paraId="1E7408D8" w14:textId="0C90013B" w:rsidR="001F56F8" w:rsidRPr="00653E85" w:rsidRDefault="001F56F8" w:rsidP="001F56F8">
      <w:pPr>
        <w:shd w:val="clear" w:color="auto" w:fill="FFFFFF"/>
        <w:spacing w:after="0" w:line="276" w:lineRule="auto"/>
        <w:jc w:val="both"/>
        <w:rPr>
          <w:rFonts w:asciiTheme="majorHAnsi" w:hAnsiTheme="majorHAnsi" w:cstheme="majorHAnsi"/>
          <w:i/>
          <w:sz w:val="20"/>
          <w:szCs w:val="20"/>
          <w:lang w:val="ro-MD"/>
        </w:rPr>
      </w:pPr>
      <w:r w:rsidRPr="00653E85">
        <w:rPr>
          <w:rFonts w:asciiTheme="majorHAnsi" w:hAnsiTheme="majorHAnsi" w:cstheme="majorHAnsi"/>
          <w:i/>
          <w:sz w:val="20"/>
          <w:szCs w:val="20"/>
          <w:lang w:val="ro-MD"/>
        </w:rPr>
        <w:t>Sursa: Elaborat în baza informații</w:t>
      </w:r>
      <w:r w:rsidR="004D6A3C" w:rsidRPr="00653E85">
        <w:rPr>
          <w:rFonts w:asciiTheme="majorHAnsi" w:hAnsiTheme="majorHAnsi" w:cstheme="majorHAnsi"/>
          <w:i/>
          <w:sz w:val="20"/>
          <w:szCs w:val="20"/>
          <w:lang w:val="ro-MD"/>
        </w:rPr>
        <w:t>lor</w:t>
      </w:r>
      <w:r w:rsidRPr="00653E85">
        <w:rPr>
          <w:rFonts w:asciiTheme="majorHAnsi" w:hAnsiTheme="majorHAnsi" w:cstheme="majorHAnsi"/>
          <w:i/>
          <w:sz w:val="20"/>
          <w:szCs w:val="20"/>
          <w:lang w:val="ro-MD"/>
        </w:rPr>
        <w:t xml:space="preserve"> furnizate de Inspecția Socială</w:t>
      </w:r>
      <w:r w:rsidR="004D6A3C" w:rsidRPr="00653E85">
        <w:rPr>
          <w:rFonts w:asciiTheme="majorHAnsi" w:hAnsiTheme="majorHAnsi" w:cstheme="majorHAnsi"/>
          <w:i/>
          <w:sz w:val="20"/>
          <w:szCs w:val="20"/>
          <w:lang w:val="ro-MD"/>
        </w:rPr>
        <w:t>.</w:t>
      </w:r>
    </w:p>
    <w:p w14:paraId="6EDC8115" w14:textId="77777777" w:rsidR="00275CED" w:rsidRPr="00653E85" w:rsidRDefault="00275CED" w:rsidP="001F56F8">
      <w:pPr>
        <w:shd w:val="clear" w:color="auto" w:fill="FFFFFF"/>
        <w:spacing w:after="0" w:line="276" w:lineRule="auto"/>
        <w:jc w:val="both"/>
        <w:rPr>
          <w:rFonts w:asciiTheme="majorHAnsi" w:hAnsiTheme="majorHAnsi" w:cstheme="majorHAnsi"/>
          <w:i/>
          <w:sz w:val="24"/>
          <w:szCs w:val="24"/>
          <w:lang w:val="ro-MD"/>
        </w:rPr>
      </w:pPr>
    </w:p>
    <w:p w14:paraId="6483F67F" w14:textId="0B8BFEFE" w:rsidR="001F56F8" w:rsidRPr="00653E85" w:rsidRDefault="001F56F8" w:rsidP="001F56F8">
      <w:pPr>
        <w:shd w:val="clear" w:color="auto" w:fill="FFFFFF"/>
        <w:spacing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Pentru</w:t>
      </w:r>
      <w:r w:rsidRPr="00653E85">
        <w:rPr>
          <w:rFonts w:asciiTheme="majorHAnsi" w:hAnsiTheme="majorHAnsi" w:cstheme="majorHAnsi"/>
          <w:sz w:val="24"/>
          <w:szCs w:val="24"/>
          <w:lang w:val="ro-MD"/>
        </w:rPr>
        <w:t xml:space="preserve"> restituirea sumelor primite necuvenit, structura teritorială de asistență socială întocmește și prezintă Casei Naționale de Asigurări Sociale un demers privind restituirea sumelor, iar CNAS întocmește și transmite prestatorului de servicii de plată prin intermediul serviciului guvernamental de plăți electronice (MPay) decizia privind restituirea sumelor. În cazul în care sumele plăților necuvenite nu pot fi restituite de către prestatorul de servicii de plată, CNAS notifică despre aceast</w:t>
      </w:r>
      <w:r w:rsidR="00275CED" w:rsidRPr="00653E85">
        <w:rPr>
          <w:rFonts w:asciiTheme="majorHAnsi" w:hAnsiTheme="majorHAnsi" w:cstheme="majorHAnsi"/>
          <w:sz w:val="24"/>
          <w:szCs w:val="24"/>
          <w:lang w:val="ro-MD"/>
        </w:rPr>
        <w:t>a</w:t>
      </w:r>
      <w:r w:rsidRPr="00653E85">
        <w:rPr>
          <w:rFonts w:asciiTheme="majorHAnsi" w:hAnsiTheme="majorHAnsi" w:cstheme="majorHAnsi"/>
          <w:sz w:val="24"/>
          <w:szCs w:val="24"/>
          <w:lang w:val="ro-MD"/>
        </w:rPr>
        <w:t xml:space="preserve"> structur</w:t>
      </w:r>
      <w:r w:rsidR="00275CED" w:rsidRPr="00653E85">
        <w:rPr>
          <w:rFonts w:asciiTheme="majorHAnsi" w:hAnsiTheme="majorHAnsi" w:cstheme="majorHAnsi"/>
          <w:sz w:val="24"/>
          <w:szCs w:val="24"/>
          <w:lang w:val="ro-MD"/>
        </w:rPr>
        <w:t>a</w:t>
      </w:r>
      <w:r w:rsidRPr="00653E85">
        <w:rPr>
          <w:rFonts w:asciiTheme="majorHAnsi" w:hAnsiTheme="majorHAnsi" w:cstheme="majorHAnsi"/>
          <w:sz w:val="24"/>
          <w:szCs w:val="24"/>
          <w:lang w:val="ro-MD"/>
        </w:rPr>
        <w:t xml:space="preserve"> teritorială de asistență socială, care întreprinde măsurile ce se impun conform legislației, pentru recuperarea sumei de la persoana care le-a primit.</w:t>
      </w:r>
    </w:p>
    <w:p w14:paraId="35945089" w14:textId="446A3A93" w:rsidR="001F56F8" w:rsidRPr="00653E85" w:rsidRDefault="001F56F8" w:rsidP="001F56F8">
      <w:pPr>
        <w:shd w:val="clear" w:color="auto" w:fill="FFFFFF"/>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E</w:t>
      </w:r>
      <w:r w:rsidR="004D6A3C" w:rsidRPr="00653E85">
        <w:rPr>
          <w:rFonts w:asciiTheme="majorHAnsi" w:hAnsiTheme="majorHAnsi" w:cstheme="majorHAnsi"/>
          <w:sz w:val="24"/>
          <w:szCs w:val="24"/>
          <w:lang w:val="ro-MD"/>
        </w:rPr>
        <w:t>ste</w:t>
      </w:r>
      <w:r w:rsidRPr="00653E85">
        <w:rPr>
          <w:rFonts w:asciiTheme="majorHAnsi" w:hAnsiTheme="majorHAnsi" w:cstheme="majorHAnsi"/>
          <w:sz w:val="24"/>
          <w:szCs w:val="24"/>
          <w:lang w:val="ro-MD"/>
        </w:rPr>
        <w:t xml:space="preserve"> de menționat că în anul 2023, </w:t>
      </w:r>
      <w:r w:rsidRPr="00B7675F">
        <w:rPr>
          <w:rFonts w:asciiTheme="majorHAnsi" w:hAnsiTheme="majorHAnsi" w:cstheme="majorHAnsi"/>
          <w:sz w:val="24"/>
          <w:szCs w:val="24"/>
          <w:lang w:val="ro-MD"/>
        </w:rPr>
        <w:t>în scopul eficientizării mecanismului d</w:t>
      </w:r>
      <w:r w:rsidRPr="0038225D">
        <w:rPr>
          <w:rFonts w:asciiTheme="majorHAnsi" w:hAnsiTheme="majorHAnsi" w:cstheme="majorHAnsi"/>
          <w:sz w:val="24"/>
          <w:szCs w:val="24"/>
          <w:lang w:val="ro-MD"/>
        </w:rPr>
        <w:t xml:space="preserve">e inspecție și control de stat în domeniul </w:t>
      </w:r>
      <w:r w:rsidRPr="00653E85">
        <w:rPr>
          <w:rFonts w:asciiTheme="majorHAnsi" w:hAnsiTheme="majorHAnsi" w:cstheme="majorHAnsi"/>
          <w:sz w:val="24"/>
          <w:szCs w:val="24"/>
          <w:lang w:val="ro-MD"/>
        </w:rPr>
        <w:t>asistenței sociale, precum și consolidării statutului Inspecției Sociale, au fost operate modificări ale unor acte normative</w:t>
      </w:r>
      <w:r w:rsidR="00EF4A05" w:rsidRPr="00653E85">
        <w:rPr>
          <w:rStyle w:val="a5"/>
          <w:rFonts w:asciiTheme="majorHAnsi" w:hAnsiTheme="majorHAnsi" w:cstheme="majorHAnsi"/>
          <w:sz w:val="24"/>
          <w:szCs w:val="24"/>
          <w:lang w:val="ro-MD"/>
        </w:rPr>
        <w:footnoteReference w:id="44"/>
      </w:r>
      <w:r w:rsidR="00EF4A05" w:rsidRPr="00653E85">
        <w:rPr>
          <w:lang w:val="ro-MD"/>
        </w:rPr>
        <w:t xml:space="preserve"> </w:t>
      </w:r>
      <w:r w:rsidRPr="00653E85">
        <w:rPr>
          <w:rFonts w:asciiTheme="majorHAnsi" w:hAnsiTheme="majorHAnsi" w:cstheme="majorHAnsi"/>
          <w:sz w:val="24"/>
          <w:szCs w:val="24"/>
          <w:lang w:val="ro-MD"/>
        </w:rPr>
        <w:t>ce se referă la: introducerea competenței de a constata contravenții</w:t>
      </w:r>
      <w:r w:rsidR="004D6A3C" w:rsidRPr="00653E85">
        <w:rPr>
          <w:rFonts w:asciiTheme="majorHAnsi" w:hAnsiTheme="majorHAnsi" w:cstheme="majorHAnsi"/>
          <w:sz w:val="24"/>
          <w:szCs w:val="24"/>
          <w:lang w:val="ro-MD"/>
        </w:rPr>
        <w:t>le</w:t>
      </w:r>
      <w:r w:rsidRPr="00653E85">
        <w:rPr>
          <w:rFonts w:asciiTheme="majorHAnsi" w:hAnsiTheme="majorHAnsi" w:cstheme="majorHAnsi"/>
          <w:sz w:val="24"/>
          <w:szCs w:val="24"/>
          <w:lang w:val="ro-MD"/>
        </w:rPr>
        <w:t xml:space="preserve"> în partea ce ține de implementarea prevederilor legale ce reglementează stabilirea dreptului și acordarea prestațiilor de asistență socială și a serviciilor sociale, întocmirea proceselor</w:t>
      </w:r>
      <w:r w:rsidR="004D6A3C"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verbale cu privire la contravenție și trimite</w:t>
      </w:r>
      <w:r w:rsidR="004D6A3C" w:rsidRPr="00653E85">
        <w:rPr>
          <w:rFonts w:asciiTheme="majorHAnsi" w:hAnsiTheme="majorHAnsi" w:cstheme="majorHAnsi"/>
          <w:sz w:val="24"/>
          <w:szCs w:val="24"/>
          <w:lang w:val="ro-MD"/>
        </w:rPr>
        <w:t>rea</w:t>
      </w:r>
      <w:r w:rsidRPr="00653E85">
        <w:rPr>
          <w:rFonts w:asciiTheme="majorHAnsi" w:hAnsiTheme="majorHAnsi" w:cstheme="majorHAnsi"/>
          <w:sz w:val="24"/>
          <w:szCs w:val="24"/>
          <w:lang w:val="ro-MD"/>
        </w:rPr>
        <w:t xml:space="preserve">, după caz, </w:t>
      </w:r>
      <w:r w:rsidR="004D6A3C" w:rsidRPr="00653E85">
        <w:rPr>
          <w:rFonts w:asciiTheme="majorHAnsi" w:hAnsiTheme="majorHAnsi" w:cstheme="majorHAnsi"/>
          <w:sz w:val="24"/>
          <w:szCs w:val="24"/>
          <w:lang w:val="ro-MD"/>
        </w:rPr>
        <w:t xml:space="preserve">a </w:t>
      </w:r>
      <w:r w:rsidRPr="00653E85">
        <w:rPr>
          <w:rFonts w:asciiTheme="majorHAnsi" w:hAnsiTheme="majorHAnsi" w:cstheme="majorHAnsi"/>
          <w:sz w:val="24"/>
          <w:szCs w:val="24"/>
          <w:lang w:val="ro-MD"/>
        </w:rPr>
        <w:t>dosarul</w:t>
      </w:r>
      <w:r w:rsidR="004D6A3C" w:rsidRPr="00653E85">
        <w:rPr>
          <w:rFonts w:asciiTheme="majorHAnsi" w:hAnsiTheme="majorHAnsi" w:cstheme="majorHAnsi"/>
          <w:sz w:val="24"/>
          <w:szCs w:val="24"/>
          <w:lang w:val="ro-MD"/>
        </w:rPr>
        <w:t>ui</w:t>
      </w:r>
      <w:r w:rsidRPr="00653E85">
        <w:rPr>
          <w:rFonts w:asciiTheme="majorHAnsi" w:hAnsiTheme="majorHAnsi" w:cstheme="majorHAnsi"/>
          <w:sz w:val="24"/>
          <w:szCs w:val="24"/>
          <w:lang w:val="ro-MD"/>
        </w:rPr>
        <w:t xml:space="preserve"> instanței de judecată sau altui organ spre examinare; dispunerea de măsuri autorităților administrației publice în situația în care există suspiciuni de fraudă, abuz și neglijență, sesiz</w:t>
      </w:r>
      <w:r w:rsidR="004D6A3C" w:rsidRPr="00653E85">
        <w:rPr>
          <w:rFonts w:asciiTheme="majorHAnsi" w:hAnsiTheme="majorHAnsi" w:cstheme="majorHAnsi"/>
          <w:sz w:val="24"/>
          <w:szCs w:val="24"/>
          <w:lang w:val="ro-MD"/>
        </w:rPr>
        <w:t>area</w:t>
      </w:r>
      <w:r w:rsidRPr="00653E85">
        <w:rPr>
          <w:rFonts w:asciiTheme="majorHAnsi" w:hAnsiTheme="majorHAnsi" w:cstheme="majorHAnsi"/>
          <w:sz w:val="24"/>
          <w:szCs w:val="24"/>
          <w:lang w:val="ro-MD"/>
        </w:rPr>
        <w:t xml:space="preserve"> organel</w:t>
      </w:r>
      <w:r w:rsidR="004D6A3C" w:rsidRPr="00653E85">
        <w:rPr>
          <w:rFonts w:asciiTheme="majorHAnsi" w:hAnsiTheme="majorHAnsi" w:cstheme="majorHAnsi"/>
          <w:sz w:val="24"/>
          <w:szCs w:val="24"/>
          <w:lang w:val="ro-MD"/>
        </w:rPr>
        <w:t>or</w:t>
      </w:r>
      <w:r w:rsidRPr="00653E85">
        <w:rPr>
          <w:rFonts w:asciiTheme="majorHAnsi" w:hAnsiTheme="majorHAnsi" w:cstheme="majorHAnsi"/>
          <w:sz w:val="24"/>
          <w:szCs w:val="24"/>
          <w:lang w:val="ro-MD"/>
        </w:rPr>
        <w:t xml:space="preserve"> de ocrotire a normelor de drept competente; luarea măsurilor legale pentru remedierea deficiențelor constatate, identificarea răspunderii juridice a persoanelor vinovate și sesiz</w:t>
      </w:r>
      <w:r w:rsidR="004D6A3C" w:rsidRPr="00653E85">
        <w:rPr>
          <w:rFonts w:asciiTheme="majorHAnsi" w:hAnsiTheme="majorHAnsi" w:cstheme="majorHAnsi"/>
          <w:sz w:val="24"/>
          <w:szCs w:val="24"/>
          <w:lang w:val="ro-MD"/>
        </w:rPr>
        <w:t>area</w:t>
      </w:r>
      <w:r w:rsidRPr="00653E85">
        <w:rPr>
          <w:rFonts w:asciiTheme="majorHAnsi" w:hAnsiTheme="majorHAnsi" w:cstheme="majorHAnsi"/>
          <w:sz w:val="24"/>
          <w:szCs w:val="24"/>
          <w:lang w:val="ro-MD"/>
        </w:rPr>
        <w:t xml:space="preserve"> organel</w:t>
      </w:r>
      <w:r w:rsidR="004D6A3C" w:rsidRPr="00653E85">
        <w:rPr>
          <w:rFonts w:asciiTheme="majorHAnsi" w:hAnsiTheme="majorHAnsi" w:cstheme="majorHAnsi"/>
          <w:sz w:val="24"/>
          <w:szCs w:val="24"/>
          <w:lang w:val="ro-MD"/>
        </w:rPr>
        <w:t>or</w:t>
      </w:r>
      <w:r w:rsidRPr="00653E85">
        <w:rPr>
          <w:rFonts w:asciiTheme="majorHAnsi" w:hAnsiTheme="majorHAnsi" w:cstheme="majorHAnsi"/>
          <w:sz w:val="24"/>
          <w:szCs w:val="24"/>
          <w:lang w:val="ro-MD"/>
        </w:rPr>
        <w:t xml:space="preserve"> de ocrotire a normelor de drept competente etc.</w:t>
      </w:r>
    </w:p>
    <w:p w14:paraId="69B41013" w14:textId="5AC1C58B" w:rsidR="001F56F8" w:rsidRPr="00653E85" w:rsidRDefault="001F56F8" w:rsidP="001F56F8">
      <w:pPr>
        <w:shd w:val="clear" w:color="auto" w:fill="FFFFFF"/>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În aceste condiții auditul denotă că, deși mijloacele privind cheltuielile pentru AS și ASPRA sunt transferate de la BS, procesul fragmentat de acordare, verificare și plată a </w:t>
      </w:r>
      <w:r w:rsidR="004D6A3C" w:rsidRPr="00653E85">
        <w:rPr>
          <w:rFonts w:asciiTheme="majorHAnsi" w:hAnsiTheme="majorHAnsi" w:cstheme="majorHAnsi"/>
          <w:sz w:val="24"/>
          <w:szCs w:val="24"/>
          <w:lang w:val="ro-MD"/>
        </w:rPr>
        <w:t>prestațiilor</w:t>
      </w:r>
      <w:r w:rsidRPr="00653E85">
        <w:rPr>
          <w:rFonts w:asciiTheme="majorHAnsi" w:hAnsiTheme="majorHAnsi" w:cstheme="majorHAnsi"/>
          <w:sz w:val="24"/>
          <w:szCs w:val="24"/>
          <w:lang w:val="ro-MD"/>
        </w:rPr>
        <w:t xml:space="preserve">, corelat cu nivelul mic de restituire a plăților achitate necuvenit, influențează direct indicatorii BASS. </w:t>
      </w:r>
    </w:p>
    <w:p w14:paraId="031AD72A" w14:textId="499E8C5B" w:rsidR="00683C4B" w:rsidRPr="00653E85" w:rsidRDefault="00683C4B" w:rsidP="00BA754F">
      <w:pPr>
        <w:pStyle w:val="2"/>
        <w:numPr>
          <w:ilvl w:val="1"/>
          <w:numId w:val="2"/>
        </w:numPr>
        <w:shd w:val="clear" w:color="auto" w:fill="FFFFFF" w:themeFill="background1"/>
        <w:spacing w:after="240" w:line="276" w:lineRule="auto"/>
        <w:ind w:left="0" w:firstLine="0"/>
        <w:jc w:val="both"/>
        <w:rPr>
          <w:rFonts w:cstheme="majorHAnsi"/>
          <w:b/>
          <w:color w:val="000000" w:themeColor="text1"/>
          <w:sz w:val="24"/>
          <w:lang w:val="ro-MD"/>
        </w:rPr>
      </w:pPr>
      <w:r w:rsidRPr="00653E85">
        <w:rPr>
          <w:rFonts w:cstheme="majorHAnsi"/>
          <w:b/>
          <w:color w:val="000000" w:themeColor="text1"/>
          <w:sz w:val="24"/>
          <w:lang w:val="ro-MD"/>
        </w:rPr>
        <w:t>Pensiile pentru limită de vârstă</w:t>
      </w:r>
      <w:r w:rsidR="00AF0A19" w:rsidRPr="00653E85">
        <w:rPr>
          <w:rFonts w:cstheme="majorHAnsi"/>
          <w:b/>
          <w:color w:val="000000" w:themeColor="text1"/>
          <w:sz w:val="24"/>
          <w:lang w:val="ro-MD"/>
        </w:rPr>
        <w:t>, de dizabilitate, de urma</w:t>
      </w:r>
      <w:r w:rsidR="00AF0A19" w:rsidRPr="00B7675F">
        <w:rPr>
          <w:rFonts w:cstheme="majorHAnsi"/>
          <w:b/>
          <w:color w:val="000000" w:themeColor="text1"/>
          <w:sz w:val="24"/>
          <w:lang w:val="ro-MD"/>
        </w:rPr>
        <w:t>ș</w:t>
      </w:r>
      <w:r w:rsidR="00AF0A19" w:rsidRPr="0038225D">
        <w:rPr>
          <w:rFonts w:cstheme="majorHAnsi"/>
          <w:b/>
          <w:color w:val="000000" w:themeColor="text1"/>
          <w:sz w:val="24"/>
          <w:lang w:val="ro-MD"/>
        </w:rPr>
        <w:t xml:space="preserve"> și anticipate </w:t>
      </w:r>
      <w:r w:rsidRPr="00653E85">
        <w:rPr>
          <w:rFonts w:cstheme="majorHAnsi"/>
          <w:b/>
          <w:color w:val="000000" w:themeColor="text1"/>
          <w:sz w:val="24"/>
          <w:lang w:val="ro-MD"/>
        </w:rPr>
        <w:t xml:space="preserve">au fost stabilite conform cadrului legal. În același timp, recepționarea cu întârziere a informațiilor privind decesul beneficiarilor </w:t>
      </w:r>
      <w:r w:rsidR="004D6A3C" w:rsidRPr="00653E85">
        <w:rPr>
          <w:rFonts w:cstheme="majorHAnsi"/>
          <w:b/>
          <w:color w:val="000000" w:themeColor="text1"/>
          <w:sz w:val="24"/>
          <w:lang w:val="ro-MD"/>
        </w:rPr>
        <w:t xml:space="preserve">a </w:t>
      </w:r>
      <w:r w:rsidRPr="00653E85">
        <w:rPr>
          <w:rFonts w:cstheme="majorHAnsi"/>
          <w:b/>
          <w:color w:val="000000" w:themeColor="text1"/>
          <w:sz w:val="24"/>
          <w:lang w:val="ro-MD"/>
        </w:rPr>
        <w:t>determin</w:t>
      </w:r>
      <w:r w:rsidR="004D6A3C" w:rsidRPr="00653E85">
        <w:rPr>
          <w:rFonts w:cstheme="majorHAnsi"/>
          <w:b/>
          <w:color w:val="000000" w:themeColor="text1"/>
          <w:sz w:val="24"/>
          <w:lang w:val="ro-MD"/>
        </w:rPr>
        <w:t>at</w:t>
      </w:r>
      <w:r w:rsidRPr="00653E85">
        <w:rPr>
          <w:rFonts w:cstheme="majorHAnsi"/>
          <w:b/>
          <w:color w:val="000000" w:themeColor="text1"/>
          <w:sz w:val="24"/>
          <w:lang w:val="ro-MD"/>
        </w:rPr>
        <w:t xml:space="preserve"> cheltuieli nejustificate în sumă de 1 167,0 mii lei</w:t>
      </w:r>
      <w:r w:rsidR="004D6A3C" w:rsidRPr="00653E85">
        <w:rPr>
          <w:rFonts w:cstheme="majorHAnsi"/>
          <w:b/>
          <w:color w:val="000000" w:themeColor="text1"/>
          <w:sz w:val="24"/>
          <w:lang w:val="ro-MD"/>
        </w:rPr>
        <w:t>.</w:t>
      </w:r>
    </w:p>
    <w:p w14:paraId="4CA015F8" w14:textId="627B4CC2" w:rsidR="00BA754F" w:rsidRPr="00653E85" w:rsidRDefault="00BA754F" w:rsidP="00BA754F">
      <w:pPr>
        <w:spacing w:line="276" w:lineRule="auto"/>
        <w:jc w:val="both"/>
        <w:rPr>
          <w:rFonts w:asciiTheme="majorHAnsi" w:hAnsiTheme="majorHAnsi" w:cstheme="majorHAnsi"/>
          <w:sz w:val="24"/>
          <w:lang w:val="ro-MD"/>
        </w:rPr>
      </w:pPr>
      <w:r w:rsidRPr="00653E85">
        <w:rPr>
          <w:rFonts w:asciiTheme="majorHAnsi" w:hAnsiTheme="majorHAnsi" w:cstheme="majorHAnsi"/>
          <w:sz w:val="24"/>
          <w:lang w:val="ro-MD"/>
        </w:rPr>
        <w:t>Pentru obținerea asigurării de audit privind evidența, raportarea și executarea mijloacelor financiare pentru plata pensiilor de asigurări sociale, auditul a auditat următoarele tipuri de pensii</w:t>
      </w:r>
      <w:r w:rsidR="005532BE" w:rsidRPr="00653E85">
        <w:rPr>
          <w:rFonts w:asciiTheme="majorHAnsi" w:hAnsiTheme="majorHAnsi" w:cstheme="majorHAnsi"/>
          <w:sz w:val="24"/>
          <w:lang w:val="ro-MD"/>
        </w:rPr>
        <w:t>.</w:t>
      </w:r>
    </w:p>
    <w:p w14:paraId="37BD0B6C" w14:textId="425A252C" w:rsidR="00683C4B" w:rsidRPr="00653E85" w:rsidRDefault="00AF0A19" w:rsidP="00AF0A19">
      <w:pPr>
        <w:pStyle w:val="aa"/>
        <w:numPr>
          <w:ilvl w:val="0"/>
          <w:numId w:val="4"/>
        </w:numPr>
        <w:autoSpaceDE w:val="0"/>
        <w:autoSpaceDN w:val="0"/>
        <w:adjustRightInd w:val="0"/>
        <w:spacing w:after="0" w:line="276" w:lineRule="auto"/>
        <w:ind w:left="0" w:firstLine="360"/>
        <w:jc w:val="both"/>
        <w:rPr>
          <w:rFonts w:asciiTheme="majorHAnsi" w:eastAsia="Calibri" w:hAnsiTheme="majorHAnsi" w:cstheme="majorHAnsi"/>
          <w:sz w:val="24"/>
          <w:szCs w:val="24"/>
          <w:lang w:val="ro-MD"/>
        </w:rPr>
      </w:pPr>
      <w:r w:rsidRPr="00653E85">
        <w:rPr>
          <w:rFonts w:asciiTheme="majorHAnsi" w:eastAsia="Calibri" w:hAnsiTheme="majorHAnsi" w:cstheme="majorHAnsi"/>
          <w:b/>
          <w:i/>
          <w:sz w:val="24"/>
          <w:szCs w:val="24"/>
          <w:lang w:val="ro-MD"/>
        </w:rPr>
        <w:t>Pensiile pentru limită de vârstă</w:t>
      </w:r>
      <w:r w:rsidRPr="00653E85">
        <w:rPr>
          <w:rFonts w:asciiTheme="majorHAnsi" w:eastAsia="Calibri" w:hAnsiTheme="majorHAnsi" w:cstheme="majorHAnsi"/>
          <w:sz w:val="24"/>
          <w:szCs w:val="24"/>
          <w:lang w:val="ro-MD"/>
        </w:rPr>
        <w:t xml:space="preserve"> reprezintă indicatorul cu cei mulți beneficiari ai BASS (526</w:t>
      </w:r>
      <w:r w:rsidR="005532BE" w:rsidRPr="00653E85">
        <w:rPr>
          <w:rFonts w:asciiTheme="majorHAnsi" w:eastAsia="Calibri" w:hAnsiTheme="majorHAnsi" w:cstheme="majorHAnsi"/>
          <w:sz w:val="24"/>
          <w:szCs w:val="24"/>
          <w:lang w:val="ro-MD"/>
        </w:rPr>
        <w:t xml:space="preserve"> </w:t>
      </w:r>
      <w:r w:rsidRPr="00653E85">
        <w:rPr>
          <w:rFonts w:asciiTheme="majorHAnsi" w:eastAsia="Calibri" w:hAnsiTheme="majorHAnsi" w:cstheme="majorHAnsi"/>
          <w:sz w:val="24"/>
          <w:szCs w:val="24"/>
          <w:lang w:val="ro-MD"/>
        </w:rPr>
        <w:t>027</w:t>
      </w:r>
      <w:r w:rsidR="005532BE" w:rsidRPr="00653E85">
        <w:rPr>
          <w:rFonts w:asciiTheme="majorHAnsi" w:eastAsia="Calibri" w:hAnsiTheme="majorHAnsi" w:cstheme="majorHAnsi"/>
          <w:sz w:val="24"/>
          <w:szCs w:val="24"/>
          <w:lang w:val="ro-MD"/>
        </w:rPr>
        <w:t xml:space="preserve"> de</w:t>
      </w:r>
      <w:r w:rsidRPr="00653E85">
        <w:rPr>
          <w:rFonts w:asciiTheme="majorHAnsi" w:eastAsia="Calibri" w:hAnsiTheme="majorHAnsi" w:cstheme="majorHAnsi"/>
          <w:sz w:val="24"/>
          <w:szCs w:val="24"/>
          <w:lang w:val="ro-MD"/>
        </w:rPr>
        <w:t xml:space="preserve"> persoane), precum și cele mai semnificative cheltuieli. </w:t>
      </w:r>
      <w:r w:rsidR="00683C4B" w:rsidRPr="00653E85">
        <w:rPr>
          <w:rFonts w:asciiTheme="majorHAnsi" w:eastAsia="Calibri" w:hAnsiTheme="majorHAnsi" w:cstheme="majorHAnsi"/>
          <w:sz w:val="24"/>
          <w:szCs w:val="24"/>
          <w:lang w:val="ro-MD"/>
        </w:rPr>
        <w:t xml:space="preserve">În anul 2022, cheltuielile privind plata pensiilor pentru limită de vârstă au constituit </w:t>
      </w:r>
      <w:r w:rsidR="00683C4B" w:rsidRPr="00653E85">
        <w:rPr>
          <w:rFonts w:asciiTheme="majorHAnsi" w:hAnsiTheme="majorHAnsi" w:cstheme="majorHAnsi"/>
          <w:bCs/>
          <w:color w:val="000000"/>
          <w:sz w:val="24"/>
          <w:szCs w:val="24"/>
          <w:lang w:val="ro-MD"/>
        </w:rPr>
        <w:t xml:space="preserve">16 631,0 </w:t>
      </w:r>
      <w:r w:rsidR="00683C4B" w:rsidRPr="00653E85">
        <w:rPr>
          <w:rFonts w:asciiTheme="majorHAnsi" w:hAnsiTheme="majorHAnsi" w:cstheme="majorHAnsi"/>
          <w:sz w:val="24"/>
          <w:szCs w:val="24"/>
          <w:lang w:val="ro-MD"/>
        </w:rPr>
        <w:t>mil. lei</w:t>
      </w:r>
      <w:r w:rsidRPr="00653E85">
        <w:rPr>
          <w:rFonts w:asciiTheme="majorHAnsi" w:hAnsiTheme="majorHAnsi" w:cstheme="majorHAnsi"/>
          <w:sz w:val="24"/>
          <w:szCs w:val="24"/>
          <w:lang w:val="ro-MD"/>
        </w:rPr>
        <w:t>, sau 49,3% din totalul cheltuielilor BASS</w:t>
      </w:r>
      <w:r w:rsidR="00683C4B" w:rsidRPr="00653E85">
        <w:rPr>
          <w:rFonts w:asciiTheme="majorHAnsi" w:eastAsia="Calibri" w:hAnsiTheme="majorHAnsi" w:cstheme="majorHAnsi"/>
          <w:sz w:val="24"/>
          <w:szCs w:val="24"/>
          <w:lang w:val="ro-MD"/>
        </w:rPr>
        <w:t xml:space="preserve">. Comparativ cu anul precedent, aceste cheltuieli s-au majorat cu 3 537,6 mil. lei, sau cu 27%, această creștere a avut loc </w:t>
      </w:r>
      <w:r w:rsidR="005532BE" w:rsidRPr="00653E85">
        <w:rPr>
          <w:rFonts w:asciiTheme="majorHAnsi" w:eastAsia="Calibri" w:hAnsiTheme="majorHAnsi" w:cstheme="majorHAnsi"/>
          <w:sz w:val="24"/>
          <w:szCs w:val="24"/>
          <w:lang w:val="ro-MD"/>
        </w:rPr>
        <w:t xml:space="preserve">ca </w:t>
      </w:r>
      <w:r w:rsidR="00683C4B" w:rsidRPr="00653E85">
        <w:rPr>
          <w:rFonts w:asciiTheme="majorHAnsi" w:eastAsia="Calibri" w:hAnsiTheme="majorHAnsi" w:cstheme="majorHAnsi"/>
          <w:sz w:val="24"/>
          <w:szCs w:val="24"/>
          <w:lang w:val="ro-MD"/>
        </w:rPr>
        <w:t>urmare a măsurilor prevăzute de legislație în domeniul pensiilor</w:t>
      </w:r>
      <w:r w:rsidR="00683C4B" w:rsidRPr="00653E85">
        <w:rPr>
          <w:rStyle w:val="a5"/>
          <w:rFonts w:asciiTheme="majorHAnsi" w:eastAsia="Calibri" w:hAnsiTheme="majorHAnsi" w:cstheme="majorHAnsi"/>
          <w:sz w:val="24"/>
          <w:szCs w:val="24"/>
          <w:lang w:val="ro-MD"/>
        </w:rPr>
        <w:footnoteReference w:id="45"/>
      </w:r>
      <w:r w:rsidR="005532BE" w:rsidRPr="00653E85">
        <w:rPr>
          <w:rFonts w:asciiTheme="majorHAnsi" w:eastAsia="Calibri" w:hAnsiTheme="majorHAnsi" w:cstheme="majorHAnsi"/>
          <w:sz w:val="24"/>
          <w:szCs w:val="24"/>
          <w:lang w:val="ro-MD"/>
        </w:rPr>
        <w:t>.</w:t>
      </w:r>
      <w:r w:rsidR="00683C4B" w:rsidRPr="00653E85">
        <w:rPr>
          <w:rFonts w:asciiTheme="majorHAnsi" w:eastAsia="Calibri" w:hAnsiTheme="majorHAnsi" w:cstheme="majorHAnsi"/>
          <w:sz w:val="24"/>
          <w:szCs w:val="24"/>
          <w:lang w:val="ro-MD"/>
        </w:rPr>
        <w:t xml:space="preserve"> Cheltuielile destinate pensiilor pentru limita de vârstă dețin ponderea majoră în cheltuielile efective totale pentru pensiile de asigurări sociale</w:t>
      </w:r>
      <w:r w:rsidR="005532BE" w:rsidRPr="00653E85">
        <w:rPr>
          <w:rFonts w:asciiTheme="majorHAnsi" w:eastAsia="Calibri" w:hAnsiTheme="majorHAnsi" w:cstheme="majorHAnsi"/>
          <w:sz w:val="24"/>
          <w:szCs w:val="24"/>
          <w:lang w:val="ro-MD"/>
        </w:rPr>
        <w:t>,</w:t>
      </w:r>
      <w:r w:rsidR="00683C4B" w:rsidRPr="00653E85">
        <w:rPr>
          <w:rFonts w:asciiTheme="majorHAnsi" w:eastAsia="Calibri" w:hAnsiTheme="majorHAnsi" w:cstheme="majorHAnsi"/>
          <w:sz w:val="24"/>
          <w:szCs w:val="24"/>
          <w:lang w:val="ro-MD"/>
        </w:rPr>
        <w:t xml:space="preserve"> constituind circa 86,6%.</w:t>
      </w:r>
    </w:p>
    <w:p w14:paraId="4E08A35E" w14:textId="1750E73F" w:rsidR="00683C4B" w:rsidRPr="00653E85" w:rsidRDefault="00683C4B" w:rsidP="00BA754F">
      <w:pPr>
        <w:autoSpaceDE w:val="0"/>
        <w:autoSpaceDN w:val="0"/>
        <w:adjustRightInd w:val="0"/>
        <w:spacing w:line="276" w:lineRule="auto"/>
        <w:jc w:val="both"/>
        <w:rPr>
          <w:rFonts w:asciiTheme="majorHAnsi" w:eastAsia="Calibri" w:hAnsiTheme="majorHAnsi" w:cstheme="majorHAnsi"/>
          <w:sz w:val="24"/>
          <w:szCs w:val="24"/>
          <w:lang w:val="ro-MD"/>
        </w:rPr>
      </w:pPr>
      <w:r w:rsidRPr="00653E85">
        <w:rPr>
          <w:rFonts w:asciiTheme="majorHAnsi" w:eastAsia="Calibri" w:hAnsiTheme="majorHAnsi" w:cstheme="majorHAnsi"/>
          <w:sz w:val="24"/>
          <w:szCs w:val="24"/>
          <w:lang w:val="ro-MD"/>
        </w:rPr>
        <w:t>Numărul beneficiarilor de pensii pentru limita de vârstă a crescut la sfârșitul anului auditat</w:t>
      </w:r>
      <w:r w:rsidR="005532BE" w:rsidRPr="00653E85">
        <w:rPr>
          <w:rFonts w:asciiTheme="majorHAnsi" w:eastAsia="Calibri" w:hAnsiTheme="majorHAnsi" w:cstheme="majorHAnsi"/>
          <w:sz w:val="24"/>
          <w:szCs w:val="24"/>
          <w:lang w:val="ro-MD"/>
        </w:rPr>
        <w:t>,</w:t>
      </w:r>
      <w:r w:rsidRPr="00653E85">
        <w:rPr>
          <w:rFonts w:asciiTheme="majorHAnsi" w:eastAsia="Calibri" w:hAnsiTheme="majorHAnsi" w:cstheme="majorHAnsi"/>
          <w:sz w:val="24"/>
          <w:szCs w:val="24"/>
          <w:lang w:val="ro-MD"/>
        </w:rPr>
        <w:t xml:space="preserve"> comparativ cu începutul acestuia</w:t>
      </w:r>
      <w:r w:rsidR="005532BE" w:rsidRPr="00653E85">
        <w:rPr>
          <w:rFonts w:asciiTheme="majorHAnsi" w:eastAsia="Calibri" w:hAnsiTheme="majorHAnsi" w:cstheme="majorHAnsi"/>
          <w:sz w:val="24"/>
          <w:szCs w:val="24"/>
          <w:lang w:val="ro-MD"/>
        </w:rPr>
        <w:t>,</w:t>
      </w:r>
      <w:r w:rsidRPr="00653E85">
        <w:rPr>
          <w:rFonts w:asciiTheme="majorHAnsi" w:eastAsia="Calibri" w:hAnsiTheme="majorHAnsi" w:cstheme="majorHAnsi"/>
          <w:sz w:val="24"/>
          <w:szCs w:val="24"/>
          <w:lang w:val="ro-MD"/>
        </w:rPr>
        <w:t xml:space="preserve"> cu 5 090 </w:t>
      </w:r>
      <w:r w:rsidR="005532BE" w:rsidRPr="00653E85">
        <w:rPr>
          <w:rFonts w:asciiTheme="majorHAnsi" w:eastAsia="Calibri" w:hAnsiTheme="majorHAnsi" w:cstheme="majorHAnsi"/>
          <w:sz w:val="24"/>
          <w:szCs w:val="24"/>
          <w:lang w:val="ro-MD"/>
        </w:rPr>
        <w:t xml:space="preserve">de </w:t>
      </w:r>
      <w:r w:rsidRPr="00653E85">
        <w:rPr>
          <w:rFonts w:asciiTheme="majorHAnsi" w:eastAsia="Calibri" w:hAnsiTheme="majorHAnsi" w:cstheme="majorHAnsi"/>
          <w:sz w:val="24"/>
          <w:szCs w:val="24"/>
          <w:lang w:val="ro-MD"/>
        </w:rPr>
        <w:t xml:space="preserve">persoane. Pensia medie, </w:t>
      </w:r>
      <w:r w:rsidR="005532BE" w:rsidRPr="00653E85">
        <w:rPr>
          <w:rFonts w:asciiTheme="majorHAnsi" w:eastAsia="Calibri" w:hAnsiTheme="majorHAnsi" w:cstheme="majorHAnsi"/>
          <w:sz w:val="24"/>
          <w:szCs w:val="24"/>
          <w:lang w:val="ro-MD"/>
        </w:rPr>
        <w:t xml:space="preserve">ca </w:t>
      </w:r>
      <w:r w:rsidRPr="00653E85">
        <w:rPr>
          <w:rFonts w:asciiTheme="majorHAnsi" w:eastAsia="Calibri" w:hAnsiTheme="majorHAnsi" w:cstheme="majorHAnsi"/>
          <w:sz w:val="24"/>
          <w:szCs w:val="24"/>
          <w:lang w:val="ro-MD"/>
        </w:rPr>
        <w:t>urmare a măsurilor implementate pe parcursul anului de gestiune, a crescut cu 22,0% (569,62 lei) și</w:t>
      </w:r>
      <w:r w:rsidR="005532BE" w:rsidRPr="00653E85">
        <w:rPr>
          <w:rFonts w:asciiTheme="majorHAnsi" w:eastAsia="Calibri" w:hAnsiTheme="majorHAnsi" w:cstheme="majorHAnsi"/>
          <w:sz w:val="24"/>
          <w:szCs w:val="24"/>
          <w:lang w:val="ro-MD"/>
        </w:rPr>
        <w:t>,</w:t>
      </w:r>
      <w:r w:rsidRPr="00653E85">
        <w:rPr>
          <w:rFonts w:asciiTheme="majorHAnsi" w:eastAsia="Calibri" w:hAnsiTheme="majorHAnsi" w:cstheme="majorHAnsi"/>
          <w:sz w:val="24"/>
          <w:szCs w:val="24"/>
          <w:lang w:val="ro-MD"/>
        </w:rPr>
        <w:t xml:space="preserve"> la situația d</w:t>
      </w:r>
      <w:r w:rsidR="005532BE" w:rsidRPr="00653E85">
        <w:rPr>
          <w:rFonts w:asciiTheme="majorHAnsi" w:eastAsia="Calibri" w:hAnsiTheme="majorHAnsi" w:cstheme="majorHAnsi"/>
          <w:sz w:val="24"/>
          <w:szCs w:val="24"/>
          <w:lang w:val="ro-MD"/>
        </w:rPr>
        <w:t>in</w:t>
      </w:r>
      <w:r w:rsidRPr="00653E85">
        <w:rPr>
          <w:rFonts w:asciiTheme="majorHAnsi" w:eastAsia="Calibri" w:hAnsiTheme="majorHAnsi" w:cstheme="majorHAnsi"/>
          <w:sz w:val="24"/>
          <w:szCs w:val="24"/>
          <w:lang w:val="ro-MD"/>
        </w:rPr>
        <w:t xml:space="preserve"> 01.01.2023</w:t>
      </w:r>
      <w:r w:rsidR="005532BE" w:rsidRPr="00653E85">
        <w:rPr>
          <w:rFonts w:asciiTheme="majorHAnsi" w:eastAsia="Calibri" w:hAnsiTheme="majorHAnsi" w:cstheme="majorHAnsi"/>
          <w:sz w:val="24"/>
          <w:szCs w:val="24"/>
          <w:lang w:val="ro-MD"/>
        </w:rPr>
        <w:t>,</w:t>
      </w:r>
      <w:r w:rsidRPr="00653E85">
        <w:rPr>
          <w:rFonts w:asciiTheme="majorHAnsi" w:eastAsia="Calibri" w:hAnsiTheme="majorHAnsi" w:cstheme="majorHAnsi"/>
          <w:sz w:val="24"/>
          <w:szCs w:val="24"/>
          <w:lang w:val="ro-MD"/>
        </w:rPr>
        <w:t xml:space="preserve"> a constituit 3 164,93 lei.</w:t>
      </w:r>
      <w:r w:rsidR="00FF4777" w:rsidRPr="00653E85">
        <w:rPr>
          <w:rFonts w:asciiTheme="majorHAnsi" w:eastAsia="Calibri" w:hAnsiTheme="majorHAnsi" w:cstheme="majorHAnsi"/>
          <w:sz w:val="24"/>
          <w:szCs w:val="24"/>
          <w:lang w:val="ro-MD"/>
        </w:rPr>
        <w:t xml:space="preserve"> </w:t>
      </w:r>
      <w:r w:rsidRPr="00653E85">
        <w:rPr>
          <w:rFonts w:asciiTheme="majorHAnsi" w:eastAsia="Times New Roman" w:hAnsiTheme="majorHAnsi" w:cstheme="majorHAnsi"/>
          <w:color w:val="000000" w:themeColor="text1"/>
          <w:sz w:val="24"/>
          <w:szCs w:val="24"/>
          <w:lang w:val="ro-MD"/>
        </w:rPr>
        <w:t>Peste 581 mii</w:t>
      </w:r>
      <w:r w:rsidR="00365C48" w:rsidRPr="00653E85">
        <w:rPr>
          <w:rFonts w:asciiTheme="majorHAnsi" w:eastAsia="Times New Roman" w:hAnsiTheme="majorHAnsi" w:cstheme="majorHAnsi"/>
          <w:color w:val="000000" w:themeColor="text1"/>
          <w:sz w:val="24"/>
          <w:szCs w:val="24"/>
          <w:lang w:val="ro-MD"/>
        </w:rPr>
        <w:t xml:space="preserve"> de pensionari al</w:t>
      </w:r>
      <w:r w:rsidR="005532BE" w:rsidRPr="00653E85">
        <w:rPr>
          <w:rFonts w:asciiTheme="majorHAnsi" w:eastAsia="Times New Roman" w:hAnsiTheme="majorHAnsi" w:cstheme="majorHAnsi"/>
          <w:color w:val="000000" w:themeColor="text1"/>
          <w:sz w:val="24"/>
          <w:szCs w:val="24"/>
          <w:lang w:val="ro-MD"/>
        </w:rPr>
        <w:t>e</w:t>
      </w:r>
      <w:r w:rsidR="00365C48" w:rsidRPr="00653E85">
        <w:rPr>
          <w:rFonts w:asciiTheme="majorHAnsi" w:eastAsia="Times New Roman" w:hAnsiTheme="majorHAnsi" w:cstheme="majorHAnsi"/>
          <w:color w:val="000000" w:themeColor="text1"/>
          <w:sz w:val="24"/>
          <w:szCs w:val="24"/>
          <w:lang w:val="ro-MD"/>
        </w:rPr>
        <w:t xml:space="preserve"> căror pensii</w:t>
      </w:r>
      <w:r w:rsidRPr="00653E85">
        <w:rPr>
          <w:rFonts w:asciiTheme="majorHAnsi" w:eastAsia="Times New Roman" w:hAnsiTheme="majorHAnsi" w:cstheme="majorHAnsi"/>
          <w:color w:val="000000" w:themeColor="text1"/>
          <w:sz w:val="24"/>
          <w:szCs w:val="24"/>
          <w:lang w:val="ro-MD"/>
        </w:rPr>
        <w:t xml:space="preserve"> au fost stabilite până la 1 octombrie 2022 și al căror cuantum lunar nu a depășit 5</w:t>
      </w:r>
      <w:r w:rsidR="00EF4A05" w:rsidRPr="00653E85">
        <w:rPr>
          <w:rFonts w:asciiTheme="majorHAnsi" w:eastAsia="Times New Roman" w:hAnsiTheme="majorHAnsi" w:cstheme="majorHAnsi"/>
          <w:color w:val="000000" w:themeColor="text1"/>
          <w:sz w:val="24"/>
          <w:szCs w:val="24"/>
          <w:lang w:val="ro-MD"/>
        </w:rPr>
        <w:t xml:space="preserve"> </w:t>
      </w:r>
      <w:r w:rsidRPr="00653E85">
        <w:rPr>
          <w:rFonts w:asciiTheme="majorHAnsi" w:eastAsia="Times New Roman" w:hAnsiTheme="majorHAnsi" w:cstheme="majorHAnsi"/>
          <w:color w:val="000000" w:themeColor="text1"/>
          <w:sz w:val="24"/>
          <w:szCs w:val="24"/>
          <w:lang w:val="ro-MD"/>
        </w:rPr>
        <w:t>000 de lei, au primit suport financiar unic în mărime de 1</w:t>
      </w:r>
      <w:r w:rsidR="00EF4A05" w:rsidRPr="00653E85">
        <w:rPr>
          <w:rFonts w:asciiTheme="majorHAnsi" w:eastAsia="Times New Roman" w:hAnsiTheme="majorHAnsi" w:cstheme="majorHAnsi"/>
          <w:color w:val="000000" w:themeColor="text1"/>
          <w:sz w:val="24"/>
          <w:szCs w:val="24"/>
          <w:lang w:val="ro-MD"/>
        </w:rPr>
        <w:t xml:space="preserve"> </w:t>
      </w:r>
      <w:r w:rsidRPr="00653E85">
        <w:rPr>
          <w:rFonts w:asciiTheme="majorHAnsi" w:eastAsia="Times New Roman" w:hAnsiTheme="majorHAnsi" w:cstheme="majorHAnsi"/>
          <w:color w:val="000000" w:themeColor="text1"/>
          <w:sz w:val="24"/>
          <w:szCs w:val="24"/>
          <w:lang w:val="ro-MD"/>
        </w:rPr>
        <w:t>500 de lei.</w:t>
      </w:r>
    </w:p>
    <w:p w14:paraId="20F70D13" w14:textId="7AE35A5D" w:rsidR="00503A10" w:rsidRPr="00B7675F" w:rsidRDefault="00503A10" w:rsidP="00BA754F">
      <w:pPr>
        <w:pStyle w:val="aa"/>
        <w:numPr>
          <w:ilvl w:val="0"/>
          <w:numId w:val="4"/>
        </w:numPr>
        <w:spacing w:line="276" w:lineRule="auto"/>
        <w:ind w:left="0" w:firstLine="0"/>
        <w:contextualSpacing w:val="0"/>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 xml:space="preserve">În anul 2022, </w:t>
      </w:r>
      <w:r w:rsidR="005532BE" w:rsidRPr="0038225D">
        <w:rPr>
          <w:rFonts w:asciiTheme="majorHAnsi" w:hAnsiTheme="majorHAnsi" w:cstheme="majorHAnsi"/>
          <w:sz w:val="24"/>
          <w:szCs w:val="24"/>
          <w:lang w:val="ro-MD"/>
        </w:rPr>
        <w:t xml:space="preserve">pentru </w:t>
      </w:r>
      <w:r w:rsidRPr="00B7675F">
        <w:rPr>
          <w:rFonts w:asciiTheme="majorHAnsi" w:hAnsiTheme="majorHAnsi" w:cstheme="majorHAnsi"/>
          <w:sz w:val="24"/>
          <w:szCs w:val="24"/>
          <w:lang w:val="ro-MD"/>
        </w:rPr>
        <w:t xml:space="preserve">cheltuielile privind plata </w:t>
      </w:r>
      <w:r w:rsidRPr="00B7675F">
        <w:rPr>
          <w:rFonts w:asciiTheme="majorHAnsi" w:hAnsiTheme="majorHAnsi" w:cstheme="majorHAnsi"/>
          <w:b/>
          <w:i/>
          <w:sz w:val="24"/>
          <w:szCs w:val="24"/>
          <w:lang w:val="ro-MD"/>
        </w:rPr>
        <w:t>pensiilor de dizabilitate</w:t>
      </w:r>
      <w:r w:rsidRPr="00B7675F">
        <w:rPr>
          <w:rFonts w:asciiTheme="majorHAnsi" w:hAnsiTheme="majorHAnsi" w:cstheme="majorHAnsi"/>
          <w:sz w:val="24"/>
          <w:szCs w:val="24"/>
          <w:lang w:val="ro-MD"/>
        </w:rPr>
        <w:t xml:space="preserve"> au fost inițial prevăzute mijloace financiare în sumă de 2 273,8 mil. lei, care pe parcursul anului au fost precizate prin majorare până la 2 278,7 mil. lei. Cheltuielile efective au fost executate în sumă de 2 256,7 mil. lei</w:t>
      </w:r>
      <w:r w:rsidR="005532BE"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sau 6,7% din totalul cheltuielilor BASS. Comparativ cu anul precedent, aceste cheltuieli s-au majorat cu 235,9 mil. lei</w:t>
      </w:r>
      <w:r w:rsidR="005532BE"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sau cu 11,7%. Numărul beneficiarilor la data de 1 ianuarie 2023 a constituit 102 225 </w:t>
      </w:r>
      <w:r w:rsidR="005532BE" w:rsidRPr="00B7675F">
        <w:rPr>
          <w:rFonts w:asciiTheme="majorHAnsi" w:hAnsiTheme="majorHAnsi" w:cstheme="majorHAnsi"/>
          <w:sz w:val="24"/>
          <w:szCs w:val="24"/>
          <w:lang w:val="ro-MD"/>
        </w:rPr>
        <w:t xml:space="preserve">de </w:t>
      </w:r>
      <w:r w:rsidRPr="00B7675F">
        <w:rPr>
          <w:rFonts w:asciiTheme="majorHAnsi" w:hAnsiTheme="majorHAnsi" w:cstheme="majorHAnsi"/>
          <w:sz w:val="24"/>
          <w:szCs w:val="24"/>
          <w:lang w:val="ro-MD"/>
        </w:rPr>
        <w:t xml:space="preserve">persoane, cu 8 631 </w:t>
      </w:r>
      <w:r w:rsidR="005532BE" w:rsidRPr="00B7675F">
        <w:rPr>
          <w:rFonts w:asciiTheme="majorHAnsi" w:hAnsiTheme="majorHAnsi" w:cstheme="majorHAnsi"/>
          <w:sz w:val="24"/>
          <w:szCs w:val="24"/>
          <w:lang w:val="ro-MD"/>
        </w:rPr>
        <w:t xml:space="preserve">de </w:t>
      </w:r>
      <w:r w:rsidRPr="00B7675F">
        <w:rPr>
          <w:rFonts w:asciiTheme="majorHAnsi" w:hAnsiTheme="majorHAnsi" w:cstheme="majorHAnsi"/>
          <w:sz w:val="24"/>
          <w:szCs w:val="24"/>
          <w:lang w:val="ro-MD"/>
        </w:rPr>
        <w:t>persoane mai puțin față de anul precedent. Pensia medie de dizabilitate la data de 1 ianuarie 2023 a fost de 2 104,28 lei, în creștere cu 21,2% comparativ cu anul 2021.</w:t>
      </w:r>
    </w:p>
    <w:p w14:paraId="19CB30E6" w14:textId="2073D318" w:rsidR="00503A10" w:rsidRPr="00653E85" w:rsidRDefault="00503A10" w:rsidP="00FC573A">
      <w:pPr>
        <w:pStyle w:val="aa"/>
        <w:numPr>
          <w:ilvl w:val="0"/>
          <w:numId w:val="4"/>
        </w:numPr>
        <w:spacing w:line="276" w:lineRule="auto"/>
        <w:ind w:left="0" w:firstLine="0"/>
        <w:contextualSpacing w:val="0"/>
        <w:jc w:val="both"/>
        <w:rPr>
          <w:rFonts w:asciiTheme="majorHAnsi" w:hAnsiTheme="majorHAnsi" w:cstheme="majorHAnsi"/>
          <w:sz w:val="24"/>
          <w:szCs w:val="24"/>
          <w:lang w:val="ro-MD"/>
        </w:rPr>
      </w:pPr>
      <w:r w:rsidRPr="00653E85">
        <w:rPr>
          <w:rFonts w:asciiTheme="majorHAnsi" w:hAnsiTheme="majorHAnsi" w:cstheme="majorHAnsi"/>
          <w:b/>
          <w:i/>
          <w:sz w:val="24"/>
          <w:szCs w:val="24"/>
          <w:shd w:val="clear" w:color="auto" w:fill="FFFFFF"/>
          <w:lang w:val="ro-MD"/>
        </w:rPr>
        <w:t xml:space="preserve">Pensia de urmaș </w:t>
      </w:r>
      <w:r w:rsidRPr="00653E85">
        <w:rPr>
          <w:rFonts w:asciiTheme="majorHAnsi" w:hAnsiTheme="majorHAnsi" w:cstheme="majorHAnsi"/>
          <w:sz w:val="24"/>
          <w:szCs w:val="24"/>
          <w:lang w:val="ro-MD"/>
        </w:rPr>
        <w:t>reprezintă o prestație de care beneficiază 11</w:t>
      </w:r>
      <w:r w:rsidR="005532BE"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 xml:space="preserve">573 </w:t>
      </w:r>
      <w:r w:rsidR="005532BE"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persoane. În anul 2022 cheltuielile privind plata pensiilor pentru urmaș au constituit 303,7 mil.lei</w:t>
      </w:r>
      <w:r w:rsidR="004D737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sau 0,9% din totalul cheltuielilor BASS. Comparativ cu anul precedent, aceste cheltuieli s</w:t>
      </w:r>
      <w:r w:rsidR="004D737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au majorat cu 80,8 mil</w:t>
      </w:r>
      <w:r w:rsidR="004D737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lei</w:t>
      </w:r>
      <w:r w:rsidR="004D737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sau cu 73,4%, această creștere </w:t>
      </w:r>
      <w:r w:rsidR="004D7379" w:rsidRPr="00653E85">
        <w:rPr>
          <w:rFonts w:asciiTheme="majorHAnsi" w:hAnsiTheme="majorHAnsi" w:cstheme="majorHAnsi"/>
          <w:sz w:val="24"/>
          <w:szCs w:val="24"/>
          <w:lang w:val="ro-MD"/>
        </w:rPr>
        <w:t>având</w:t>
      </w:r>
      <w:r w:rsidRPr="00653E85">
        <w:rPr>
          <w:rFonts w:asciiTheme="majorHAnsi" w:hAnsiTheme="majorHAnsi" w:cstheme="majorHAnsi"/>
          <w:sz w:val="24"/>
          <w:szCs w:val="24"/>
          <w:lang w:val="ro-MD"/>
        </w:rPr>
        <w:t xml:space="preserve"> loc </w:t>
      </w:r>
      <w:r w:rsidR="004D7379" w:rsidRPr="00653E85">
        <w:rPr>
          <w:rFonts w:asciiTheme="majorHAnsi" w:hAnsiTheme="majorHAnsi" w:cstheme="majorHAnsi"/>
          <w:sz w:val="24"/>
          <w:szCs w:val="24"/>
          <w:lang w:val="ro-MD"/>
        </w:rPr>
        <w:t xml:space="preserve">ca </w:t>
      </w:r>
      <w:r w:rsidRPr="00653E85">
        <w:rPr>
          <w:rFonts w:asciiTheme="majorHAnsi" w:hAnsiTheme="majorHAnsi" w:cstheme="majorHAnsi"/>
          <w:sz w:val="24"/>
          <w:szCs w:val="24"/>
          <w:lang w:val="ro-MD"/>
        </w:rPr>
        <w:t>urmare a măsurilor prevăzute de legislație în domeniul pensiilor publice și implementarea pe parcursul anului 2022 a indexării</w:t>
      </w:r>
      <w:r w:rsidR="004D7379" w:rsidRPr="00653E85">
        <w:rPr>
          <w:rFonts w:asciiTheme="majorHAnsi" w:hAnsiTheme="majorHAnsi" w:cstheme="majorHAnsi"/>
          <w:sz w:val="24"/>
          <w:szCs w:val="24"/>
          <w:lang w:val="ro-MD"/>
        </w:rPr>
        <w:t xml:space="preserve"> lor</w:t>
      </w:r>
      <w:r w:rsidRPr="00653E85">
        <w:rPr>
          <w:rFonts w:asciiTheme="majorHAnsi" w:hAnsiTheme="majorHAnsi" w:cstheme="majorHAnsi"/>
          <w:sz w:val="24"/>
          <w:szCs w:val="24"/>
          <w:lang w:val="ro-MD"/>
        </w:rPr>
        <w:t>.</w:t>
      </w:r>
    </w:p>
    <w:p w14:paraId="765ABB5C" w14:textId="09FD2D90" w:rsidR="006F7D98" w:rsidRPr="00653E85" w:rsidRDefault="00AF0A19" w:rsidP="00FC573A">
      <w:pPr>
        <w:pStyle w:val="aa"/>
        <w:numPr>
          <w:ilvl w:val="0"/>
          <w:numId w:val="4"/>
        </w:numPr>
        <w:spacing w:after="0" w:line="276" w:lineRule="auto"/>
        <w:ind w:left="0" w:firstLine="0"/>
        <w:contextualSpacing w:val="0"/>
        <w:jc w:val="both"/>
        <w:rPr>
          <w:rFonts w:asciiTheme="majorHAnsi" w:hAnsiTheme="majorHAnsi" w:cstheme="majorHAnsi"/>
          <w:b/>
          <w:i/>
          <w:sz w:val="24"/>
          <w:szCs w:val="24"/>
          <w:lang w:val="ro-MD"/>
        </w:rPr>
      </w:pPr>
      <w:r w:rsidRPr="00653E85">
        <w:rPr>
          <w:rFonts w:asciiTheme="majorHAnsi" w:hAnsiTheme="majorHAnsi" w:cstheme="majorHAnsi"/>
          <w:sz w:val="24"/>
          <w:szCs w:val="24"/>
          <w:lang w:val="ro-MD"/>
        </w:rPr>
        <w:t xml:space="preserve">De la 01 ianuarie 2022 a fost instituită o nouă categorie de pensie, </w:t>
      </w:r>
      <w:r w:rsidRPr="00653E85">
        <w:rPr>
          <w:rFonts w:asciiTheme="majorHAnsi" w:hAnsiTheme="majorHAnsi" w:cstheme="majorHAnsi"/>
          <w:b/>
          <w:i/>
          <w:sz w:val="24"/>
          <w:szCs w:val="24"/>
          <w:lang w:val="ro-MD"/>
        </w:rPr>
        <w:t>pensie anticipată pentru carieră lungă</w:t>
      </w:r>
      <w:r w:rsidRPr="00653E85">
        <w:rPr>
          <w:rStyle w:val="a5"/>
          <w:rFonts w:asciiTheme="majorHAnsi" w:hAnsiTheme="majorHAnsi" w:cstheme="majorHAnsi"/>
          <w:b/>
          <w:i/>
          <w:sz w:val="24"/>
          <w:szCs w:val="24"/>
          <w:lang w:val="ro-MD"/>
        </w:rPr>
        <w:footnoteReference w:id="46"/>
      </w:r>
      <w:r w:rsidR="004D7379" w:rsidRPr="00653E85">
        <w:rPr>
          <w:rFonts w:asciiTheme="majorHAnsi" w:hAnsiTheme="majorHAnsi" w:cstheme="majorHAnsi"/>
          <w:b/>
          <w:i/>
          <w:sz w:val="24"/>
          <w:szCs w:val="24"/>
          <w:lang w:val="ro-MD"/>
        </w:rPr>
        <w:t>.</w:t>
      </w:r>
      <w:r w:rsidR="00BA754F" w:rsidRPr="00653E85">
        <w:rPr>
          <w:rFonts w:asciiTheme="majorHAnsi" w:hAnsiTheme="majorHAnsi" w:cstheme="majorHAnsi"/>
          <w:b/>
          <w:i/>
          <w:sz w:val="24"/>
          <w:szCs w:val="24"/>
          <w:lang w:val="ro-MD"/>
        </w:rPr>
        <w:t xml:space="preserve"> </w:t>
      </w:r>
      <w:r w:rsidRPr="00653E85">
        <w:rPr>
          <w:rFonts w:asciiTheme="majorHAnsi" w:hAnsiTheme="majorHAnsi" w:cstheme="majorHAnsi"/>
          <w:sz w:val="24"/>
          <w:szCs w:val="24"/>
          <w:lang w:val="ro-MD"/>
        </w:rPr>
        <w:t xml:space="preserve">Acest tip de prestație se acordă persoanelor ce au realizat un stagiu contributiv de cotizare cu 5 ani pentru bărbați și cu 3 ani pentru femei mai mare </w:t>
      </w:r>
      <w:r w:rsidR="0074469F" w:rsidRPr="00653E85">
        <w:rPr>
          <w:rFonts w:asciiTheme="majorHAnsi" w:hAnsiTheme="majorHAnsi" w:cstheme="majorHAnsi"/>
          <w:sz w:val="24"/>
          <w:szCs w:val="24"/>
          <w:lang w:val="ro-MD"/>
        </w:rPr>
        <w:t>decât</w:t>
      </w:r>
      <w:r w:rsidRPr="00653E85">
        <w:rPr>
          <w:rFonts w:asciiTheme="majorHAnsi" w:hAnsiTheme="majorHAnsi" w:cstheme="majorHAnsi"/>
          <w:sz w:val="24"/>
          <w:szCs w:val="24"/>
          <w:lang w:val="ro-MD"/>
        </w:rPr>
        <w:t xml:space="preserve"> cel prevăzut de legislația în vigoare</w:t>
      </w:r>
      <w:r w:rsidRPr="00653E85">
        <w:rPr>
          <w:rStyle w:val="a5"/>
          <w:rFonts w:cstheme="majorHAnsi"/>
          <w:sz w:val="24"/>
          <w:szCs w:val="24"/>
          <w:lang w:val="ro-MD"/>
        </w:rPr>
        <w:footnoteReference w:id="47"/>
      </w:r>
      <w:r w:rsidRPr="00653E85">
        <w:rPr>
          <w:rFonts w:asciiTheme="majorHAnsi" w:hAnsiTheme="majorHAnsi" w:cstheme="majorHAnsi"/>
          <w:sz w:val="24"/>
          <w:szCs w:val="24"/>
          <w:lang w:val="ro-MD"/>
        </w:rPr>
        <w:t>. Cu dreptul la pensie anticipată pentru carieră lungă pe parcursul anului 2022 au fost asigurați peste 4</w:t>
      </w:r>
      <w:r w:rsidR="00EF4A05"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800 de beneficiari, cheltuielile efective pentru plata prestației fiind înregistrate în sumă de 297,1 mil. lei, sau 1</w:t>
      </w:r>
      <w:r w:rsidR="00EF4A05"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5% din tot</w:t>
      </w:r>
      <w:r w:rsidR="006F7D98" w:rsidRPr="00653E85">
        <w:rPr>
          <w:rFonts w:asciiTheme="majorHAnsi" w:hAnsiTheme="majorHAnsi" w:cstheme="majorHAnsi"/>
          <w:sz w:val="24"/>
          <w:szCs w:val="24"/>
          <w:lang w:val="ro-MD"/>
        </w:rPr>
        <w:t>al</w:t>
      </w:r>
      <w:r w:rsidR="004D7379" w:rsidRPr="00653E85">
        <w:rPr>
          <w:rFonts w:asciiTheme="majorHAnsi" w:hAnsiTheme="majorHAnsi" w:cstheme="majorHAnsi"/>
          <w:sz w:val="24"/>
          <w:szCs w:val="24"/>
          <w:lang w:val="ro-MD"/>
        </w:rPr>
        <w:t>ul</w:t>
      </w:r>
      <w:r w:rsidR="006F7D98" w:rsidRPr="00653E85">
        <w:rPr>
          <w:rFonts w:asciiTheme="majorHAnsi" w:hAnsiTheme="majorHAnsi" w:cstheme="majorHAnsi"/>
          <w:sz w:val="24"/>
          <w:szCs w:val="24"/>
          <w:lang w:val="ro-MD"/>
        </w:rPr>
        <w:t xml:space="preserve"> pensii</w:t>
      </w:r>
      <w:r w:rsidR="004D7379" w:rsidRPr="00653E85">
        <w:rPr>
          <w:rFonts w:asciiTheme="majorHAnsi" w:hAnsiTheme="majorHAnsi" w:cstheme="majorHAnsi"/>
          <w:sz w:val="24"/>
          <w:szCs w:val="24"/>
          <w:lang w:val="ro-MD"/>
        </w:rPr>
        <w:t>lor</w:t>
      </w:r>
      <w:r w:rsidR="006F7D98" w:rsidRPr="00653E85">
        <w:rPr>
          <w:rFonts w:asciiTheme="majorHAnsi" w:hAnsiTheme="majorHAnsi" w:cstheme="majorHAnsi"/>
          <w:sz w:val="24"/>
          <w:szCs w:val="24"/>
          <w:lang w:val="ro-MD"/>
        </w:rPr>
        <w:t xml:space="preserve"> de asigurări sociale.</w:t>
      </w:r>
    </w:p>
    <w:p w14:paraId="605EBA10" w14:textId="2488C0DC" w:rsidR="001C1A48" w:rsidRPr="00653E85" w:rsidRDefault="006620FD" w:rsidP="00683C4B">
      <w:pPr>
        <w:spacing w:before="240" w:after="0" w:line="276" w:lineRule="auto"/>
        <w:jc w:val="both"/>
        <w:rPr>
          <w:rFonts w:asciiTheme="majorHAnsi" w:hAnsiTheme="majorHAnsi" w:cstheme="majorHAnsi"/>
          <w:sz w:val="24"/>
          <w:szCs w:val="24"/>
          <w:lang w:val="ro-MD"/>
        </w:rPr>
      </w:pPr>
      <w:r w:rsidRPr="00653E85">
        <w:rPr>
          <w:rFonts w:asciiTheme="majorHAnsi" w:eastAsia="Calibri" w:hAnsiTheme="majorHAnsi" w:cstheme="majorHAnsi"/>
          <w:sz w:val="24"/>
          <w:szCs w:val="24"/>
          <w:lang w:val="ro-MD"/>
        </w:rPr>
        <w:t>Pentru calcularea pensiilor, s</w:t>
      </w:r>
      <w:r w:rsidR="00683C4B" w:rsidRPr="00653E85">
        <w:rPr>
          <w:rFonts w:asciiTheme="majorHAnsi" w:eastAsia="Calibri" w:hAnsiTheme="majorHAnsi" w:cstheme="majorHAnsi"/>
          <w:sz w:val="24"/>
          <w:szCs w:val="24"/>
          <w:lang w:val="ro-MD"/>
        </w:rPr>
        <w:t xml:space="preserve">istemul Informațional </w:t>
      </w:r>
      <w:r w:rsidR="00683C4B" w:rsidRPr="00653E85">
        <w:rPr>
          <w:rFonts w:asciiTheme="majorHAnsi" w:hAnsiTheme="majorHAnsi" w:cstheme="majorHAnsi"/>
          <w:sz w:val="24"/>
          <w:szCs w:val="24"/>
          <w:lang w:val="ro-MD"/>
        </w:rPr>
        <w:t>„Protecția Socială”</w:t>
      </w:r>
      <w:r w:rsidR="00683C4B" w:rsidRPr="00653E85">
        <w:rPr>
          <w:rFonts w:asciiTheme="majorHAnsi" w:eastAsia="Calibri" w:hAnsiTheme="majorHAnsi" w:cstheme="majorHAnsi"/>
          <w:sz w:val="24"/>
          <w:szCs w:val="24"/>
          <w:lang w:val="ro-MD"/>
        </w:rPr>
        <w:t xml:space="preserve"> generează și efectuează calculele reieșind din datele introduse de specialiști la stabilirea/recalcularea pensiilor.</w:t>
      </w:r>
      <w:r w:rsidR="00683C4B" w:rsidRPr="00653E85">
        <w:rPr>
          <w:rFonts w:asciiTheme="majorHAnsi" w:hAnsiTheme="majorHAnsi" w:cstheme="majorHAnsi"/>
          <w:sz w:val="24"/>
          <w:szCs w:val="24"/>
          <w:lang w:val="ro-MD"/>
        </w:rPr>
        <w:t xml:space="preserve"> Astfel, s-a confirmat corectitudinea înregistrării datelor în SI, ca urmare a contrapunerii datelor cu documentele anexate la dosarul beneficiarului, nefiind constatate divergențe în exactitatea calculelor. De asemenea, l</w:t>
      </w:r>
      <w:r w:rsidR="00683C4B" w:rsidRPr="00653E85">
        <w:rPr>
          <w:rFonts w:asciiTheme="majorHAnsi" w:eastAsia="Calibri" w:hAnsiTheme="majorHAnsi" w:cstheme="majorHAnsi"/>
          <w:sz w:val="24"/>
          <w:szCs w:val="24"/>
          <w:lang w:val="ro-MD"/>
        </w:rPr>
        <w:t>a verificarea regularității stabilirii/recalculării pe</w:t>
      </w:r>
      <w:r w:rsidRPr="00653E85">
        <w:rPr>
          <w:rFonts w:asciiTheme="majorHAnsi" w:eastAsia="Calibri" w:hAnsiTheme="majorHAnsi" w:cstheme="majorHAnsi"/>
          <w:sz w:val="24"/>
          <w:szCs w:val="24"/>
          <w:lang w:val="ro-MD"/>
        </w:rPr>
        <w:t xml:space="preserve">nsiilor pentru limită de vârstă, </w:t>
      </w:r>
      <w:r w:rsidR="00683C4B" w:rsidRPr="00653E85">
        <w:rPr>
          <w:rFonts w:asciiTheme="majorHAnsi" w:hAnsiTheme="majorHAnsi" w:cstheme="majorHAnsi"/>
          <w:sz w:val="24"/>
          <w:szCs w:val="24"/>
          <w:lang w:val="ro-MD"/>
        </w:rPr>
        <w:t xml:space="preserve">de dizabilitate, </w:t>
      </w:r>
      <w:r w:rsidRPr="00653E85">
        <w:rPr>
          <w:rFonts w:asciiTheme="majorHAnsi" w:hAnsiTheme="majorHAnsi" w:cstheme="majorHAnsi"/>
          <w:sz w:val="24"/>
          <w:szCs w:val="24"/>
          <w:lang w:val="ro-MD"/>
        </w:rPr>
        <w:t>de urma</w:t>
      </w:r>
      <w:r w:rsidRPr="00B7675F">
        <w:rPr>
          <w:rFonts w:asciiTheme="majorHAnsi" w:hAnsiTheme="majorHAnsi" w:cstheme="majorHAnsi"/>
          <w:sz w:val="24"/>
          <w:szCs w:val="24"/>
          <w:lang w:val="ro-MD"/>
        </w:rPr>
        <w:t>ș</w:t>
      </w:r>
      <w:r w:rsidRPr="0038225D">
        <w:rPr>
          <w:rFonts w:asciiTheme="majorHAnsi" w:hAnsiTheme="majorHAnsi" w:cstheme="majorHAnsi"/>
          <w:sz w:val="24"/>
          <w:szCs w:val="24"/>
          <w:lang w:val="ro-MD"/>
        </w:rPr>
        <w:t xml:space="preserve"> și anticipate, </w:t>
      </w:r>
      <w:r w:rsidR="00683C4B" w:rsidRPr="00653E85">
        <w:rPr>
          <w:rFonts w:asciiTheme="majorHAnsi" w:hAnsiTheme="majorHAnsi" w:cstheme="majorHAnsi"/>
          <w:sz w:val="24"/>
          <w:szCs w:val="24"/>
          <w:lang w:val="ro-MD"/>
        </w:rPr>
        <w:t>precum și a înregistrării/raportării cheltuielilor aferente</w:t>
      </w:r>
      <w:r w:rsidR="004D7379" w:rsidRPr="00653E85">
        <w:rPr>
          <w:rFonts w:asciiTheme="majorHAnsi" w:hAnsiTheme="majorHAnsi" w:cstheme="majorHAnsi"/>
          <w:sz w:val="24"/>
          <w:szCs w:val="24"/>
          <w:lang w:val="ro-MD"/>
        </w:rPr>
        <w:t>,</w:t>
      </w:r>
      <w:r w:rsidR="00683C4B" w:rsidRPr="00653E85">
        <w:rPr>
          <w:rFonts w:asciiTheme="majorHAnsi" w:hAnsiTheme="majorHAnsi" w:cstheme="majorHAnsi"/>
          <w:sz w:val="24"/>
          <w:szCs w:val="24"/>
          <w:lang w:val="ro-MD"/>
        </w:rPr>
        <w:t xml:space="preserve"> nu s-au stabilit e</w:t>
      </w:r>
      <w:r w:rsidR="00683C4B" w:rsidRPr="00653E85">
        <w:rPr>
          <w:rFonts w:asciiTheme="majorHAnsi" w:eastAsia="Calibri" w:hAnsiTheme="majorHAnsi" w:cstheme="majorHAnsi"/>
          <w:sz w:val="24"/>
          <w:szCs w:val="24"/>
          <w:lang w:val="ro-MD"/>
        </w:rPr>
        <w:t>rori. C</w:t>
      </w:r>
      <w:r w:rsidR="00683C4B" w:rsidRPr="00653E85">
        <w:rPr>
          <w:rFonts w:asciiTheme="majorHAnsi" w:hAnsiTheme="majorHAnsi" w:cstheme="majorHAnsi"/>
          <w:sz w:val="24"/>
          <w:szCs w:val="24"/>
          <w:lang w:val="ro-MD"/>
        </w:rPr>
        <w:t xml:space="preserve">u privire la corectitudinea și plenitudinea datelor înregistrate în evidența contabilă, auditul nu a constatat divergențe, sumele fiind reflectate în perioada corespunzătoare </w:t>
      </w:r>
      <w:r w:rsidR="00683C4B" w:rsidRPr="00653E85">
        <w:rPr>
          <w:rFonts w:asciiTheme="majorHAnsi" w:eastAsia="Calibri" w:hAnsiTheme="majorHAnsi" w:cstheme="majorHAnsi"/>
          <w:sz w:val="24"/>
          <w:szCs w:val="24"/>
          <w:lang w:val="ro-MD"/>
        </w:rPr>
        <w:t>pe elementele componente</w:t>
      </w:r>
      <w:r w:rsidR="00683C4B" w:rsidRPr="00653E85">
        <w:rPr>
          <w:rFonts w:asciiTheme="majorHAnsi" w:eastAsia="Calibri" w:hAnsiTheme="majorHAnsi" w:cstheme="majorHAnsi"/>
          <w:sz w:val="24"/>
          <w:szCs w:val="24"/>
          <w:lang w:val="ro-MD" w:eastAsia="ro-RO"/>
        </w:rPr>
        <w:t xml:space="preserve"> (</w:t>
      </w:r>
      <w:r w:rsidR="00683C4B" w:rsidRPr="00653E85">
        <w:rPr>
          <w:rFonts w:asciiTheme="majorHAnsi" w:eastAsia="Times New Roman" w:hAnsiTheme="majorHAnsi" w:cstheme="majorHAnsi"/>
          <w:sz w:val="24"/>
          <w:szCs w:val="24"/>
          <w:lang w:val="ro-MD"/>
        </w:rPr>
        <w:t>pentru acoperirea diferenței până la pensia minimă, aferente perioadelor necontributive incluse în stagiul de cotizare),</w:t>
      </w:r>
      <w:r w:rsidR="00683C4B" w:rsidRPr="00653E85">
        <w:rPr>
          <w:rFonts w:asciiTheme="majorHAnsi" w:eastAsia="Calibri" w:hAnsiTheme="majorHAnsi" w:cstheme="majorHAnsi"/>
          <w:sz w:val="24"/>
          <w:szCs w:val="24"/>
          <w:lang w:val="ro-MD" w:eastAsia="ro-RO"/>
        </w:rPr>
        <w:t xml:space="preserve"> înregistrate separat în conturile prevăzute în acest sens</w:t>
      </w:r>
      <w:r w:rsidR="00683C4B" w:rsidRPr="00653E85">
        <w:rPr>
          <w:rFonts w:asciiTheme="majorHAnsi" w:hAnsiTheme="majorHAnsi" w:cstheme="majorHAnsi"/>
          <w:sz w:val="24"/>
          <w:szCs w:val="24"/>
          <w:lang w:val="ro-MD"/>
        </w:rPr>
        <w:t xml:space="preserve"> și în funcție de</w:t>
      </w:r>
      <w:r w:rsidR="0002197A" w:rsidRPr="00653E85">
        <w:rPr>
          <w:rFonts w:asciiTheme="majorHAnsi" w:hAnsiTheme="majorHAnsi" w:cstheme="majorHAnsi"/>
          <w:sz w:val="24"/>
          <w:szCs w:val="24"/>
          <w:lang w:val="ro-MD"/>
        </w:rPr>
        <w:t xml:space="preserve"> sursa de finanțare (BASS/BS). </w:t>
      </w:r>
    </w:p>
    <w:p w14:paraId="08334D2C" w14:textId="50C9A92E" w:rsidR="001C1A48" w:rsidRPr="00653E85" w:rsidRDefault="001C1A48" w:rsidP="00183D72">
      <w:pPr>
        <w:pStyle w:val="aa"/>
        <w:numPr>
          <w:ilvl w:val="2"/>
          <w:numId w:val="2"/>
        </w:numPr>
        <w:spacing w:before="240" w:after="0" w:line="276" w:lineRule="auto"/>
        <w:ind w:left="0" w:firstLine="284"/>
        <w:jc w:val="both"/>
        <w:outlineLvl w:val="2"/>
        <w:rPr>
          <w:rFonts w:asciiTheme="majorHAnsi" w:hAnsiTheme="majorHAnsi" w:cstheme="majorHAnsi"/>
          <w:b/>
          <w:sz w:val="24"/>
          <w:szCs w:val="24"/>
          <w:lang w:val="ro-MD"/>
        </w:rPr>
      </w:pPr>
      <w:r w:rsidRPr="00653E85">
        <w:rPr>
          <w:rFonts w:asciiTheme="majorHAnsi" w:hAnsiTheme="majorHAnsi" w:cstheme="majorHAnsi"/>
          <w:b/>
          <w:sz w:val="24"/>
          <w:szCs w:val="24"/>
          <w:lang w:val="ro-MD"/>
        </w:rPr>
        <w:t>Sistarea plății în cazul decesului beneficiarilor de pensii este influențată de recepționarea cu întârziere a informațiilor privind decesul beneficiarilor</w:t>
      </w:r>
      <w:r w:rsidR="004D7379" w:rsidRPr="00653E85">
        <w:rPr>
          <w:rFonts w:asciiTheme="majorHAnsi" w:hAnsiTheme="majorHAnsi" w:cstheme="majorHAnsi"/>
          <w:b/>
          <w:sz w:val="24"/>
          <w:szCs w:val="24"/>
          <w:lang w:val="ro-MD"/>
        </w:rPr>
        <w:t>,</w:t>
      </w:r>
      <w:r w:rsidRPr="00653E85">
        <w:rPr>
          <w:rFonts w:asciiTheme="majorHAnsi" w:hAnsiTheme="majorHAnsi" w:cstheme="majorHAnsi"/>
          <w:b/>
          <w:sz w:val="24"/>
          <w:szCs w:val="24"/>
          <w:lang w:val="ro-MD"/>
        </w:rPr>
        <w:t xml:space="preserve"> ceea ce </w:t>
      </w:r>
      <w:r w:rsidR="004D7379" w:rsidRPr="00653E85">
        <w:rPr>
          <w:rFonts w:asciiTheme="majorHAnsi" w:hAnsiTheme="majorHAnsi" w:cstheme="majorHAnsi"/>
          <w:b/>
          <w:sz w:val="24"/>
          <w:szCs w:val="24"/>
          <w:lang w:val="ro-MD"/>
        </w:rPr>
        <w:t xml:space="preserve">a </w:t>
      </w:r>
      <w:r w:rsidRPr="00653E85">
        <w:rPr>
          <w:rFonts w:asciiTheme="majorHAnsi" w:hAnsiTheme="majorHAnsi" w:cstheme="majorHAnsi"/>
          <w:b/>
          <w:sz w:val="24"/>
          <w:szCs w:val="24"/>
          <w:lang w:val="ro-MD"/>
        </w:rPr>
        <w:t>determin</w:t>
      </w:r>
      <w:r w:rsidR="004D7379" w:rsidRPr="00653E85">
        <w:rPr>
          <w:rFonts w:asciiTheme="majorHAnsi" w:hAnsiTheme="majorHAnsi" w:cstheme="majorHAnsi"/>
          <w:b/>
          <w:sz w:val="24"/>
          <w:szCs w:val="24"/>
          <w:lang w:val="ro-MD"/>
        </w:rPr>
        <w:t>at</w:t>
      </w:r>
      <w:r w:rsidRPr="00653E85">
        <w:rPr>
          <w:rFonts w:asciiTheme="majorHAnsi" w:hAnsiTheme="majorHAnsi" w:cstheme="majorHAnsi"/>
          <w:b/>
          <w:sz w:val="24"/>
          <w:szCs w:val="24"/>
          <w:lang w:val="ro-MD"/>
        </w:rPr>
        <w:t xml:space="preserve"> cheltuieli nejustificate în sumă de 1 167,0 mii lei</w:t>
      </w:r>
      <w:r w:rsidR="004D7379" w:rsidRPr="00653E85">
        <w:rPr>
          <w:rFonts w:asciiTheme="majorHAnsi" w:hAnsiTheme="majorHAnsi" w:cstheme="majorHAnsi"/>
          <w:b/>
          <w:sz w:val="24"/>
          <w:szCs w:val="24"/>
          <w:lang w:val="ro-MD"/>
        </w:rPr>
        <w:t>.</w:t>
      </w:r>
    </w:p>
    <w:p w14:paraId="0F463463" w14:textId="475D413B" w:rsidR="00683C4B" w:rsidRPr="00653E85" w:rsidRDefault="00683C4B" w:rsidP="00683C4B">
      <w:pPr>
        <w:spacing w:before="240"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Atenția auditului a fost atrasă de sistarea plății în cazul decesului beneficiarilor </w:t>
      </w:r>
      <w:r w:rsidR="006A3B64"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acest</w:t>
      </w:r>
      <w:r w:rsidR="006A3B64" w:rsidRPr="00653E85">
        <w:rPr>
          <w:rFonts w:asciiTheme="majorHAnsi" w:hAnsiTheme="majorHAnsi" w:cstheme="majorHAnsi"/>
          <w:sz w:val="24"/>
          <w:szCs w:val="24"/>
          <w:lang w:val="ro-MD"/>
        </w:rPr>
        <w:t>e</w:t>
      </w:r>
      <w:r w:rsidRPr="00653E85">
        <w:rPr>
          <w:rFonts w:asciiTheme="majorHAnsi" w:hAnsiTheme="majorHAnsi" w:cstheme="majorHAnsi"/>
          <w:sz w:val="24"/>
          <w:szCs w:val="24"/>
          <w:lang w:val="ro-MD"/>
        </w:rPr>
        <w:t xml:space="preserve"> tipuri de prestații. Astfel, deși cadrul legal prevede că pensia se plătește inclusiv pentru luna în care a avut loc decesul beneficiarului</w:t>
      </w:r>
      <w:r w:rsidRPr="00653E85">
        <w:rPr>
          <w:rStyle w:val="a5"/>
          <w:rFonts w:asciiTheme="majorHAnsi" w:hAnsiTheme="majorHAnsi" w:cstheme="majorHAnsi"/>
          <w:sz w:val="24"/>
          <w:szCs w:val="24"/>
          <w:lang w:val="ro-MD"/>
        </w:rPr>
        <w:footnoteReference w:id="48"/>
      </w:r>
      <w:r w:rsidRPr="00653E85">
        <w:rPr>
          <w:rFonts w:asciiTheme="majorHAnsi" w:hAnsiTheme="majorHAnsi" w:cstheme="majorHAnsi"/>
          <w:sz w:val="24"/>
          <w:szCs w:val="24"/>
          <w:lang w:val="ro-MD"/>
        </w:rPr>
        <w:t>, s-a constatat că</w:t>
      </w:r>
      <w:r w:rsidR="004D7379"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în cazul a 115 beneficiari decedați (43,0%), din 270 verificați, pensia a fost achitată după data decesului, de la o lună până la 6 luni. Din totalul sumelor achitate nejustificat de 1 167</w:t>
      </w:r>
      <w:r w:rsidRPr="00653E85">
        <w:rPr>
          <w:rFonts w:asciiTheme="majorHAnsi" w:hAnsiTheme="majorHAnsi" w:cstheme="majorHAnsi"/>
          <w:color w:val="000000" w:themeColor="text1"/>
          <w:sz w:val="24"/>
          <w:szCs w:val="24"/>
          <w:lang w:val="ro-MD"/>
        </w:rPr>
        <w:t>,0 mii lei, 81,9% (</w:t>
      </w:r>
      <w:r w:rsidR="00A60D5D" w:rsidRPr="00653E85">
        <w:rPr>
          <w:rFonts w:asciiTheme="majorHAnsi" w:hAnsiTheme="majorHAnsi" w:cstheme="majorHAnsi"/>
          <w:color w:val="000000" w:themeColor="text1"/>
          <w:sz w:val="24"/>
          <w:szCs w:val="24"/>
          <w:lang w:val="ro-MD"/>
        </w:rPr>
        <w:t xml:space="preserve">sau </w:t>
      </w:r>
      <w:r w:rsidRPr="00653E85">
        <w:rPr>
          <w:rFonts w:asciiTheme="majorHAnsi" w:hAnsiTheme="majorHAnsi" w:cstheme="majorHAnsi"/>
          <w:color w:val="000000" w:themeColor="text1"/>
          <w:sz w:val="24"/>
          <w:szCs w:val="24"/>
          <w:lang w:val="ro-MD"/>
        </w:rPr>
        <w:t>956,0 mii lei)</w:t>
      </w:r>
      <w:r w:rsidR="004D7379" w:rsidRPr="00653E85">
        <w:rPr>
          <w:rFonts w:asciiTheme="majorHAnsi" w:hAnsiTheme="majorHAnsi" w:cstheme="majorHAnsi"/>
          <w:color w:val="000000" w:themeColor="text1"/>
          <w:sz w:val="24"/>
          <w:szCs w:val="24"/>
          <w:lang w:val="ro-MD"/>
        </w:rPr>
        <w:t>,</w:t>
      </w:r>
      <w:r w:rsidRPr="00653E85">
        <w:rPr>
          <w:rFonts w:asciiTheme="majorHAnsi" w:hAnsiTheme="majorHAnsi" w:cstheme="majorHAnsi"/>
          <w:color w:val="000000" w:themeColor="text1"/>
          <w:sz w:val="24"/>
          <w:szCs w:val="24"/>
          <w:lang w:val="ro-MD"/>
        </w:rPr>
        <w:t xml:space="preserve"> au fost restituite benevol de către rudele persoanelor decedate, iar 18,1% (211,0 mii lei)</w:t>
      </w:r>
      <w:r w:rsidRPr="00653E85">
        <w:rPr>
          <w:rFonts w:asciiTheme="majorHAnsi" w:hAnsiTheme="majorHAnsi" w:cstheme="majorHAnsi"/>
          <w:b/>
          <w:i/>
          <w:color w:val="000000" w:themeColor="text1"/>
          <w:sz w:val="24"/>
          <w:szCs w:val="24"/>
          <w:lang w:val="ro-MD"/>
        </w:rPr>
        <w:t xml:space="preserve"> </w:t>
      </w:r>
      <w:r w:rsidRPr="00653E85">
        <w:rPr>
          <w:rFonts w:asciiTheme="majorHAnsi" w:hAnsiTheme="majorHAnsi" w:cstheme="majorHAnsi"/>
          <w:color w:val="000000" w:themeColor="text1"/>
          <w:sz w:val="24"/>
          <w:szCs w:val="24"/>
          <w:lang w:val="ro-MD"/>
        </w:rPr>
        <w:t xml:space="preserve">nu </w:t>
      </w:r>
      <w:r w:rsidRPr="00653E85">
        <w:rPr>
          <w:rFonts w:asciiTheme="majorHAnsi" w:hAnsiTheme="majorHAnsi" w:cstheme="majorHAnsi"/>
          <w:sz w:val="24"/>
          <w:szCs w:val="24"/>
          <w:lang w:val="ro-MD"/>
        </w:rPr>
        <w:t xml:space="preserve">au fost restituite, deoarece entitatea nu deține pârghii de recuperare a acestor sume. Achitarea nejustificată a pensiei se constată preponderent în cazul decesului beneficiarului după data de 25, deoarece listele de plată se formează în ultimele zile ale lunii pentru următoarea lună. </w:t>
      </w:r>
    </w:p>
    <w:p w14:paraId="135485CC" w14:textId="77777777" w:rsidR="00683C4B" w:rsidRPr="00653E85" w:rsidRDefault="00683C4B" w:rsidP="00683C4B">
      <w:pPr>
        <w:spacing w:before="240" w:after="0" w:line="276" w:lineRule="auto"/>
        <w:jc w:val="both"/>
        <w:rPr>
          <w:rFonts w:asciiTheme="majorHAnsi" w:hAnsiTheme="majorHAnsi" w:cstheme="majorHAnsi"/>
          <w:sz w:val="24"/>
          <w:szCs w:val="24"/>
          <w:shd w:val="clear" w:color="auto" w:fill="FFFFFF"/>
          <w:lang w:val="ro-MD"/>
        </w:rPr>
      </w:pPr>
      <w:r w:rsidRPr="00653E85">
        <w:rPr>
          <w:rFonts w:asciiTheme="majorHAnsi" w:hAnsiTheme="majorHAnsi" w:cstheme="majorHAnsi"/>
          <w:sz w:val="24"/>
          <w:szCs w:val="24"/>
          <w:lang w:val="ro-MD"/>
        </w:rPr>
        <w:t xml:space="preserve">Potrivit Acordului încheiat între CNAS și </w:t>
      </w:r>
      <w:r w:rsidRPr="00653E85">
        <w:rPr>
          <w:rFonts w:asciiTheme="majorHAnsi" w:eastAsia="Calibri" w:hAnsiTheme="majorHAnsi" w:cstheme="majorHAnsi"/>
          <w:noProof/>
          <w:sz w:val="24"/>
          <w:szCs w:val="24"/>
          <w:lang w:val="ro-MD"/>
        </w:rPr>
        <w:t>AGE</w:t>
      </w:r>
      <w:r w:rsidRPr="00653E85">
        <w:rPr>
          <w:rStyle w:val="a5"/>
          <w:rFonts w:eastAsia="Calibri" w:cstheme="majorHAnsi"/>
          <w:noProof/>
          <w:sz w:val="24"/>
          <w:szCs w:val="24"/>
          <w:lang w:val="ro-MD"/>
        </w:rPr>
        <w:footnoteReference w:id="49"/>
      </w:r>
      <w:r w:rsidRPr="00653E85">
        <w:rPr>
          <w:rFonts w:asciiTheme="majorHAnsi" w:eastAsia="Calibri" w:hAnsiTheme="majorHAnsi" w:cstheme="majorHAnsi"/>
          <w:noProof/>
          <w:sz w:val="24"/>
          <w:szCs w:val="24"/>
          <w:lang w:val="ro-MD"/>
        </w:rPr>
        <w:t xml:space="preserve">, aceasta din urmă </w:t>
      </w:r>
      <w:r w:rsidRPr="00653E85">
        <w:rPr>
          <w:rFonts w:asciiTheme="majorHAnsi" w:hAnsiTheme="majorHAnsi" w:cstheme="majorHAnsi"/>
          <w:sz w:val="24"/>
          <w:szCs w:val="24"/>
          <w:lang w:val="ro-MD"/>
        </w:rPr>
        <w:t>asigură,</w:t>
      </w:r>
      <w:r w:rsidRPr="00653E85">
        <w:rPr>
          <w:rFonts w:asciiTheme="majorHAnsi" w:eastAsia="Calibri" w:hAnsiTheme="majorHAnsi" w:cstheme="majorHAnsi"/>
          <w:noProof/>
          <w:sz w:val="24"/>
          <w:szCs w:val="24"/>
          <w:lang w:val="ro-MD"/>
        </w:rPr>
        <w:t xml:space="preserve"> prin intermediul platformei M-Conect, conexiunea între CNAS și </w:t>
      </w:r>
      <w:r w:rsidRPr="00653E85">
        <w:rPr>
          <w:rFonts w:asciiTheme="majorHAnsi" w:hAnsiTheme="majorHAnsi" w:cstheme="majorHAnsi"/>
          <w:sz w:val="24"/>
          <w:szCs w:val="24"/>
          <w:lang w:val="ro-MD"/>
        </w:rPr>
        <w:t>ASP. Astfel,</w:t>
      </w:r>
      <w:r w:rsidRPr="00653E85">
        <w:rPr>
          <w:rFonts w:asciiTheme="majorHAnsi" w:eastAsia="Calibri" w:hAnsiTheme="majorHAnsi" w:cstheme="majorHAnsi"/>
          <w:noProof/>
          <w:sz w:val="24"/>
          <w:szCs w:val="24"/>
          <w:lang w:val="ro-MD"/>
        </w:rPr>
        <w:t xml:space="preserve"> în regim automatizat s</w:t>
      </w:r>
      <w:r w:rsidRPr="00653E85">
        <w:rPr>
          <w:rFonts w:asciiTheme="majorHAnsi" w:hAnsiTheme="majorHAnsi" w:cstheme="majorHAnsi"/>
          <w:color w:val="000000"/>
          <w:sz w:val="24"/>
          <w:szCs w:val="24"/>
          <w:lang w:val="ro-MD"/>
        </w:rPr>
        <w:t>unt recepționate toate datele despre persoanele fizice decedate, care au parvenit în acea zi,</w:t>
      </w:r>
      <w:r w:rsidRPr="00653E85">
        <w:rPr>
          <w:rFonts w:asciiTheme="majorHAnsi" w:hAnsiTheme="majorHAnsi" w:cstheme="majorHAnsi"/>
          <w:sz w:val="24"/>
          <w:szCs w:val="24"/>
          <w:lang w:val="ro-MD"/>
        </w:rPr>
        <w:t xml:space="preserve"> preluate din Registrul de Stat al Populației (deținut de Agenția Servicii Publice)</w:t>
      </w:r>
      <w:r w:rsidRPr="00653E85">
        <w:rPr>
          <w:rFonts w:asciiTheme="majorHAnsi" w:hAnsiTheme="majorHAnsi" w:cstheme="majorHAnsi"/>
          <w:color w:val="000000"/>
          <w:sz w:val="24"/>
          <w:szCs w:val="24"/>
          <w:lang w:val="ro-MD"/>
        </w:rPr>
        <w:t>. Datele se încarcă în SI „Protecția Socială”, după care, în regim automatizat, programul analizează toate tipurile de prestații sociale și, în cazul în care depistează decizii de plată active, inițiază blocarea plății.</w:t>
      </w:r>
      <w:r w:rsidRPr="00653E85">
        <w:rPr>
          <w:rFonts w:asciiTheme="majorHAnsi" w:hAnsiTheme="majorHAnsi" w:cstheme="majorHAnsi"/>
          <w:sz w:val="24"/>
          <w:szCs w:val="24"/>
          <w:lang w:val="ro-MD"/>
        </w:rPr>
        <w:t xml:space="preserve"> S</w:t>
      </w:r>
      <w:r w:rsidRPr="00653E85">
        <w:rPr>
          <w:rFonts w:asciiTheme="majorHAnsi" w:eastAsia="Calibri" w:hAnsiTheme="majorHAnsi" w:cstheme="majorHAnsi"/>
          <w:noProof/>
          <w:sz w:val="24"/>
          <w:szCs w:val="24"/>
          <w:lang w:val="ro-MD"/>
        </w:rPr>
        <w:t xml:space="preserve">chimbul de date urmează a avea loc zilnic (24 ore din 24 ore, 7 zile în săptămână) pentru a se evita achitările în plus a prestațiilor sociale. </w:t>
      </w:r>
    </w:p>
    <w:p w14:paraId="2C9D9E10" w14:textId="77777777" w:rsidR="00683C4B" w:rsidRPr="00653E85" w:rsidRDefault="00683C4B" w:rsidP="00683C4B">
      <w:pPr>
        <w:pStyle w:val="a6"/>
        <w:shd w:val="clear" w:color="auto" w:fill="FFFFFF" w:themeFill="background1"/>
        <w:spacing w:after="240" w:line="276" w:lineRule="auto"/>
        <w:ind w:firstLine="0"/>
        <w:rPr>
          <w:rFonts w:asciiTheme="majorHAnsi" w:eastAsia="Calibri" w:hAnsiTheme="majorHAnsi" w:cstheme="majorHAnsi"/>
          <w:noProof/>
          <w:lang w:val="ro-MD"/>
        </w:rPr>
      </w:pPr>
      <w:r w:rsidRPr="00653E85">
        <w:rPr>
          <w:noProof/>
          <w:lang w:val="ru-RU" w:eastAsia="ru-RU"/>
        </w:rPr>
        <w:drawing>
          <wp:inline distT="0" distB="0" distL="0" distR="0" wp14:anchorId="0C3480C4" wp14:editId="6DC78D38">
            <wp:extent cx="5935980" cy="1356360"/>
            <wp:effectExtent l="19050" t="0" r="2667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5C58544" w14:textId="6BB20015" w:rsidR="00683C4B" w:rsidRPr="00653E85" w:rsidRDefault="008D1DF2" w:rsidP="00683C4B">
      <w:pPr>
        <w:shd w:val="clear" w:color="auto" w:fill="FFFFFF" w:themeFill="background1"/>
        <w:spacing w:line="276" w:lineRule="auto"/>
        <w:jc w:val="center"/>
        <w:rPr>
          <w:rFonts w:asciiTheme="majorHAnsi" w:hAnsiTheme="majorHAnsi"/>
          <w:i/>
          <w:sz w:val="20"/>
          <w:szCs w:val="20"/>
          <w:lang w:val="ro-MD"/>
        </w:rPr>
      </w:pPr>
      <w:r w:rsidRPr="00653E85">
        <w:rPr>
          <w:rFonts w:asciiTheme="majorHAnsi" w:hAnsiTheme="majorHAnsi"/>
          <w:i/>
          <w:sz w:val="20"/>
          <w:szCs w:val="20"/>
          <w:lang w:val="ro-MD"/>
        </w:rPr>
        <w:t>Figura nr.3</w:t>
      </w:r>
      <w:r w:rsidR="00683C4B" w:rsidRPr="00653E85">
        <w:rPr>
          <w:rFonts w:asciiTheme="majorHAnsi" w:hAnsiTheme="majorHAnsi"/>
          <w:i/>
          <w:sz w:val="20"/>
          <w:szCs w:val="20"/>
          <w:lang w:val="ro-MD"/>
        </w:rPr>
        <w:t xml:space="preserve"> Procesul de recepționare a informații</w:t>
      </w:r>
      <w:r w:rsidR="006A3B64" w:rsidRPr="00653E85">
        <w:rPr>
          <w:rFonts w:asciiTheme="majorHAnsi" w:hAnsiTheme="majorHAnsi"/>
          <w:i/>
          <w:sz w:val="20"/>
          <w:szCs w:val="20"/>
          <w:lang w:val="ro-MD"/>
        </w:rPr>
        <w:t>lor</w:t>
      </w:r>
      <w:r w:rsidR="00683C4B" w:rsidRPr="00653E85">
        <w:rPr>
          <w:rFonts w:asciiTheme="majorHAnsi" w:hAnsiTheme="majorHAnsi"/>
          <w:i/>
          <w:sz w:val="20"/>
          <w:szCs w:val="20"/>
          <w:lang w:val="ro-MD"/>
        </w:rPr>
        <w:t xml:space="preserve"> privind decesul beneficiarilor</w:t>
      </w:r>
      <w:r w:rsidR="006A3B64" w:rsidRPr="00653E85">
        <w:rPr>
          <w:rFonts w:asciiTheme="majorHAnsi" w:hAnsiTheme="majorHAnsi"/>
          <w:i/>
          <w:sz w:val="20"/>
          <w:szCs w:val="20"/>
          <w:lang w:val="ro-MD"/>
        </w:rPr>
        <w:t>.</w:t>
      </w:r>
    </w:p>
    <w:p w14:paraId="75964942" w14:textId="36B21876" w:rsidR="00683C4B" w:rsidRPr="00653E85" w:rsidRDefault="00683C4B" w:rsidP="00683C4B">
      <w:pPr>
        <w:pStyle w:val="a6"/>
        <w:shd w:val="clear" w:color="auto" w:fill="FFFFFF" w:themeFill="background1"/>
        <w:spacing w:after="240" w:line="276" w:lineRule="auto"/>
        <w:ind w:firstLine="0"/>
        <w:rPr>
          <w:rFonts w:asciiTheme="majorHAnsi" w:eastAsia="Calibri" w:hAnsiTheme="majorHAnsi" w:cstheme="majorHAnsi"/>
          <w:noProof/>
          <w:lang w:val="ro-MD"/>
        </w:rPr>
      </w:pPr>
      <w:r w:rsidRPr="00653E85">
        <w:rPr>
          <w:rFonts w:asciiTheme="majorHAnsi" w:eastAsia="Calibri" w:hAnsiTheme="majorHAnsi" w:cstheme="majorHAnsi"/>
          <w:noProof/>
          <w:lang w:val="ro-MD"/>
        </w:rPr>
        <w:t xml:space="preserve">Cu referire la acest aspect, CNAS a informat că schimbul de date are loc zilnic, iar în cele mai dese cazuri sistarea plății prestației are loc atunci când rudele se adresează după ajutorul de deces. </w:t>
      </w:r>
      <w:r w:rsidRPr="00653E85">
        <w:rPr>
          <w:rFonts w:asciiTheme="majorHAnsi" w:hAnsiTheme="majorHAnsi" w:cstheme="majorHAnsi"/>
          <w:lang w:val="ro-MD"/>
        </w:rPr>
        <w:t>Achitarea nejustificată a pensiei este condiționată de două cauze majore:</w:t>
      </w:r>
    </w:p>
    <w:p w14:paraId="218554BA" w14:textId="75A8C80F" w:rsidR="00683C4B" w:rsidRPr="00653E85" w:rsidRDefault="00683C4B" w:rsidP="00FC573A">
      <w:pPr>
        <w:pStyle w:val="a6"/>
        <w:numPr>
          <w:ilvl w:val="0"/>
          <w:numId w:val="7"/>
        </w:numPr>
        <w:shd w:val="clear" w:color="auto" w:fill="FFFFFF" w:themeFill="background1"/>
        <w:spacing w:line="276" w:lineRule="auto"/>
        <w:ind w:left="0" w:firstLine="0"/>
        <w:rPr>
          <w:rFonts w:asciiTheme="majorHAnsi" w:hAnsiTheme="majorHAnsi" w:cstheme="majorHAnsi"/>
          <w:b/>
          <w:lang w:val="ro-MD"/>
        </w:rPr>
      </w:pPr>
      <w:r w:rsidRPr="00653E85">
        <w:rPr>
          <w:rFonts w:asciiTheme="majorHAnsi" w:hAnsiTheme="majorHAnsi" w:cstheme="majorHAnsi"/>
          <w:b/>
          <w:lang w:val="ro-MD"/>
        </w:rPr>
        <w:t>Introducerea tardivă a informațiilor despre deces, de către registratorii ASP, în Registrul de stat al populației.</w:t>
      </w:r>
    </w:p>
    <w:p w14:paraId="13101ED7" w14:textId="26BA0E61" w:rsidR="00683C4B" w:rsidRPr="00653E85" w:rsidRDefault="00683C4B" w:rsidP="00683C4B">
      <w:pPr>
        <w:pStyle w:val="a6"/>
        <w:shd w:val="clear" w:color="auto" w:fill="FFFFFF" w:themeFill="background1"/>
        <w:spacing w:after="240" w:line="276" w:lineRule="auto"/>
        <w:ind w:firstLine="0"/>
        <w:rPr>
          <w:rFonts w:asciiTheme="majorHAnsi" w:hAnsiTheme="majorHAnsi" w:cstheme="majorHAnsi"/>
          <w:lang w:val="ro-MD"/>
        </w:rPr>
      </w:pPr>
      <w:r w:rsidRPr="00653E85">
        <w:rPr>
          <w:rFonts w:asciiTheme="majorHAnsi" w:hAnsiTheme="majorHAnsi" w:cstheme="majorHAnsi"/>
          <w:lang w:val="ro-MD"/>
        </w:rPr>
        <w:t>În acest context, auditorul a solicitat de la ASP date despre decesul beneficiarilor și perioada introducerii informației în Registrul de stat al populației. Astfel, pentru cei 115 pensionari, au fost stabilite devieri între data decesului și data înregistrării la ASP</w:t>
      </w:r>
      <w:r w:rsidR="006A3B64" w:rsidRPr="00653E85">
        <w:rPr>
          <w:rFonts w:asciiTheme="majorHAnsi" w:hAnsiTheme="majorHAnsi" w:cstheme="majorHAnsi"/>
          <w:lang w:val="ro-MD"/>
        </w:rPr>
        <w:t>,</w:t>
      </w:r>
      <w:r w:rsidRPr="00653E85">
        <w:rPr>
          <w:rFonts w:asciiTheme="majorHAnsi" w:hAnsiTheme="majorHAnsi" w:cstheme="majorHAnsi"/>
          <w:lang w:val="ro-MD"/>
        </w:rPr>
        <w:t xml:space="preserve"> de la 1 zile până la 366 </w:t>
      </w:r>
      <w:r w:rsidR="006A3B64" w:rsidRPr="00653E85">
        <w:rPr>
          <w:rFonts w:asciiTheme="majorHAnsi" w:hAnsiTheme="majorHAnsi" w:cstheme="majorHAnsi"/>
          <w:lang w:val="ro-MD"/>
        </w:rPr>
        <w:t xml:space="preserve">de </w:t>
      </w:r>
      <w:r w:rsidRPr="00653E85">
        <w:rPr>
          <w:rFonts w:asciiTheme="majorHAnsi" w:hAnsiTheme="majorHAnsi" w:cstheme="majorHAnsi"/>
          <w:lang w:val="ro-MD"/>
        </w:rPr>
        <w:t>zile. Potrivit motivațiilor instituției, abaterile au fost cauzate</w:t>
      </w:r>
      <w:r w:rsidR="006A3B64" w:rsidRPr="00653E85">
        <w:rPr>
          <w:rFonts w:asciiTheme="majorHAnsi" w:hAnsiTheme="majorHAnsi" w:cstheme="majorHAnsi"/>
          <w:lang w:val="ro-MD"/>
        </w:rPr>
        <w:t>,</w:t>
      </w:r>
      <w:r w:rsidRPr="00653E85">
        <w:rPr>
          <w:rFonts w:asciiTheme="majorHAnsi" w:hAnsiTheme="majorHAnsi" w:cstheme="majorHAnsi"/>
          <w:lang w:val="ro-MD"/>
        </w:rPr>
        <w:t xml:space="preserve"> în mare parte</w:t>
      </w:r>
      <w:r w:rsidR="006A3B64" w:rsidRPr="00653E85">
        <w:rPr>
          <w:rFonts w:asciiTheme="majorHAnsi" w:hAnsiTheme="majorHAnsi" w:cstheme="majorHAnsi"/>
          <w:lang w:val="ro-MD"/>
        </w:rPr>
        <w:t>,</w:t>
      </w:r>
      <w:r w:rsidRPr="00653E85">
        <w:rPr>
          <w:rFonts w:asciiTheme="majorHAnsi" w:hAnsiTheme="majorHAnsi" w:cstheme="majorHAnsi"/>
          <w:lang w:val="ro-MD"/>
        </w:rPr>
        <w:t xml:space="preserve"> de producerea decesului în străinătate, iar actele au fost întocmite în procedură de transcriere (5 cazuri), în alte cazuri faptele de deces au fost produse și/sau consemnate în stânga Nistrului (2 cazuri), precum și faptele de deces nefiind declarate, nici întocmite acte de deces (3 cazuri).</w:t>
      </w:r>
      <w:r w:rsidR="006A3B64" w:rsidRPr="00653E85">
        <w:rPr>
          <w:rFonts w:asciiTheme="majorHAnsi" w:hAnsiTheme="majorHAnsi" w:cstheme="majorHAnsi"/>
          <w:lang w:val="ro-MD"/>
        </w:rPr>
        <w:t xml:space="preserve"> </w:t>
      </w:r>
      <w:r w:rsidRPr="00653E85">
        <w:rPr>
          <w:rFonts w:asciiTheme="majorHAnsi" w:hAnsiTheme="majorHAnsi" w:cstheme="majorHAnsi"/>
          <w:lang w:val="ro-MD"/>
        </w:rPr>
        <w:t>Printre motivele pentru care data producerii faptului decesului nu coincide cu data înregistrării actului de deces, a fost menționat și nerespectarea termenului prevăzut de către subiecții declarării, procedura înregistrării decesului, din oficiu, de către organele de stare civilă, nefiind reglementată legal în acest sens (28 dintre cazurile identificate de audit)</w:t>
      </w:r>
      <w:r w:rsidR="00EF4A05" w:rsidRPr="00653E85">
        <w:rPr>
          <w:rFonts w:asciiTheme="majorHAnsi" w:hAnsiTheme="majorHAnsi" w:cstheme="majorHAnsi"/>
          <w:lang w:val="ro-MD"/>
        </w:rPr>
        <w:t>.</w:t>
      </w:r>
    </w:p>
    <w:p w14:paraId="6C7BEB94" w14:textId="3AC3CA14" w:rsidR="00683C4B" w:rsidRPr="00653E85" w:rsidRDefault="00683C4B" w:rsidP="00683C4B">
      <w:pPr>
        <w:spacing w:after="0" w:line="276" w:lineRule="auto"/>
        <w:jc w:val="both"/>
        <w:rPr>
          <w:rFonts w:asciiTheme="majorHAnsi" w:hAnsiTheme="majorHAnsi" w:cstheme="majorHAnsi"/>
          <w:sz w:val="24"/>
          <w:szCs w:val="24"/>
          <w:lang w:val="ro-MD"/>
        </w:rPr>
      </w:pPr>
      <w:r w:rsidRPr="00653E85">
        <w:rPr>
          <w:rFonts w:asciiTheme="majorHAnsi" w:eastAsia="Times New Roman" w:hAnsiTheme="majorHAnsi" w:cstheme="majorHAnsi"/>
          <w:sz w:val="24"/>
          <w:szCs w:val="24"/>
          <w:lang w:val="ro-MD"/>
        </w:rPr>
        <w:t>Suplimentar, ASP a informat că</w:t>
      </w:r>
      <w:r w:rsidR="00324468" w:rsidRPr="00653E85">
        <w:rPr>
          <w:rFonts w:asciiTheme="majorHAnsi" w:eastAsia="Times New Roman" w:hAnsiTheme="majorHAnsi" w:cstheme="majorHAnsi"/>
          <w:sz w:val="24"/>
          <w:szCs w:val="24"/>
          <w:lang w:val="ro-MD"/>
        </w:rPr>
        <w:t>,</w:t>
      </w:r>
      <w:r w:rsidRPr="00653E85">
        <w:rPr>
          <w:rFonts w:asciiTheme="majorHAnsi" w:eastAsia="Times New Roman" w:hAnsiTheme="majorHAnsi" w:cstheme="majorHAnsi"/>
          <w:sz w:val="24"/>
          <w:szCs w:val="24"/>
          <w:lang w:val="ro-MD"/>
        </w:rPr>
        <w:t xml:space="preserve"> </w:t>
      </w:r>
      <w:r w:rsidRPr="00653E85">
        <w:rPr>
          <w:rFonts w:asciiTheme="majorHAnsi" w:hAnsiTheme="majorHAnsi" w:cstheme="majorHAnsi"/>
          <w:sz w:val="24"/>
          <w:szCs w:val="24"/>
          <w:lang w:val="ro-MD"/>
        </w:rPr>
        <w:t xml:space="preserve">potrivit art. 55 din Legea nr. 100/2001 privind actele de stare civilă, actul de deces se întocmește în urma declarației verbale făcute la organul de stare civilă. În conformitate cu art. 56 alin. (2) din Legea </w:t>
      </w:r>
      <w:r w:rsidR="00324468" w:rsidRPr="00653E85">
        <w:rPr>
          <w:rFonts w:asciiTheme="majorHAnsi" w:hAnsiTheme="majorHAnsi" w:cstheme="majorHAnsi"/>
          <w:sz w:val="24"/>
          <w:szCs w:val="24"/>
          <w:lang w:val="ro-MD"/>
        </w:rPr>
        <w:t>menționată</w:t>
      </w:r>
      <w:r w:rsidRPr="00653E85">
        <w:rPr>
          <w:rFonts w:asciiTheme="majorHAnsi" w:hAnsiTheme="majorHAnsi" w:cstheme="majorHAnsi"/>
          <w:sz w:val="24"/>
          <w:szCs w:val="24"/>
          <w:lang w:val="ro-MD"/>
        </w:rPr>
        <w:t xml:space="preserve">, au obligația de a face declarația de deces membrii familiei sau rudele decedatului, iar în lipsa acestora </w:t>
      </w:r>
      <w:r w:rsidR="0032446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colocatarii, vecinii, administrația imobilului, medicul sau altă persoană din unitatea sanitară unde s-a produs decesul.</w:t>
      </w:r>
    </w:p>
    <w:p w14:paraId="690985EC" w14:textId="2C973281" w:rsidR="00683C4B" w:rsidRPr="00653E85" w:rsidRDefault="00683C4B" w:rsidP="00683C4B">
      <w:pPr>
        <w:spacing w:before="240" w:after="0" w:line="276" w:lineRule="auto"/>
        <w:jc w:val="both"/>
        <w:rPr>
          <w:rFonts w:asciiTheme="majorHAnsi" w:hAnsiTheme="majorHAnsi" w:cstheme="majorHAnsi"/>
          <w:sz w:val="24"/>
          <w:szCs w:val="24"/>
          <w:lang w:val="ro-MD"/>
        </w:rPr>
      </w:pPr>
      <w:r w:rsidRPr="00653E85">
        <w:rPr>
          <w:rFonts w:asciiTheme="majorHAnsi" w:hAnsiTheme="majorHAnsi" w:cstheme="majorHAnsi"/>
          <w:color w:val="000000"/>
          <w:sz w:val="24"/>
          <w:szCs w:val="24"/>
          <w:lang w:val="ro-MD"/>
        </w:rPr>
        <w:t>Prevederile art. 56 alin. (1) din legea indicată supra stabilesc că declarația de deces se face în termen de 3 zile de la data producerii faptului decesului</w:t>
      </w:r>
      <w:r w:rsidRPr="00653E85">
        <w:rPr>
          <w:rFonts w:asciiTheme="majorHAnsi" w:hAnsiTheme="majorHAnsi" w:cstheme="majorHAnsi"/>
          <w:sz w:val="24"/>
          <w:szCs w:val="24"/>
          <w:lang w:val="ro-MD"/>
        </w:rPr>
        <w:t>. Autoritățile publice cărora le revine prerogativa legală de înregistrare a faptelor de deces, potrivit Legii nr. 100/2001 privind actele de stare civilă, sunt:</w:t>
      </w:r>
    </w:p>
    <w:p w14:paraId="2D63A400" w14:textId="7E02C9B5" w:rsidR="00683C4B" w:rsidRPr="00653E85" w:rsidRDefault="00683C4B" w:rsidP="00683C4B">
      <w:pPr>
        <w:pStyle w:val="aa"/>
        <w:numPr>
          <w:ilvl w:val="0"/>
          <w:numId w:val="8"/>
        </w:numPr>
        <w:spacing w:after="0" w:line="276" w:lineRule="auto"/>
        <w:ind w:left="0" w:firstLine="567"/>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serviciile </w:t>
      </w:r>
      <w:r w:rsidR="00324468" w:rsidRPr="00653E85">
        <w:rPr>
          <w:rFonts w:asciiTheme="majorHAnsi" w:hAnsiTheme="majorHAnsi" w:cstheme="majorHAnsi"/>
          <w:sz w:val="24"/>
          <w:szCs w:val="24"/>
          <w:lang w:val="ro-MD"/>
        </w:rPr>
        <w:t xml:space="preserve">de </w:t>
      </w:r>
      <w:r w:rsidRPr="00653E85">
        <w:rPr>
          <w:rFonts w:asciiTheme="majorHAnsi" w:hAnsiTheme="majorHAnsi" w:cstheme="majorHAnsi"/>
          <w:sz w:val="24"/>
          <w:szCs w:val="24"/>
          <w:lang w:val="ro-MD"/>
        </w:rPr>
        <w:t>stare civilă teritoriale ale Agenției Servicii Publice;</w:t>
      </w:r>
    </w:p>
    <w:p w14:paraId="629751BD" w14:textId="77777777" w:rsidR="00683C4B" w:rsidRPr="00653E85" w:rsidRDefault="00683C4B" w:rsidP="00683C4B">
      <w:pPr>
        <w:pStyle w:val="aa"/>
        <w:numPr>
          <w:ilvl w:val="0"/>
          <w:numId w:val="8"/>
        </w:numPr>
        <w:spacing w:after="0" w:line="276" w:lineRule="auto"/>
        <w:ind w:left="0" w:firstLine="567"/>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primăriile </w:t>
      </w:r>
      <w:r w:rsidRPr="00653E85">
        <w:rPr>
          <w:rFonts w:asciiTheme="majorHAnsi" w:hAnsiTheme="majorHAnsi" w:cstheme="majorHAnsi"/>
          <w:color w:val="000000"/>
          <w:sz w:val="24"/>
          <w:szCs w:val="24"/>
          <w:lang w:val="ro-MD"/>
        </w:rPr>
        <w:t>orașelor/satelor (comunelor)</w:t>
      </w:r>
      <w:r w:rsidRPr="00653E85">
        <w:rPr>
          <w:rFonts w:asciiTheme="majorHAnsi" w:hAnsiTheme="majorHAnsi" w:cstheme="majorHAnsi"/>
          <w:sz w:val="24"/>
          <w:szCs w:val="24"/>
          <w:lang w:val="ro-MD"/>
        </w:rPr>
        <w:t>;</w:t>
      </w:r>
    </w:p>
    <w:p w14:paraId="6227B346" w14:textId="77777777" w:rsidR="00683C4B" w:rsidRPr="00653E85" w:rsidRDefault="00683C4B" w:rsidP="00683C4B">
      <w:pPr>
        <w:pStyle w:val="aa"/>
        <w:numPr>
          <w:ilvl w:val="0"/>
          <w:numId w:val="8"/>
        </w:numPr>
        <w:spacing w:after="0" w:line="276" w:lineRule="auto"/>
        <w:ind w:left="0" w:firstLine="567"/>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misiunile diplomatice și oficiile consulare ale Republicii Moldova acreditate în străinătate.</w:t>
      </w:r>
    </w:p>
    <w:p w14:paraId="281568AF" w14:textId="2C2E5EF6" w:rsidR="00683C4B" w:rsidRPr="00653E85" w:rsidRDefault="00683C4B" w:rsidP="00683C4B">
      <w:pPr>
        <w:pStyle w:val="aa"/>
        <w:spacing w:after="0" w:line="276" w:lineRule="auto"/>
        <w:ind w:left="0"/>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Totodată, faptele de deces înregistrate de către autoritățile competente ale statelor străine se declară de către persoanele interesate (de regulă</w:t>
      </w:r>
      <w:r w:rsidR="0032446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rudele acestora) și se transcriu în temeiul art. 13 și </w:t>
      </w:r>
      <w:r w:rsidR="00324468" w:rsidRPr="00653E85">
        <w:rPr>
          <w:rFonts w:asciiTheme="majorHAnsi" w:hAnsiTheme="majorHAnsi" w:cstheme="majorHAnsi"/>
          <w:sz w:val="24"/>
          <w:szCs w:val="24"/>
          <w:lang w:val="ro-MD"/>
        </w:rPr>
        <w:t xml:space="preserve">art. </w:t>
      </w:r>
      <w:r w:rsidRPr="00653E85">
        <w:rPr>
          <w:rFonts w:asciiTheme="majorHAnsi" w:hAnsiTheme="majorHAnsi" w:cstheme="majorHAnsi"/>
          <w:sz w:val="24"/>
          <w:szCs w:val="24"/>
          <w:lang w:val="ro-MD"/>
        </w:rPr>
        <w:t>65 ale Legii nr. 100/2001 privind actele de stare civilă, iar faptele de deces produse și</w:t>
      </w:r>
      <w:r w:rsidR="00324468"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sau consemnate în regiunea stângă a Nistrului și mun. Bender se supun procedurii de certificare în conformitate cu art. 13</w:t>
      </w:r>
      <w:r w:rsidRPr="00653E85">
        <w:rPr>
          <w:rFonts w:asciiTheme="majorHAnsi" w:hAnsiTheme="majorHAnsi" w:cstheme="majorHAnsi"/>
          <w:sz w:val="24"/>
          <w:szCs w:val="24"/>
          <w:vertAlign w:val="superscript"/>
          <w:lang w:val="ro-MD"/>
        </w:rPr>
        <w:t>1</w:t>
      </w:r>
      <w:r w:rsidRPr="00653E85">
        <w:rPr>
          <w:rFonts w:asciiTheme="majorHAnsi" w:hAnsiTheme="majorHAnsi" w:cstheme="majorHAnsi"/>
          <w:sz w:val="24"/>
          <w:szCs w:val="24"/>
          <w:lang w:val="ro-MD"/>
        </w:rPr>
        <w:t xml:space="preserve"> din Legea nr. 100/2001 și </w:t>
      </w:r>
      <w:r w:rsidR="00324468" w:rsidRPr="00653E85">
        <w:rPr>
          <w:rFonts w:asciiTheme="majorHAnsi" w:hAnsiTheme="majorHAnsi" w:cstheme="majorHAnsi"/>
          <w:sz w:val="24"/>
          <w:szCs w:val="24"/>
          <w:lang w:val="ro-MD"/>
        </w:rPr>
        <w:t>cu</w:t>
      </w:r>
      <w:r w:rsidRPr="00653E85">
        <w:rPr>
          <w:rFonts w:asciiTheme="majorHAnsi" w:hAnsiTheme="majorHAnsi" w:cstheme="majorHAnsi"/>
          <w:sz w:val="24"/>
          <w:szCs w:val="24"/>
          <w:lang w:val="ro-MD"/>
        </w:rPr>
        <w:t xml:space="preserve"> Hotărâr</w:t>
      </w:r>
      <w:r w:rsidR="00324468" w:rsidRPr="00653E85">
        <w:rPr>
          <w:rFonts w:asciiTheme="majorHAnsi" w:hAnsiTheme="majorHAnsi" w:cstheme="majorHAnsi"/>
          <w:sz w:val="24"/>
          <w:szCs w:val="24"/>
          <w:lang w:val="ro-MD"/>
        </w:rPr>
        <w:t>ea</w:t>
      </w:r>
      <w:r w:rsidRPr="00653E85">
        <w:rPr>
          <w:rFonts w:asciiTheme="majorHAnsi" w:hAnsiTheme="majorHAnsi" w:cstheme="majorHAnsi"/>
          <w:sz w:val="24"/>
          <w:szCs w:val="24"/>
          <w:lang w:val="ro-MD"/>
        </w:rPr>
        <w:t xml:space="preserve"> Guvernului nr. 286/2019.</w:t>
      </w:r>
    </w:p>
    <w:p w14:paraId="23EB00DB" w14:textId="04A8877C" w:rsidR="00683C4B" w:rsidRPr="00653E85" w:rsidRDefault="00683C4B" w:rsidP="00683C4B">
      <w:pPr>
        <w:spacing w:before="240" w:after="0" w:line="276" w:lineRule="auto"/>
        <w:jc w:val="both"/>
        <w:rPr>
          <w:rFonts w:asciiTheme="majorHAnsi" w:hAnsiTheme="majorHAnsi" w:cstheme="majorHAnsi"/>
          <w:color w:val="000000"/>
          <w:sz w:val="24"/>
          <w:szCs w:val="24"/>
          <w:lang w:val="ro-MD"/>
        </w:rPr>
      </w:pPr>
      <w:r w:rsidRPr="00653E85">
        <w:rPr>
          <w:rFonts w:asciiTheme="majorHAnsi" w:hAnsiTheme="majorHAnsi" w:cstheme="majorHAnsi"/>
          <w:color w:val="000000"/>
          <w:sz w:val="24"/>
          <w:szCs w:val="24"/>
          <w:lang w:val="ro-MD"/>
        </w:rPr>
        <w:t>Concomitent, ASP a informat că</w:t>
      </w:r>
      <w:r w:rsidR="00324468" w:rsidRPr="00653E85">
        <w:rPr>
          <w:rFonts w:asciiTheme="majorHAnsi" w:hAnsiTheme="majorHAnsi" w:cstheme="majorHAnsi"/>
          <w:color w:val="000000"/>
          <w:sz w:val="24"/>
          <w:szCs w:val="24"/>
          <w:lang w:val="ro-MD"/>
        </w:rPr>
        <w:t>,</w:t>
      </w:r>
      <w:r w:rsidRPr="00653E85">
        <w:rPr>
          <w:rFonts w:asciiTheme="majorHAnsi" w:hAnsiTheme="majorHAnsi" w:cstheme="majorHAnsi"/>
          <w:color w:val="000000"/>
          <w:sz w:val="24"/>
          <w:szCs w:val="24"/>
          <w:lang w:val="ro-MD"/>
        </w:rPr>
        <w:t xml:space="preserve"> pentru cazurile în care declarația de deces se depune la primăriile </w:t>
      </w:r>
      <w:r w:rsidR="0074469F" w:rsidRPr="00653E85">
        <w:rPr>
          <w:rFonts w:asciiTheme="majorHAnsi" w:hAnsiTheme="majorHAnsi" w:cstheme="majorHAnsi"/>
          <w:color w:val="000000"/>
          <w:sz w:val="24"/>
          <w:szCs w:val="24"/>
          <w:lang w:val="ro-MD"/>
        </w:rPr>
        <w:t>orașelor</w:t>
      </w:r>
      <w:r w:rsidRPr="00653E85">
        <w:rPr>
          <w:rFonts w:asciiTheme="majorHAnsi" w:hAnsiTheme="majorHAnsi" w:cstheme="majorHAnsi"/>
          <w:color w:val="000000"/>
          <w:sz w:val="24"/>
          <w:szCs w:val="24"/>
          <w:lang w:val="ro-MD"/>
        </w:rPr>
        <w:t xml:space="preserve">/satelor (comunelor) sau </w:t>
      </w:r>
      <w:r w:rsidR="00324468" w:rsidRPr="00653E85">
        <w:rPr>
          <w:rFonts w:asciiTheme="majorHAnsi" w:hAnsiTheme="majorHAnsi" w:cstheme="majorHAnsi"/>
          <w:color w:val="000000"/>
          <w:sz w:val="24"/>
          <w:szCs w:val="24"/>
          <w:lang w:val="ro-MD"/>
        </w:rPr>
        <w:t xml:space="preserve">la </w:t>
      </w:r>
      <w:r w:rsidRPr="00653E85">
        <w:rPr>
          <w:rFonts w:asciiTheme="majorHAnsi" w:hAnsiTheme="majorHAnsi" w:cstheme="majorHAnsi"/>
          <w:color w:val="000000"/>
          <w:sz w:val="24"/>
          <w:szCs w:val="24"/>
          <w:lang w:val="ro-MD"/>
        </w:rPr>
        <w:t>misiunile diplomatice și/sau oficiile consulare ale Republicii Moldova acreditate în străinătate, integrarea informației privind decesul persoanei în Registrul de stat al populației se realizează mai târziu, în virtutea faptului că autoritățile menționate întocmesc actele de stare civilă pe suport de hârtie fără utilizarea sistemelor informaționale de stare civilă.</w:t>
      </w:r>
    </w:p>
    <w:p w14:paraId="098C8723" w14:textId="1389634C" w:rsidR="00683C4B" w:rsidRPr="00653E85" w:rsidRDefault="00683C4B" w:rsidP="00137C53">
      <w:pPr>
        <w:spacing w:before="240" w:line="276" w:lineRule="auto"/>
        <w:jc w:val="both"/>
        <w:rPr>
          <w:rFonts w:asciiTheme="majorHAnsi" w:hAnsiTheme="majorHAnsi" w:cstheme="majorHAnsi"/>
          <w:sz w:val="24"/>
          <w:szCs w:val="24"/>
          <w:lang w:val="ro-MD" w:eastAsia="ru-RU"/>
        </w:rPr>
      </w:pPr>
      <w:r w:rsidRPr="00653E85">
        <w:rPr>
          <w:rFonts w:asciiTheme="majorHAnsi" w:hAnsiTheme="majorHAnsi" w:cstheme="majorHAnsi"/>
          <w:sz w:val="24"/>
          <w:szCs w:val="24"/>
          <w:lang w:val="ro-MD"/>
        </w:rPr>
        <w:t>Cu referire la unele propuneri de remediere a situației create, ASP a menționat că d</w:t>
      </w:r>
      <w:r w:rsidRPr="00653E85">
        <w:rPr>
          <w:rFonts w:asciiTheme="majorHAnsi" w:hAnsiTheme="majorHAnsi" w:cstheme="majorHAnsi"/>
          <w:sz w:val="24"/>
          <w:szCs w:val="24"/>
          <w:lang w:val="ro-MD" w:eastAsia="ru-RU"/>
        </w:rPr>
        <w:t xml:space="preserve">rept </w:t>
      </w:r>
      <w:r w:rsidR="0074469F" w:rsidRPr="00653E85">
        <w:rPr>
          <w:rFonts w:asciiTheme="majorHAnsi" w:hAnsiTheme="majorHAnsi" w:cstheme="majorHAnsi"/>
          <w:sz w:val="24"/>
          <w:szCs w:val="24"/>
          <w:lang w:val="ro-MD" w:eastAsia="ru-RU"/>
        </w:rPr>
        <w:t>soluție</w:t>
      </w:r>
      <w:r w:rsidRPr="00653E85">
        <w:rPr>
          <w:rFonts w:asciiTheme="majorHAnsi" w:hAnsiTheme="majorHAnsi" w:cstheme="majorHAnsi"/>
          <w:sz w:val="24"/>
          <w:szCs w:val="24"/>
          <w:lang w:val="ro-MD" w:eastAsia="ru-RU"/>
        </w:rPr>
        <w:t xml:space="preserve"> imediată întreprinsă de către </w:t>
      </w:r>
      <w:r w:rsidRPr="00653E85">
        <w:rPr>
          <w:rFonts w:asciiTheme="majorHAnsi" w:hAnsiTheme="majorHAnsi" w:cstheme="majorHAnsi"/>
          <w:sz w:val="24"/>
          <w:szCs w:val="24"/>
          <w:lang w:val="ro-MD"/>
        </w:rPr>
        <w:t xml:space="preserve">Departamentul stare civilă, </w:t>
      </w:r>
      <w:r w:rsidRPr="00653E85">
        <w:rPr>
          <w:rFonts w:asciiTheme="majorHAnsi" w:hAnsiTheme="majorHAnsi" w:cstheme="majorHAnsi"/>
          <w:sz w:val="24"/>
          <w:szCs w:val="24"/>
          <w:lang w:val="ro-MD" w:eastAsia="ru-RU"/>
        </w:rPr>
        <w:t xml:space="preserve">în scopul actualizării </w:t>
      </w:r>
      <w:r w:rsidRPr="00653E85">
        <w:rPr>
          <w:rFonts w:asciiTheme="majorHAnsi" w:eastAsia="Times New Roman" w:hAnsiTheme="majorHAnsi" w:cstheme="majorHAnsi"/>
          <w:sz w:val="24"/>
          <w:szCs w:val="24"/>
          <w:lang w:val="ro-MD" w:eastAsia="ru-RU"/>
        </w:rPr>
        <w:t>Registrului de stat al populației</w:t>
      </w:r>
      <w:r w:rsidRPr="00653E85">
        <w:rPr>
          <w:rFonts w:asciiTheme="majorHAnsi" w:hAnsiTheme="majorHAnsi" w:cstheme="majorHAnsi"/>
          <w:sz w:val="24"/>
          <w:szCs w:val="24"/>
          <w:lang w:val="ro-MD" w:eastAsia="ru-RU"/>
        </w:rPr>
        <w:t xml:space="preserve"> în termen cât mai mic</w:t>
      </w:r>
      <w:r w:rsidRPr="00653E85">
        <w:rPr>
          <w:rFonts w:asciiTheme="majorHAnsi" w:hAnsiTheme="majorHAnsi" w:cstheme="majorHAnsi"/>
          <w:sz w:val="24"/>
          <w:szCs w:val="24"/>
          <w:lang w:val="ro-MD"/>
        </w:rPr>
        <w:t xml:space="preserve">, constituie conlucrarea cu autoritățile publice locale de a </w:t>
      </w:r>
      <w:r w:rsidRPr="00653E85">
        <w:rPr>
          <w:rFonts w:asciiTheme="majorHAnsi" w:hAnsiTheme="majorHAnsi" w:cstheme="majorHAnsi"/>
          <w:sz w:val="24"/>
          <w:szCs w:val="24"/>
          <w:lang w:val="ro-MD" w:eastAsia="ru-RU"/>
        </w:rPr>
        <w:t xml:space="preserve">recepționa săptămânal actele de stare civilă întocmite de către primării şi automatizarea datelor din acestea prin intermediul sistemelor informaționale de stare civilă. În pofida celor menționate, se atestă cazuri de dezacord al unor primari din cadrul primăriilor, </w:t>
      </w:r>
      <w:r w:rsidR="0074469F" w:rsidRPr="00653E85">
        <w:rPr>
          <w:rFonts w:asciiTheme="majorHAnsi" w:hAnsiTheme="majorHAnsi" w:cstheme="majorHAnsi"/>
          <w:sz w:val="24"/>
          <w:szCs w:val="24"/>
          <w:lang w:val="ro-MD" w:eastAsia="ru-RU"/>
        </w:rPr>
        <w:t>față</w:t>
      </w:r>
      <w:r w:rsidRPr="00653E85">
        <w:rPr>
          <w:rFonts w:asciiTheme="majorHAnsi" w:hAnsiTheme="majorHAnsi" w:cstheme="majorHAnsi"/>
          <w:sz w:val="24"/>
          <w:szCs w:val="24"/>
          <w:lang w:val="ro-MD" w:eastAsia="ru-RU"/>
        </w:rPr>
        <w:t xml:space="preserve"> de măsurile întreprinse de către ASP, de a urgenta procesul de automatizare a actelor de stare civilă întocmite în cadrul primăriilor</w:t>
      </w:r>
      <w:r w:rsidR="00324468" w:rsidRPr="00653E85">
        <w:rPr>
          <w:rFonts w:asciiTheme="majorHAnsi" w:hAnsiTheme="majorHAnsi" w:cstheme="majorHAnsi"/>
          <w:sz w:val="24"/>
          <w:szCs w:val="24"/>
          <w:lang w:val="ro-MD" w:eastAsia="ru-RU"/>
        </w:rPr>
        <w:t>,</w:t>
      </w:r>
      <w:r w:rsidRPr="00653E85">
        <w:rPr>
          <w:rFonts w:asciiTheme="majorHAnsi" w:hAnsiTheme="majorHAnsi" w:cstheme="majorHAnsi"/>
          <w:sz w:val="24"/>
          <w:szCs w:val="24"/>
          <w:lang w:val="ro-MD" w:eastAsia="ru-RU"/>
        </w:rPr>
        <w:t xml:space="preserve"> în scopul asigurării actualizării Registrului de stat al </w:t>
      </w:r>
      <w:r w:rsidR="0074469F" w:rsidRPr="00653E85">
        <w:rPr>
          <w:rFonts w:asciiTheme="majorHAnsi" w:hAnsiTheme="majorHAnsi" w:cstheme="majorHAnsi"/>
          <w:sz w:val="24"/>
          <w:szCs w:val="24"/>
          <w:lang w:val="ro-MD" w:eastAsia="ru-RU"/>
        </w:rPr>
        <w:t>populației</w:t>
      </w:r>
      <w:r w:rsidRPr="00653E85">
        <w:rPr>
          <w:rFonts w:asciiTheme="majorHAnsi" w:hAnsiTheme="majorHAnsi" w:cstheme="majorHAnsi"/>
          <w:sz w:val="24"/>
          <w:szCs w:val="24"/>
          <w:lang w:val="ro-MD" w:eastAsia="ru-RU"/>
        </w:rPr>
        <w:t xml:space="preserve"> cu privire la statutul juridic al persoanelor decedate.</w:t>
      </w:r>
    </w:p>
    <w:p w14:paraId="6F3092A1" w14:textId="5F33FBB7" w:rsidR="003D7AE8" w:rsidRPr="00653E85" w:rsidRDefault="003D7AE8" w:rsidP="003D7AE8">
      <w:pPr>
        <w:pStyle w:val="Default"/>
        <w:spacing w:line="276" w:lineRule="auto"/>
        <w:jc w:val="both"/>
        <w:rPr>
          <w:rFonts w:asciiTheme="majorHAnsi" w:hAnsiTheme="majorHAnsi" w:cstheme="majorHAnsi"/>
          <w:lang w:val="ro-MD"/>
        </w:rPr>
      </w:pPr>
      <w:r w:rsidRPr="00653E85">
        <w:rPr>
          <w:rFonts w:asciiTheme="majorHAnsi" w:hAnsiTheme="majorHAnsi" w:cstheme="majorHAnsi"/>
          <w:lang w:val="ro-MD"/>
        </w:rPr>
        <w:t xml:space="preserve">Potrivit prevederilor capitolului III, litera B din Concepția sistemului informațional automatizat „Registrul de stat al populației” şi capitolului III pct. 9 al Regulamentului cu privire la Registrul de stat al populației, aprobate prin Hotărârea Guvernului nr. 333 din 18.03.2002, este stabilit că actualizarea datelor din R.S.P. constă în introducerea sistematică a modificărilor (rectificărilor, completărilor) în datele personale ale persoanei fizice, inclusiv în baza </w:t>
      </w:r>
      <w:r w:rsidR="0074469F" w:rsidRPr="00653E85">
        <w:rPr>
          <w:rFonts w:asciiTheme="majorHAnsi" w:hAnsiTheme="majorHAnsi" w:cstheme="majorHAnsi"/>
          <w:lang w:val="ro-MD"/>
        </w:rPr>
        <w:t>informațiilor</w:t>
      </w:r>
      <w:r w:rsidRPr="00653E85">
        <w:rPr>
          <w:rFonts w:asciiTheme="majorHAnsi" w:hAnsiTheme="majorHAnsi" w:cstheme="majorHAnsi"/>
          <w:lang w:val="ro-MD"/>
        </w:rPr>
        <w:t xml:space="preserve"> despre deces prezentate de Ministerul Sănătății. </w:t>
      </w:r>
    </w:p>
    <w:p w14:paraId="55B14E4D" w14:textId="09FDCCBA" w:rsidR="003D7AE8" w:rsidRPr="00653E85" w:rsidRDefault="006852E2" w:rsidP="006852E2">
      <w:pPr>
        <w:pStyle w:val="Default"/>
        <w:spacing w:before="240" w:line="276" w:lineRule="auto"/>
        <w:jc w:val="both"/>
        <w:rPr>
          <w:rFonts w:asciiTheme="majorHAnsi" w:hAnsiTheme="majorHAnsi" w:cstheme="majorHAnsi"/>
          <w:highlight w:val="green"/>
          <w:lang w:val="ro-MD"/>
        </w:rPr>
      </w:pPr>
      <w:r w:rsidRPr="00653E85">
        <w:rPr>
          <w:rFonts w:asciiTheme="majorHAnsi" w:hAnsiTheme="majorHAnsi" w:cstheme="majorHAnsi"/>
          <w:lang w:val="ro-MD"/>
        </w:rPr>
        <w:t>Astfel, actualizarea informației privind decesul persoanei nu este efectuată operativ de către instituțiile medicale cu competențe de a constata faptul decesului în condițiile lipsei unui sistem informațional medical automatizat. La acest aspect</w:t>
      </w:r>
      <w:r w:rsidR="003D7AE8" w:rsidRPr="00653E85">
        <w:rPr>
          <w:rFonts w:asciiTheme="majorHAnsi" w:hAnsiTheme="majorHAnsi" w:cstheme="majorHAnsi"/>
          <w:lang w:val="ro-MD"/>
        </w:rPr>
        <w:t xml:space="preserve"> Ministerul </w:t>
      </w:r>
      <w:r w:rsidR="003D7AE8" w:rsidRPr="00B7675F">
        <w:rPr>
          <w:rFonts w:asciiTheme="majorHAnsi" w:hAnsiTheme="majorHAnsi" w:cstheme="majorHAnsi"/>
          <w:lang w:val="ro-MD"/>
        </w:rPr>
        <w:t xml:space="preserve">Sănătății </w:t>
      </w:r>
      <w:r w:rsidR="003D7AE8" w:rsidRPr="0038225D">
        <w:rPr>
          <w:rFonts w:asciiTheme="majorHAnsi" w:hAnsiTheme="majorHAnsi" w:cstheme="majorHAnsi"/>
          <w:lang w:val="ro-MD"/>
        </w:rPr>
        <w:t>a menționat că</w:t>
      </w:r>
      <w:r w:rsidRPr="00B7675F">
        <w:rPr>
          <w:rFonts w:asciiTheme="majorHAnsi" w:hAnsiTheme="majorHAnsi" w:cstheme="majorHAnsi"/>
          <w:lang w:val="ro-MD"/>
        </w:rPr>
        <w:t xml:space="preserve"> instituțiile medicale eliberează certificatele de deces rudelor</w:t>
      </w:r>
      <w:r w:rsidR="003D7AE8" w:rsidRPr="00B7675F">
        <w:rPr>
          <w:rFonts w:asciiTheme="majorHAnsi" w:hAnsiTheme="majorHAnsi" w:cstheme="majorHAnsi"/>
          <w:lang w:val="ro-MD"/>
        </w:rPr>
        <w:t>,</w:t>
      </w:r>
      <w:r w:rsidRPr="00B7675F">
        <w:rPr>
          <w:rFonts w:asciiTheme="majorHAnsi" w:hAnsiTheme="majorHAnsi" w:cstheme="majorHAnsi"/>
          <w:lang w:val="ro-MD"/>
        </w:rPr>
        <w:t xml:space="preserve"> a</w:t>
      </w:r>
      <w:r w:rsidR="003D7AE8" w:rsidRPr="00653E85">
        <w:rPr>
          <w:rFonts w:asciiTheme="majorHAnsi" w:hAnsiTheme="majorHAnsi" w:cstheme="majorHAnsi"/>
          <w:lang w:val="ro-MD"/>
        </w:rPr>
        <w:t>vizele de eliberare a certificatelor medicale se prezintă organelor competente teritoriale o</w:t>
      </w:r>
      <w:r w:rsidR="00324468" w:rsidRPr="00653E85">
        <w:rPr>
          <w:rFonts w:asciiTheme="majorHAnsi" w:hAnsiTheme="majorHAnsi" w:cstheme="majorHAnsi"/>
          <w:lang w:val="ro-MD"/>
        </w:rPr>
        <w:t xml:space="preserve"> </w:t>
      </w:r>
      <w:r w:rsidR="003D7AE8" w:rsidRPr="00653E85">
        <w:rPr>
          <w:rFonts w:asciiTheme="majorHAnsi" w:hAnsiTheme="majorHAnsi" w:cstheme="majorHAnsi"/>
          <w:lang w:val="ro-MD"/>
        </w:rPr>
        <w:t>dată la 10 zile</w:t>
      </w:r>
      <w:r w:rsidRPr="00653E85">
        <w:rPr>
          <w:rFonts w:asciiTheme="majorHAnsi" w:hAnsiTheme="majorHAnsi" w:cstheme="majorHAnsi"/>
          <w:lang w:val="ro-MD"/>
        </w:rPr>
        <w:t xml:space="preserve"> (10, 20 şi 30 a</w:t>
      </w:r>
      <w:r w:rsidR="00324468" w:rsidRPr="00653E85">
        <w:rPr>
          <w:rFonts w:asciiTheme="majorHAnsi" w:hAnsiTheme="majorHAnsi" w:cstheme="majorHAnsi"/>
          <w:lang w:val="ro-MD"/>
        </w:rPr>
        <w:t>le</w:t>
      </w:r>
      <w:r w:rsidRPr="00653E85">
        <w:rPr>
          <w:rFonts w:asciiTheme="majorHAnsi" w:hAnsiTheme="majorHAnsi" w:cstheme="majorHAnsi"/>
          <w:lang w:val="ro-MD"/>
        </w:rPr>
        <w:t xml:space="preserve"> fiecărei luni), iar l</w:t>
      </w:r>
      <w:r w:rsidR="003D7AE8" w:rsidRPr="00653E85">
        <w:rPr>
          <w:rFonts w:asciiTheme="majorHAnsi" w:hAnsiTheme="majorHAnsi" w:cstheme="majorHAnsi"/>
          <w:lang w:val="ro-MD"/>
        </w:rPr>
        <w:t>a sfârșitul fiecărei luni calendaristice, Agenția Servicii Publice confruntă informația din baza de date privind avizele de eliberare a certificatelor medicale constatatoare a decesului cu cea privind actele de deces, identificând în acest mod cazurile de neînr</w:t>
      </w:r>
      <w:r w:rsidRPr="00653E85">
        <w:rPr>
          <w:rFonts w:asciiTheme="majorHAnsi" w:hAnsiTheme="majorHAnsi" w:cstheme="majorHAnsi"/>
          <w:lang w:val="ro-MD"/>
        </w:rPr>
        <w:t xml:space="preserve">egistrare a faptelor de deces.  </w:t>
      </w:r>
    </w:p>
    <w:p w14:paraId="6F28F851" w14:textId="68A3A860" w:rsidR="00683C4B" w:rsidRPr="00653E85" w:rsidRDefault="00324468" w:rsidP="00FC573A">
      <w:pPr>
        <w:pStyle w:val="a6"/>
        <w:numPr>
          <w:ilvl w:val="0"/>
          <w:numId w:val="7"/>
        </w:numPr>
        <w:shd w:val="clear" w:color="auto" w:fill="FFFFFF" w:themeFill="background1"/>
        <w:spacing w:before="240" w:after="240" w:line="276" w:lineRule="auto"/>
        <w:ind w:left="0" w:firstLine="0"/>
        <w:rPr>
          <w:rFonts w:asciiTheme="majorHAnsi" w:hAnsiTheme="majorHAnsi" w:cstheme="majorHAnsi"/>
          <w:b/>
          <w:lang w:val="ro-MD"/>
        </w:rPr>
      </w:pPr>
      <w:r w:rsidRPr="00653E85">
        <w:rPr>
          <w:rFonts w:asciiTheme="majorHAnsi" w:hAnsiTheme="majorHAnsi" w:cstheme="majorHAnsi"/>
          <w:b/>
          <w:lang w:val="ro-MD"/>
        </w:rPr>
        <w:t>Auditul contată t</w:t>
      </w:r>
      <w:r w:rsidR="00683C4B" w:rsidRPr="00653E85">
        <w:rPr>
          <w:rFonts w:asciiTheme="majorHAnsi" w:hAnsiTheme="majorHAnsi" w:cstheme="majorHAnsi"/>
          <w:b/>
          <w:lang w:val="ro-MD"/>
        </w:rPr>
        <w:t>ransmiterea tardivă de către ASP a datelor din Registrul de stat al populației către CNAS prin intermediul SI MCon</w:t>
      </w:r>
      <w:r w:rsidR="00FC573A" w:rsidRPr="00653E85">
        <w:rPr>
          <w:rFonts w:asciiTheme="majorHAnsi" w:hAnsiTheme="majorHAnsi" w:cstheme="majorHAnsi"/>
          <w:b/>
          <w:lang w:val="ro-MD"/>
        </w:rPr>
        <w:t>n</w:t>
      </w:r>
      <w:r w:rsidR="00683C4B" w:rsidRPr="00653E85">
        <w:rPr>
          <w:rFonts w:asciiTheme="majorHAnsi" w:hAnsiTheme="majorHAnsi" w:cstheme="majorHAnsi"/>
          <w:b/>
          <w:lang w:val="ro-MD"/>
        </w:rPr>
        <w:t>ect.</w:t>
      </w:r>
    </w:p>
    <w:p w14:paraId="11CB3AE2" w14:textId="77777777" w:rsidR="00683C4B" w:rsidRPr="00653E85" w:rsidRDefault="00683C4B" w:rsidP="00683C4B">
      <w:pPr>
        <w:pStyle w:val="Default"/>
        <w:spacing w:line="276" w:lineRule="auto"/>
        <w:jc w:val="both"/>
        <w:rPr>
          <w:rFonts w:asciiTheme="majorHAnsi" w:hAnsiTheme="majorHAnsi" w:cstheme="majorHAnsi"/>
          <w:lang w:val="ro-MD"/>
        </w:rPr>
      </w:pPr>
      <w:r w:rsidRPr="00653E85">
        <w:rPr>
          <w:rFonts w:asciiTheme="majorHAnsi" w:eastAsia="Calibri" w:hAnsiTheme="majorHAnsi" w:cstheme="majorHAnsi"/>
          <w:noProof/>
          <w:lang w:val="ro-MD"/>
        </w:rPr>
        <w:t xml:space="preserve">Potrivit Acordului încheiat între CNAS și AGE, aceasta din urmă asigură, prin intermediul platformei MConect, conexiunea între CNAS și ASP. Astfel, în regim automatizat sunt recepționate toate datele despre persoanele fizice decedate, care au parvenit în acea zi, preluate din Registrul de stat al populației (deținut de Agenția Servicii Publice). Datele se încarcă în SI „Protecția Socială”, după care, în regim automatizat, programul analizează toate tipurile de prestații sociale și, în cazul în care depistează decizii de plată active, inițiază blocarea plății. Schimbul de date urmează a avea loc zilnic (24 ore din 24 ore, 7 zile în săptămână) pentru a se evita achitările în plus ale prestațiilor sociale. </w:t>
      </w:r>
      <w:r w:rsidRPr="00653E85">
        <w:rPr>
          <w:rFonts w:asciiTheme="majorHAnsi" w:hAnsiTheme="majorHAnsi" w:cstheme="majorHAnsi"/>
          <w:lang w:val="ro-MD"/>
        </w:rPr>
        <w:t>La contrapunerea datelor dintre data decesului înregistrat la CNAS cu data decesului beneficiarului, remarcăm că numărul de zile variază între 1 și 366.</w:t>
      </w:r>
    </w:p>
    <w:p w14:paraId="3C9EA287" w14:textId="2E4554AA" w:rsidR="00683C4B" w:rsidRPr="00653E85" w:rsidRDefault="00683C4B" w:rsidP="00683C4B">
      <w:pPr>
        <w:pStyle w:val="Default"/>
        <w:spacing w:before="240" w:line="276" w:lineRule="auto"/>
        <w:jc w:val="both"/>
        <w:rPr>
          <w:rFonts w:asciiTheme="majorHAnsi" w:hAnsiTheme="majorHAnsi" w:cstheme="majorHAnsi"/>
          <w:lang w:val="ro-MD"/>
        </w:rPr>
      </w:pPr>
      <w:r w:rsidRPr="00653E85">
        <w:rPr>
          <w:rFonts w:asciiTheme="majorHAnsi" w:eastAsia="Calibri" w:hAnsiTheme="majorHAnsi" w:cstheme="majorHAnsi"/>
          <w:noProof/>
          <w:lang w:val="ro-MD"/>
        </w:rPr>
        <w:t>Cu referire la acest aspect, CNAS a informat că schimbul de date are loc prin două metode: prin intermediul platformei MConect, zilnic</w:t>
      </w:r>
      <w:r w:rsidR="00EF4A05" w:rsidRPr="00653E85">
        <w:rPr>
          <w:rFonts w:asciiTheme="majorHAnsi" w:eastAsia="Calibri" w:hAnsiTheme="majorHAnsi" w:cstheme="majorHAnsi"/>
          <w:noProof/>
          <w:lang w:val="ro-MD"/>
        </w:rPr>
        <w:t xml:space="preserve"> </w:t>
      </w:r>
      <w:r w:rsidRPr="00653E85">
        <w:rPr>
          <w:rFonts w:asciiTheme="majorHAnsi" w:eastAsia="Calibri" w:hAnsiTheme="majorHAnsi" w:cstheme="majorHAnsi"/>
          <w:noProof/>
          <w:lang w:val="ro-MD"/>
        </w:rPr>
        <w:t>și sistarea plății prestației în momentul adresării rudelor după ajutorul de deces</w:t>
      </w:r>
      <w:r w:rsidRPr="00653E85">
        <w:rPr>
          <w:rStyle w:val="a5"/>
          <w:rFonts w:asciiTheme="majorHAnsi" w:eastAsia="Calibri" w:hAnsiTheme="majorHAnsi" w:cstheme="majorHAnsi"/>
          <w:noProof/>
          <w:lang w:val="ro-MD"/>
        </w:rPr>
        <w:footnoteReference w:id="50"/>
      </w:r>
      <w:r w:rsidRPr="00653E85">
        <w:rPr>
          <w:rFonts w:asciiTheme="majorHAnsi" w:eastAsia="Calibri" w:hAnsiTheme="majorHAnsi" w:cstheme="majorHAnsi"/>
          <w:noProof/>
          <w:lang w:val="ro-MD"/>
        </w:rPr>
        <w:t>. S</w:t>
      </w:r>
      <w:r w:rsidRPr="00653E85">
        <w:rPr>
          <w:rFonts w:asciiTheme="majorHAnsi" w:hAnsiTheme="majorHAnsi" w:cstheme="majorHAnsi"/>
          <w:lang w:val="ro-MD"/>
        </w:rPr>
        <w:t xml:space="preserve">e constată preponderent în cazul decesului beneficiarului după data de 25, deoarece listele de plată se formează în ultimele zile ale lunii pentru următoarea lună. </w:t>
      </w:r>
    </w:p>
    <w:p w14:paraId="2CCDF840" w14:textId="29256781" w:rsidR="00683C4B" w:rsidRPr="00653E85" w:rsidRDefault="00683C4B" w:rsidP="00683C4B">
      <w:pPr>
        <w:pStyle w:val="Default"/>
        <w:spacing w:before="240" w:line="276" w:lineRule="auto"/>
        <w:jc w:val="both"/>
        <w:rPr>
          <w:rFonts w:asciiTheme="majorHAnsi" w:hAnsiTheme="majorHAnsi" w:cstheme="majorHAnsi"/>
          <w:highlight w:val="yellow"/>
          <w:lang w:val="ro-MD"/>
        </w:rPr>
      </w:pPr>
      <w:r w:rsidRPr="00653E85">
        <w:rPr>
          <w:rFonts w:asciiTheme="majorHAnsi" w:hAnsiTheme="majorHAnsi" w:cstheme="majorHAnsi"/>
          <w:lang w:val="ro-MD"/>
        </w:rPr>
        <w:t xml:space="preserve">Reieșind din deficiențele constatate </w:t>
      </w:r>
      <w:r w:rsidR="00324468" w:rsidRPr="00653E85">
        <w:rPr>
          <w:rFonts w:asciiTheme="majorHAnsi" w:hAnsiTheme="majorHAnsi" w:cstheme="majorHAnsi"/>
          <w:lang w:val="ro-MD"/>
        </w:rPr>
        <w:t xml:space="preserve">privind </w:t>
      </w:r>
      <w:r w:rsidRPr="00653E85">
        <w:rPr>
          <w:rFonts w:asciiTheme="majorHAnsi" w:hAnsiTheme="majorHAnsi" w:cstheme="majorHAnsi"/>
          <w:lang w:val="ro-MD"/>
        </w:rPr>
        <w:t>recepțion</w:t>
      </w:r>
      <w:r w:rsidR="00324468" w:rsidRPr="00653E85">
        <w:rPr>
          <w:rFonts w:asciiTheme="majorHAnsi" w:hAnsiTheme="majorHAnsi" w:cstheme="majorHAnsi"/>
          <w:lang w:val="ro-MD"/>
        </w:rPr>
        <w:t>area</w:t>
      </w:r>
      <w:r w:rsidRPr="00653E85">
        <w:rPr>
          <w:rFonts w:asciiTheme="majorHAnsi" w:hAnsiTheme="majorHAnsi" w:cstheme="majorHAnsi"/>
          <w:lang w:val="ro-MD"/>
        </w:rPr>
        <w:t xml:space="preserve"> informației în cazul decesului beneficiarului, erorile potențiale estimate de audit sub formă de cheltuieli neargumentate asupra BASS/BS aferente cheltuie</w:t>
      </w:r>
      <w:r w:rsidR="00B010F4" w:rsidRPr="00653E85">
        <w:rPr>
          <w:rFonts w:asciiTheme="majorHAnsi" w:hAnsiTheme="majorHAnsi" w:cstheme="majorHAnsi"/>
          <w:lang w:val="ro-MD"/>
        </w:rPr>
        <w:t xml:space="preserve">lilor pentru pensii </w:t>
      </w:r>
      <w:r w:rsidRPr="00653E85">
        <w:rPr>
          <w:rFonts w:asciiTheme="majorHAnsi" w:hAnsiTheme="majorHAnsi" w:cstheme="majorHAnsi"/>
          <w:lang w:val="ro-MD"/>
        </w:rPr>
        <w:t>constituie</w:t>
      </w:r>
      <w:r w:rsidR="00B010F4" w:rsidRPr="00653E85">
        <w:rPr>
          <w:rFonts w:asciiTheme="majorHAnsi" w:hAnsiTheme="majorHAnsi" w:cstheme="majorHAnsi"/>
          <w:lang w:val="ro-MD"/>
        </w:rPr>
        <w:t xml:space="preserve"> 5</w:t>
      </w:r>
      <w:r w:rsidR="00EF4A05" w:rsidRPr="00653E85">
        <w:rPr>
          <w:rFonts w:asciiTheme="majorHAnsi" w:hAnsiTheme="majorHAnsi" w:cstheme="majorHAnsi"/>
          <w:lang w:val="ro-MD"/>
        </w:rPr>
        <w:t xml:space="preserve"> </w:t>
      </w:r>
      <w:r w:rsidR="00B010F4" w:rsidRPr="00653E85">
        <w:rPr>
          <w:rFonts w:asciiTheme="majorHAnsi" w:hAnsiTheme="majorHAnsi" w:cstheme="majorHAnsi"/>
          <w:lang w:val="ro-MD"/>
        </w:rPr>
        <w:t>369,8 mi</w:t>
      </w:r>
      <w:r w:rsidR="00491AFD" w:rsidRPr="00653E85">
        <w:rPr>
          <w:rFonts w:asciiTheme="majorHAnsi" w:hAnsiTheme="majorHAnsi" w:cstheme="majorHAnsi"/>
          <w:lang w:val="ro-MD"/>
        </w:rPr>
        <w:t xml:space="preserve">i </w:t>
      </w:r>
      <w:r w:rsidR="00B010F4" w:rsidRPr="00653E85">
        <w:rPr>
          <w:rFonts w:asciiTheme="majorHAnsi" w:hAnsiTheme="majorHAnsi" w:cstheme="majorHAnsi"/>
          <w:lang w:val="ro-MD"/>
        </w:rPr>
        <w:t>lei.</w:t>
      </w:r>
      <w:r w:rsidRPr="00653E85">
        <w:rPr>
          <w:rFonts w:asciiTheme="majorHAnsi" w:hAnsiTheme="majorHAnsi" w:cstheme="majorHAnsi"/>
          <w:lang w:val="ro-MD"/>
        </w:rPr>
        <w:t xml:space="preserve"> </w:t>
      </w:r>
    </w:p>
    <w:p w14:paraId="74B9759B" w14:textId="4081C565" w:rsidR="00683C4B" w:rsidRPr="00653E85" w:rsidRDefault="00683C4B" w:rsidP="00683C4B">
      <w:pPr>
        <w:pStyle w:val="a6"/>
        <w:shd w:val="clear" w:color="auto" w:fill="FFFFFF" w:themeFill="background1"/>
        <w:spacing w:before="240" w:line="276" w:lineRule="auto"/>
        <w:ind w:firstLine="0"/>
        <w:rPr>
          <w:rFonts w:asciiTheme="majorHAnsi" w:hAnsiTheme="majorHAnsi" w:cstheme="majorHAnsi"/>
          <w:color w:val="000000"/>
          <w:lang w:val="ro-MD"/>
        </w:rPr>
      </w:pPr>
      <w:r w:rsidRPr="00653E85">
        <w:rPr>
          <w:rFonts w:asciiTheme="majorHAnsi" w:hAnsiTheme="majorHAnsi" w:cstheme="majorHAnsi"/>
          <w:lang w:val="ro-MD"/>
        </w:rPr>
        <w:t xml:space="preserve">Menționăm că, </w:t>
      </w:r>
      <w:r w:rsidRPr="00653E85">
        <w:rPr>
          <w:rFonts w:asciiTheme="majorHAnsi" w:hAnsiTheme="majorHAnsi" w:cstheme="majorHAnsi"/>
          <w:color w:val="000000"/>
          <w:lang w:val="ro-MD"/>
        </w:rPr>
        <w:t>printre atribuțiile principale ale Casei Naționale sunt: </w:t>
      </w:r>
      <w:r w:rsidRPr="00653E85">
        <w:rPr>
          <w:rFonts w:asciiTheme="majorHAnsi" w:hAnsiTheme="majorHAnsi" w:cstheme="majorHAnsi"/>
          <w:iCs/>
          <w:color w:val="000000"/>
          <w:lang w:val="ro-MD"/>
        </w:rPr>
        <w:t>„gestionarea mijloacelor bugetului asigurărilor sociale de stat, administrarea patrimoniului public aflat în gestiune, asigurarea monitorizării riscurilor financiare şi bugetare şi principiilor de bună guvernare”</w:t>
      </w:r>
      <w:r w:rsidRPr="00653E85">
        <w:rPr>
          <w:rStyle w:val="a5"/>
          <w:rFonts w:asciiTheme="majorHAnsi" w:eastAsiaTheme="majorEastAsia" w:hAnsiTheme="majorHAnsi" w:cstheme="majorHAnsi"/>
          <w:iCs/>
          <w:color w:val="000000"/>
          <w:lang w:val="ro-MD"/>
        </w:rPr>
        <w:footnoteReference w:id="51"/>
      </w:r>
      <w:r w:rsidRPr="00653E85">
        <w:rPr>
          <w:rFonts w:asciiTheme="majorHAnsi" w:hAnsiTheme="majorHAnsi" w:cstheme="majorHAnsi"/>
          <w:iCs/>
          <w:color w:val="000000"/>
          <w:lang w:val="ro-MD"/>
        </w:rPr>
        <w:t>, domeniile de competență ale ASP constituie „t</w:t>
      </w:r>
      <w:r w:rsidRPr="00653E85">
        <w:rPr>
          <w:rFonts w:asciiTheme="majorHAnsi" w:hAnsiTheme="majorHAnsi" w:cstheme="majorHAnsi"/>
          <w:color w:val="000000"/>
          <w:lang w:val="ro-MD"/>
        </w:rPr>
        <w:t>ehnologia informației, evidența de stat și resursele informaționale de stat, inclusiv crearea, exploatarea și înregistrarea resurselor informaționale de stat, a sistemelor informaționale de stat, evidența de stat a populației... etc.”</w:t>
      </w:r>
      <w:r w:rsidRPr="00653E85">
        <w:rPr>
          <w:rStyle w:val="a5"/>
          <w:rFonts w:asciiTheme="majorHAnsi" w:eastAsiaTheme="majorEastAsia" w:hAnsiTheme="majorHAnsi" w:cstheme="majorHAnsi"/>
          <w:color w:val="000000"/>
          <w:lang w:val="ro-MD"/>
        </w:rPr>
        <w:footnoteReference w:id="52"/>
      </w:r>
      <w:r w:rsidRPr="00653E85">
        <w:rPr>
          <w:rFonts w:asciiTheme="majorHAnsi" w:hAnsiTheme="majorHAnsi" w:cstheme="majorHAnsi"/>
          <w:color w:val="000000"/>
          <w:lang w:val="ro-MD"/>
        </w:rPr>
        <w:t>, iar cele ale AGE – „facilitarea dezvoltării serviciilor sectoriale și sistemelor informaționale de stat prin oferirea asistenței autorităților administrației publice”</w:t>
      </w:r>
      <w:r w:rsidRPr="00653E85">
        <w:rPr>
          <w:rStyle w:val="a5"/>
          <w:rFonts w:asciiTheme="majorHAnsi" w:eastAsiaTheme="majorEastAsia" w:hAnsiTheme="majorHAnsi" w:cstheme="majorHAnsi"/>
          <w:color w:val="000000"/>
          <w:lang w:val="ro-MD"/>
        </w:rPr>
        <w:footnoteReference w:id="53"/>
      </w:r>
      <w:r w:rsidRPr="00653E85">
        <w:rPr>
          <w:rFonts w:asciiTheme="majorHAnsi" w:hAnsiTheme="majorHAnsi" w:cstheme="majorHAnsi"/>
          <w:color w:val="000000"/>
          <w:lang w:val="ro-MD"/>
        </w:rPr>
        <w:t>.</w:t>
      </w:r>
    </w:p>
    <w:p w14:paraId="2480ED1D" w14:textId="13765F65" w:rsidR="00544C52" w:rsidRPr="00653E85" w:rsidRDefault="00683C4B" w:rsidP="00FC573A">
      <w:pPr>
        <w:pStyle w:val="a6"/>
        <w:shd w:val="clear" w:color="auto" w:fill="FFFFFF" w:themeFill="background1"/>
        <w:spacing w:before="240" w:after="240" w:line="276" w:lineRule="auto"/>
        <w:ind w:firstLine="0"/>
        <w:rPr>
          <w:rFonts w:asciiTheme="majorHAnsi" w:hAnsiTheme="majorHAnsi" w:cstheme="majorHAnsi"/>
          <w:color w:val="000000"/>
          <w:lang w:val="ro-MD"/>
        </w:rPr>
      </w:pPr>
      <w:r w:rsidRPr="00653E85">
        <w:rPr>
          <w:rFonts w:asciiTheme="majorHAnsi" w:hAnsiTheme="majorHAnsi" w:cstheme="majorHAnsi"/>
          <w:color w:val="000000"/>
          <w:lang w:val="ro-MD"/>
        </w:rPr>
        <w:t>Astfel, reieșind din atribuțiile care revin părților implicate, iar cheltuielile menționate sunt suportate doar din bugetul pe care îl gestionează CNAS, evaluarea și eficientizarea, de către părțile implicate, a procesului aferent schimbului de date privind decesul beneficiarilor, în scopul excluderii cheltuielilor nejustificate, este o necesitate imperativă. </w:t>
      </w:r>
    </w:p>
    <w:p w14:paraId="71DCB7AF" w14:textId="70C2A4EE" w:rsidR="009B0BEC" w:rsidRPr="00653E85" w:rsidRDefault="009B0BEC" w:rsidP="009B0BEC">
      <w:pPr>
        <w:pStyle w:val="aa"/>
        <w:numPr>
          <w:ilvl w:val="2"/>
          <w:numId w:val="2"/>
        </w:numPr>
        <w:spacing w:line="276" w:lineRule="auto"/>
        <w:ind w:left="0" w:firstLine="0"/>
        <w:jc w:val="both"/>
        <w:rPr>
          <w:rFonts w:asciiTheme="majorHAnsi" w:hAnsiTheme="majorHAnsi" w:cstheme="majorHAnsi"/>
          <w:bCs/>
          <w:iCs/>
          <w:color w:val="000000" w:themeColor="text1"/>
          <w:sz w:val="24"/>
          <w:szCs w:val="24"/>
          <w:lang w:val="ro-MD"/>
        </w:rPr>
      </w:pPr>
      <w:r w:rsidRPr="00653E85">
        <w:rPr>
          <w:rFonts w:asciiTheme="majorHAnsi" w:hAnsiTheme="majorHAnsi" w:cstheme="majorHAnsi"/>
          <w:b/>
          <w:bCs/>
          <w:iCs/>
          <w:sz w:val="24"/>
          <w:szCs w:val="24"/>
          <w:lang w:val="ro-MD"/>
        </w:rPr>
        <w:t xml:space="preserve">Deși scopul scanării carnetelor de muncă a fost completarea conturilor personale ale viitorilor beneficiari de pensii cu date privind stagiul de muncă, până la momentul actual cadrul legal nu a suportat modificări, iar </w:t>
      </w:r>
      <w:r w:rsidRPr="00653E85">
        <w:rPr>
          <w:rFonts w:asciiTheme="majorHAnsi" w:hAnsiTheme="majorHAnsi" w:cstheme="majorHAnsi"/>
          <w:b/>
          <w:color w:val="000000" w:themeColor="text1"/>
          <w:sz w:val="24"/>
          <w:lang w:val="ro-MD"/>
        </w:rPr>
        <w:t xml:space="preserve">deținerea carnetului de muncă pentru </w:t>
      </w:r>
      <w:r w:rsidRPr="00653E85">
        <w:rPr>
          <w:rFonts w:asciiTheme="majorHAnsi" w:hAnsiTheme="majorHAnsi" w:cstheme="majorHAnsi"/>
          <w:b/>
          <w:sz w:val="24"/>
          <w:lang w:val="ro-MD"/>
        </w:rPr>
        <w:t xml:space="preserve">obținerea dreptului la pensie </w:t>
      </w:r>
      <w:r w:rsidRPr="00653E85">
        <w:rPr>
          <w:rFonts w:asciiTheme="majorHAnsi" w:hAnsiTheme="majorHAnsi" w:cstheme="majorHAnsi"/>
          <w:b/>
          <w:color w:val="000000" w:themeColor="text1"/>
          <w:sz w:val="24"/>
          <w:lang w:val="ro-MD"/>
        </w:rPr>
        <w:t>este o condiție obligatorie</w:t>
      </w:r>
      <w:r w:rsidR="00E27217" w:rsidRPr="00653E85">
        <w:rPr>
          <w:rFonts w:asciiTheme="majorHAnsi" w:hAnsiTheme="majorHAnsi" w:cstheme="majorHAnsi"/>
          <w:b/>
          <w:color w:val="000000" w:themeColor="text1"/>
          <w:sz w:val="24"/>
          <w:lang w:val="ro-MD"/>
        </w:rPr>
        <w:t>.</w:t>
      </w:r>
    </w:p>
    <w:p w14:paraId="2E0BA106" w14:textId="658EF394" w:rsidR="005B0440" w:rsidRPr="00653E85" w:rsidRDefault="0043090E" w:rsidP="009B0BEC">
      <w:pPr>
        <w:spacing w:line="276" w:lineRule="auto"/>
        <w:jc w:val="both"/>
        <w:rPr>
          <w:rFonts w:asciiTheme="majorHAnsi" w:hAnsiTheme="majorHAnsi" w:cstheme="majorHAnsi"/>
          <w:bCs/>
          <w:i/>
          <w:iCs/>
          <w:color w:val="000000" w:themeColor="text1"/>
          <w:sz w:val="24"/>
          <w:szCs w:val="24"/>
          <w:lang w:val="ro-MD"/>
        </w:rPr>
      </w:pPr>
      <w:r w:rsidRPr="00653E85">
        <w:rPr>
          <w:rFonts w:asciiTheme="majorHAnsi" w:hAnsiTheme="majorHAnsi" w:cstheme="majorHAnsi"/>
          <w:color w:val="000000" w:themeColor="text1"/>
          <w:sz w:val="24"/>
          <w:szCs w:val="24"/>
          <w:lang w:val="ro-MD"/>
        </w:rPr>
        <w:t>Începând cu anul 2018</w:t>
      </w:r>
      <w:r w:rsidRPr="00653E85">
        <w:rPr>
          <w:rStyle w:val="a5"/>
          <w:rFonts w:asciiTheme="majorHAnsi" w:hAnsiTheme="majorHAnsi" w:cstheme="majorHAnsi"/>
          <w:color w:val="000000" w:themeColor="text1"/>
          <w:sz w:val="24"/>
          <w:szCs w:val="24"/>
          <w:lang w:val="ro-MD"/>
        </w:rPr>
        <w:footnoteReference w:id="54"/>
      </w:r>
      <w:r w:rsidR="00343137" w:rsidRPr="00653E85">
        <w:rPr>
          <w:rFonts w:asciiTheme="majorHAnsi" w:hAnsiTheme="majorHAnsi" w:cstheme="majorHAnsi"/>
          <w:color w:val="000000" w:themeColor="text1"/>
          <w:sz w:val="24"/>
          <w:szCs w:val="24"/>
          <w:lang w:val="ro-MD"/>
        </w:rPr>
        <w:t>,</w:t>
      </w:r>
      <w:r w:rsidR="00C6213B" w:rsidRPr="00653E85">
        <w:rPr>
          <w:rFonts w:asciiTheme="majorHAnsi" w:hAnsiTheme="majorHAnsi" w:cstheme="majorHAnsi"/>
          <w:color w:val="000000" w:themeColor="text1"/>
          <w:sz w:val="24"/>
          <w:szCs w:val="24"/>
          <w:lang w:val="ro-MD"/>
        </w:rPr>
        <w:t xml:space="preserve"> </w:t>
      </w:r>
      <w:r w:rsidR="006D2607" w:rsidRPr="00653E85">
        <w:rPr>
          <w:rStyle w:val="af0"/>
          <w:rFonts w:asciiTheme="majorHAnsi" w:hAnsiTheme="majorHAnsi" w:cstheme="majorHAnsi"/>
          <w:b w:val="0"/>
          <w:color w:val="000000" w:themeColor="text1"/>
          <w:sz w:val="24"/>
          <w:szCs w:val="24"/>
          <w:lang w:val="ro-MD"/>
        </w:rPr>
        <w:t xml:space="preserve">Casa </w:t>
      </w:r>
      <w:r w:rsidR="0074469F" w:rsidRPr="00653E85">
        <w:rPr>
          <w:rStyle w:val="af0"/>
          <w:rFonts w:asciiTheme="majorHAnsi" w:hAnsiTheme="majorHAnsi" w:cstheme="majorHAnsi"/>
          <w:b w:val="0"/>
          <w:color w:val="000000" w:themeColor="text1"/>
          <w:sz w:val="24"/>
          <w:szCs w:val="24"/>
          <w:lang w:val="ro-MD"/>
        </w:rPr>
        <w:t>Națională</w:t>
      </w:r>
      <w:r w:rsidR="006D2607" w:rsidRPr="00653E85">
        <w:rPr>
          <w:rStyle w:val="af0"/>
          <w:rFonts w:asciiTheme="majorHAnsi" w:hAnsiTheme="majorHAnsi" w:cstheme="majorHAnsi"/>
          <w:b w:val="0"/>
          <w:color w:val="000000" w:themeColor="text1"/>
          <w:sz w:val="24"/>
          <w:szCs w:val="24"/>
          <w:lang w:val="ro-MD"/>
        </w:rPr>
        <w:t xml:space="preserve"> de Asigurări Sociale a realizat o activitate de scanare a </w:t>
      </w:r>
      <w:r w:rsidR="0074469F" w:rsidRPr="00653E85">
        <w:rPr>
          <w:rStyle w:val="af0"/>
          <w:rFonts w:asciiTheme="majorHAnsi" w:hAnsiTheme="majorHAnsi" w:cstheme="majorHAnsi"/>
          <w:b w:val="0"/>
          <w:color w:val="000000" w:themeColor="text1"/>
          <w:sz w:val="24"/>
          <w:szCs w:val="24"/>
          <w:lang w:val="ro-MD"/>
        </w:rPr>
        <w:t>informații</w:t>
      </w:r>
      <w:r w:rsidR="00343137" w:rsidRPr="00653E85">
        <w:rPr>
          <w:rStyle w:val="af0"/>
          <w:rFonts w:asciiTheme="majorHAnsi" w:hAnsiTheme="majorHAnsi" w:cstheme="majorHAnsi"/>
          <w:b w:val="0"/>
          <w:color w:val="000000" w:themeColor="text1"/>
          <w:sz w:val="24"/>
          <w:szCs w:val="24"/>
          <w:lang w:val="ro-MD"/>
        </w:rPr>
        <w:t>lor</w:t>
      </w:r>
      <w:r w:rsidR="006D2607" w:rsidRPr="00653E85">
        <w:rPr>
          <w:rStyle w:val="af0"/>
          <w:rFonts w:asciiTheme="majorHAnsi" w:hAnsiTheme="majorHAnsi" w:cstheme="majorHAnsi"/>
          <w:b w:val="0"/>
          <w:color w:val="000000" w:themeColor="text1"/>
          <w:sz w:val="24"/>
          <w:szCs w:val="24"/>
          <w:lang w:val="ro-MD"/>
        </w:rPr>
        <w:t xml:space="preserve"> din carnetele de muncă aferente </w:t>
      </w:r>
      <w:r w:rsidR="0074469F" w:rsidRPr="00653E85">
        <w:rPr>
          <w:rStyle w:val="af0"/>
          <w:rFonts w:asciiTheme="majorHAnsi" w:hAnsiTheme="majorHAnsi" w:cstheme="majorHAnsi"/>
          <w:b w:val="0"/>
          <w:color w:val="000000" w:themeColor="text1"/>
          <w:sz w:val="24"/>
          <w:szCs w:val="24"/>
          <w:lang w:val="ro-MD"/>
        </w:rPr>
        <w:t>activității</w:t>
      </w:r>
      <w:r w:rsidR="006D2607" w:rsidRPr="00653E85">
        <w:rPr>
          <w:rStyle w:val="af0"/>
          <w:rFonts w:asciiTheme="majorHAnsi" w:hAnsiTheme="majorHAnsi" w:cstheme="majorHAnsi"/>
          <w:b w:val="0"/>
          <w:color w:val="000000" w:themeColor="text1"/>
          <w:sz w:val="24"/>
          <w:szCs w:val="24"/>
          <w:lang w:val="ro-MD"/>
        </w:rPr>
        <w:t xml:space="preserve"> de muncă până la 01.01.1999, </w:t>
      </w:r>
      <w:r w:rsidR="00C6213B" w:rsidRPr="00653E85">
        <w:rPr>
          <w:rStyle w:val="af0"/>
          <w:rFonts w:asciiTheme="majorHAnsi" w:hAnsiTheme="majorHAnsi" w:cstheme="majorHAnsi"/>
          <w:b w:val="0"/>
          <w:color w:val="000000" w:themeColor="text1"/>
          <w:sz w:val="24"/>
          <w:szCs w:val="24"/>
          <w:lang w:val="ro-MD"/>
        </w:rPr>
        <w:t>adică până la crearea</w:t>
      </w:r>
      <w:r w:rsidR="006D2607" w:rsidRPr="00653E85">
        <w:rPr>
          <w:rStyle w:val="af0"/>
          <w:rFonts w:asciiTheme="majorHAnsi" w:hAnsiTheme="majorHAnsi" w:cstheme="majorHAnsi"/>
          <w:b w:val="0"/>
          <w:color w:val="000000" w:themeColor="text1"/>
          <w:sz w:val="24"/>
          <w:szCs w:val="24"/>
          <w:lang w:val="ro-MD"/>
        </w:rPr>
        <w:t xml:space="preserve"> Registrului de stat al </w:t>
      </w:r>
      <w:r w:rsidR="0074469F" w:rsidRPr="00653E85">
        <w:rPr>
          <w:rStyle w:val="af0"/>
          <w:rFonts w:asciiTheme="majorHAnsi" w:hAnsiTheme="majorHAnsi" w:cstheme="majorHAnsi"/>
          <w:b w:val="0"/>
          <w:color w:val="000000" w:themeColor="text1"/>
          <w:sz w:val="24"/>
          <w:szCs w:val="24"/>
          <w:lang w:val="ro-MD"/>
        </w:rPr>
        <w:t>evidenței</w:t>
      </w:r>
      <w:r w:rsidR="006D2607" w:rsidRPr="00653E85">
        <w:rPr>
          <w:rStyle w:val="af0"/>
          <w:rFonts w:asciiTheme="majorHAnsi" w:hAnsiTheme="majorHAnsi" w:cstheme="majorHAnsi"/>
          <w:b w:val="0"/>
          <w:color w:val="000000" w:themeColor="text1"/>
          <w:sz w:val="24"/>
          <w:szCs w:val="24"/>
          <w:lang w:val="ro-MD"/>
        </w:rPr>
        <w:t xml:space="preserve"> individuale în sistemul public de asigurări sociale.</w:t>
      </w:r>
      <w:r w:rsidR="0003593F" w:rsidRPr="00653E85">
        <w:rPr>
          <w:rStyle w:val="af0"/>
          <w:rFonts w:asciiTheme="majorHAnsi" w:hAnsiTheme="majorHAnsi" w:cstheme="majorHAnsi"/>
          <w:b w:val="0"/>
          <w:color w:val="000000" w:themeColor="text1"/>
          <w:sz w:val="24"/>
          <w:szCs w:val="24"/>
          <w:lang w:val="ro-MD"/>
        </w:rPr>
        <w:t xml:space="preserve"> </w:t>
      </w:r>
      <w:r w:rsidR="006D2607" w:rsidRPr="00653E85">
        <w:rPr>
          <w:rStyle w:val="af0"/>
          <w:rFonts w:asciiTheme="majorHAnsi" w:eastAsiaTheme="majorEastAsia" w:hAnsiTheme="majorHAnsi" w:cstheme="majorHAnsi"/>
          <w:b w:val="0"/>
          <w:color w:val="000000" w:themeColor="text1"/>
          <w:sz w:val="24"/>
          <w:szCs w:val="24"/>
          <w:lang w:val="ro-MD"/>
        </w:rPr>
        <w:t xml:space="preserve">Astfel, </w:t>
      </w:r>
      <w:r w:rsidR="00803E2C" w:rsidRPr="00653E85">
        <w:rPr>
          <w:rFonts w:asciiTheme="majorHAnsi" w:hAnsiTheme="majorHAnsi" w:cstheme="majorHAnsi"/>
          <w:color w:val="000000" w:themeColor="text1"/>
          <w:sz w:val="24"/>
          <w:szCs w:val="24"/>
          <w:lang w:val="ro-MD"/>
        </w:rPr>
        <w:t>p</w:t>
      </w:r>
      <w:r w:rsidR="006D2607" w:rsidRPr="00653E85">
        <w:rPr>
          <w:rFonts w:asciiTheme="majorHAnsi" w:hAnsiTheme="majorHAnsi" w:cstheme="majorHAnsi"/>
          <w:color w:val="000000" w:themeColor="text1"/>
          <w:sz w:val="24"/>
          <w:szCs w:val="24"/>
          <w:lang w:val="ro-MD"/>
        </w:rPr>
        <w:t xml:space="preserve">rocesul de scanare și citire a înscrierilor privind activitatea realizată până la 01.01.1999 din carnetele de muncă prezentate de către persoanele fizice este monitorizată prin formarea periodică a rapoartelor din SI </w:t>
      </w:r>
      <w:r w:rsidR="00803E2C" w:rsidRPr="00653E85">
        <w:rPr>
          <w:rFonts w:asciiTheme="majorHAnsi" w:hAnsiTheme="majorHAnsi" w:cstheme="majorHAnsi"/>
          <w:color w:val="000000" w:themeColor="text1"/>
          <w:sz w:val="24"/>
          <w:szCs w:val="24"/>
          <w:lang w:val="ro-MD"/>
        </w:rPr>
        <w:t>„</w:t>
      </w:r>
      <w:r w:rsidR="006D2607" w:rsidRPr="00653E85">
        <w:rPr>
          <w:rFonts w:asciiTheme="majorHAnsi" w:hAnsiTheme="majorHAnsi" w:cstheme="majorHAnsi"/>
          <w:color w:val="000000" w:themeColor="text1"/>
          <w:sz w:val="24"/>
          <w:szCs w:val="24"/>
          <w:lang w:val="ro-MD"/>
        </w:rPr>
        <w:t>Scanare Carnet”</w:t>
      </w:r>
      <w:r w:rsidR="0003593F" w:rsidRPr="00653E85">
        <w:rPr>
          <w:rStyle w:val="a5"/>
          <w:rFonts w:asciiTheme="majorHAnsi" w:hAnsiTheme="majorHAnsi" w:cstheme="majorHAnsi"/>
          <w:color w:val="000000" w:themeColor="text1"/>
          <w:sz w:val="24"/>
          <w:szCs w:val="24"/>
          <w:lang w:val="ro-MD"/>
        </w:rPr>
        <w:footnoteReference w:id="55"/>
      </w:r>
      <w:r w:rsidR="006D2607" w:rsidRPr="00653E85">
        <w:rPr>
          <w:rFonts w:asciiTheme="majorHAnsi" w:hAnsiTheme="majorHAnsi" w:cstheme="majorHAnsi"/>
          <w:color w:val="000000" w:themeColor="text1"/>
          <w:sz w:val="24"/>
          <w:szCs w:val="24"/>
          <w:lang w:val="ro-MD"/>
        </w:rPr>
        <w:t xml:space="preserve">. </w:t>
      </w:r>
      <w:r w:rsidR="0003593F" w:rsidRPr="00653E85">
        <w:rPr>
          <w:rFonts w:asciiTheme="majorHAnsi" w:hAnsiTheme="majorHAnsi" w:cstheme="majorHAnsi"/>
          <w:color w:val="000000" w:themeColor="text1"/>
          <w:sz w:val="24"/>
          <w:szCs w:val="24"/>
          <w:lang w:val="ro-MD"/>
        </w:rPr>
        <w:t>Concomitent, la 1 ianuarie 2019 a fost abrogată hotărârea</w:t>
      </w:r>
      <w:r w:rsidR="0003593F" w:rsidRPr="00653E85">
        <w:rPr>
          <w:rStyle w:val="a5"/>
          <w:rFonts w:asciiTheme="majorHAnsi" w:hAnsiTheme="majorHAnsi" w:cstheme="majorHAnsi"/>
          <w:color w:val="000000" w:themeColor="text1"/>
          <w:sz w:val="24"/>
          <w:szCs w:val="24"/>
          <w:lang w:val="ro-MD"/>
        </w:rPr>
        <w:footnoteReference w:id="56"/>
      </w:r>
      <w:r w:rsidR="0003593F" w:rsidRPr="00653E85">
        <w:rPr>
          <w:rFonts w:asciiTheme="majorHAnsi" w:hAnsiTheme="majorHAnsi" w:cstheme="majorHAnsi"/>
          <w:color w:val="000000" w:themeColor="text1"/>
          <w:sz w:val="24"/>
          <w:szCs w:val="24"/>
          <w:lang w:val="ro-MD"/>
        </w:rPr>
        <w:t xml:space="preserve"> care reglementează că carnetul de muncă constituie documentul de bază privind activitatea de muncă a </w:t>
      </w:r>
      <w:r w:rsidR="0074469F" w:rsidRPr="00653E85">
        <w:rPr>
          <w:rFonts w:asciiTheme="majorHAnsi" w:hAnsiTheme="majorHAnsi" w:cstheme="majorHAnsi"/>
          <w:color w:val="000000" w:themeColor="text1"/>
          <w:sz w:val="24"/>
          <w:szCs w:val="24"/>
          <w:lang w:val="ro-MD"/>
        </w:rPr>
        <w:t>salariaților</w:t>
      </w:r>
      <w:r w:rsidR="0003593F" w:rsidRPr="00653E85">
        <w:rPr>
          <w:rFonts w:asciiTheme="majorHAnsi" w:hAnsiTheme="majorHAnsi" w:cstheme="majorHAnsi"/>
          <w:color w:val="000000" w:themeColor="text1"/>
          <w:sz w:val="24"/>
          <w:szCs w:val="24"/>
          <w:lang w:val="ro-MD"/>
        </w:rPr>
        <w:t xml:space="preserve"> pe teritoriul Republicii Moldova. Totodată, </w:t>
      </w:r>
      <w:r w:rsidR="0003593F" w:rsidRPr="00653E85">
        <w:rPr>
          <w:rFonts w:asciiTheme="majorHAnsi" w:hAnsiTheme="majorHAnsi" w:cstheme="majorHAnsi"/>
          <w:color w:val="333333"/>
          <w:sz w:val="24"/>
          <w:szCs w:val="24"/>
          <w:shd w:val="clear" w:color="auto" w:fill="FFFFFF"/>
          <w:lang w:val="ro-MD"/>
        </w:rPr>
        <w:t xml:space="preserve">înscrierile în carnetele de muncă efectuate </w:t>
      </w:r>
      <w:r w:rsidR="0074469F" w:rsidRPr="00653E85">
        <w:rPr>
          <w:rFonts w:asciiTheme="majorHAnsi" w:hAnsiTheme="majorHAnsi" w:cstheme="majorHAnsi"/>
          <w:color w:val="333333"/>
          <w:sz w:val="24"/>
          <w:szCs w:val="24"/>
          <w:shd w:val="clear" w:color="auto" w:fill="FFFFFF"/>
          <w:lang w:val="ro-MD"/>
        </w:rPr>
        <w:t>până</w:t>
      </w:r>
      <w:r w:rsidR="0003593F" w:rsidRPr="00653E85">
        <w:rPr>
          <w:rFonts w:asciiTheme="majorHAnsi" w:hAnsiTheme="majorHAnsi" w:cstheme="majorHAnsi"/>
          <w:color w:val="333333"/>
          <w:sz w:val="24"/>
          <w:szCs w:val="24"/>
          <w:shd w:val="clear" w:color="auto" w:fill="FFFFFF"/>
          <w:lang w:val="ro-MD"/>
        </w:rPr>
        <w:t xml:space="preserve"> la 1 ianuarie 2019 își păstrează valabilitatea și pot fi utilizate la necesitate.</w:t>
      </w:r>
    </w:p>
    <w:p w14:paraId="2E578CE7" w14:textId="41CCD0F7" w:rsidR="006D2607" w:rsidRPr="00653E85" w:rsidRDefault="0003593F" w:rsidP="0003593F">
      <w:pPr>
        <w:pStyle w:val="a6"/>
        <w:shd w:val="clear" w:color="auto" w:fill="FFFFFF"/>
        <w:spacing w:line="276" w:lineRule="auto"/>
        <w:ind w:firstLine="0"/>
        <w:rPr>
          <w:rFonts w:asciiTheme="majorHAnsi" w:hAnsiTheme="majorHAnsi" w:cstheme="majorHAnsi"/>
          <w:color w:val="000000" w:themeColor="text1"/>
          <w:lang w:val="ro-MD"/>
        </w:rPr>
      </w:pPr>
      <w:r w:rsidRPr="00653E85">
        <w:rPr>
          <w:rFonts w:asciiTheme="majorHAnsi" w:hAnsiTheme="majorHAnsi" w:cstheme="majorHAnsi"/>
          <w:color w:val="000000" w:themeColor="text1"/>
          <w:lang w:val="ro-MD"/>
        </w:rPr>
        <w:t>În aceste condiții, d</w:t>
      </w:r>
      <w:r w:rsidR="006D2607" w:rsidRPr="00653E85">
        <w:rPr>
          <w:rFonts w:asciiTheme="majorHAnsi" w:hAnsiTheme="majorHAnsi" w:cstheme="majorHAnsi"/>
          <w:color w:val="000000" w:themeColor="text1"/>
          <w:lang w:val="ro-MD"/>
        </w:rPr>
        <w:t xml:space="preserve">eși scopul scanării carnetelor de muncă a fost completarea conturilor personale ale viitorilor beneficiari de pensii cu date privind stagiul de muncă de </w:t>
      </w:r>
      <w:r w:rsidR="0074469F" w:rsidRPr="00653E85">
        <w:rPr>
          <w:rFonts w:asciiTheme="majorHAnsi" w:hAnsiTheme="majorHAnsi" w:cstheme="majorHAnsi"/>
          <w:color w:val="000000" w:themeColor="text1"/>
          <w:lang w:val="ro-MD"/>
        </w:rPr>
        <w:t>până</w:t>
      </w:r>
      <w:r w:rsidR="006D2607" w:rsidRPr="00653E85">
        <w:rPr>
          <w:rFonts w:asciiTheme="majorHAnsi" w:hAnsiTheme="majorHAnsi" w:cstheme="majorHAnsi"/>
          <w:color w:val="000000" w:themeColor="text1"/>
          <w:lang w:val="ro-MD"/>
        </w:rPr>
        <w:t xml:space="preserve"> la 1 ianuarie </w:t>
      </w:r>
      <w:r w:rsidR="006D2607" w:rsidRPr="00653E85">
        <w:rPr>
          <w:rFonts w:asciiTheme="majorHAnsi" w:hAnsiTheme="majorHAnsi" w:cstheme="majorHAnsi"/>
          <w:lang w:val="ro-MD"/>
        </w:rPr>
        <w:t xml:space="preserve">1999, informația fiind păstrată în Registrului de Stat al </w:t>
      </w:r>
      <w:r w:rsidR="0074469F" w:rsidRPr="00653E85">
        <w:rPr>
          <w:rFonts w:asciiTheme="majorHAnsi" w:hAnsiTheme="majorHAnsi" w:cstheme="majorHAnsi"/>
          <w:lang w:val="ro-MD"/>
        </w:rPr>
        <w:t>evidenței</w:t>
      </w:r>
      <w:r w:rsidR="006D2607" w:rsidRPr="00653E85">
        <w:rPr>
          <w:rFonts w:asciiTheme="majorHAnsi" w:hAnsiTheme="majorHAnsi" w:cstheme="majorHAnsi"/>
          <w:lang w:val="ro-MD"/>
        </w:rPr>
        <w:t xml:space="preserve"> individuale în sistemul public de asigurări sociale de stat</w:t>
      </w:r>
      <w:r w:rsidRPr="00653E85">
        <w:rPr>
          <w:rFonts w:asciiTheme="majorHAnsi" w:hAnsiTheme="majorHAnsi" w:cstheme="majorHAnsi"/>
          <w:lang w:val="ro-MD"/>
        </w:rPr>
        <w:t xml:space="preserve"> deținut de CNAS</w:t>
      </w:r>
      <w:r w:rsidR="006D2607" w:rsidRPr="00653E85">
        <w:rPr>
          <w:rFonts w:asciiTheme="majorHAnsi" w:hAnsiTheme="majorHAnsi" w:cstheme="majorHAnsi"/>
          <w:lang w:val="ro-MD"/>
        </w:rPr>
        <w:t xml:space="preserve">, </w:t>
      </w:r>
      <w:r w:rsidRPr="00653E85">
        <w:rPr>
          <w:rFonts w:asciiTheme="majorHAnsi" w:hAnsiTheme="majorHAnsi" w:cstheme="majorHAnsi"/>
          <w:color w:val="000000" w:themeColor="text1"/>
          <w:lang w:val="ro-MD"/>
        </w:rPr>
        <w:t xml:space="preserve">auditul denotă că până la momentul actual </w:t>
      </w:r>
      <w:r w:rsidRPr="00653E85">
        <w:rPr>
          <w:rFonts w:asciiTheme="majorHAnsi" w:hAnsiTheme="majorHAnsi" w:cstheme="majorHAnsi"/>
          <w:lang w:val="ro-MD"/>
        </w:rPr>
        <w:t>cadrul legal</w:t>
      </w:r>
      <w:r w:rsidRPr="00653E85">
        <w:rPr>
          <w:rStyle w:val="a5"/>
          <w:rFonts w:asciiTheme="majorHAnsi" w:eastAsiaTheme="majorEastAsia" w:hAnsiTheme="majorHAnsi" w:cstheme="majorHAnsi"/>
          <w:lang w:val="ro-MD"/>
        </w:rPr>
        <w:footnoteReference w:id="57"/>
      </w:r>
      <w:r w:rsidRPr="00653E85">
        <w:rPr>
          <w:rFonts w:asciiTheme="majorHAnsi" w:hAnsiTheme="majorHAnsi" w:cstheme="majorHAnsi"/>
          <w:lang w:val="ro-MD"/>
        </w:rPr>
        <w:t xml:space="preserve"> </w:t>
      </w:r>
      <w:r w:rsidR="006D2607" w:rsidRPr="00653E85">
        <w:rPr>
          <w:rFonts w:asciiTheme="majorHAnsi" w:hAnsiTheme="majorHAnsi" w:cstheme="majorHAnsi"/>
          <w:lang w:val="ro-MD"/>
        </w:rPr>
        <w:t>prevede c</w:t>
      </w:r>
      <w:r w:rsidRPr="00653E85">
        <w:rPr>
          <w:rFonts w:asciiTheme="majorHAnsi" w:hAnsiTheme="majorHAnsi" w:cstheme="majorHAnsi"/>
          <w:lang w:val="ro-MD"/>
        </w:rPr>
        <w:t>onfirmarea</w:t>
      </w:r>
      <w:r w:rsidR="006D2607" w:rsidRPr="00653E85">
        <w:rPr>
          <w:rFonts w:asciiTheme="majorHAnsi" w:hAnsiTheme="majorHAnsi" w:cstheme="majorHAnsi"/>
          <w:lang w:val="ro-MD"/>
        </w:rPr>
        <w:t xml:space="preserve"> stagiul</w:t>
      </w:r>
      <w:r w:rsidRPr="00653E85">
        <w:rPr>
          <w:rFonts w:asciiTheme="majorHAnsi" w:hAnsiTheme="majorHAnsi" w:cstheme="majorHAnsi"/>
          <w:lang w:val="ro-MD"/>
        </w:rPr>
        <w:t>ui</w:t>
      </w:r>
      <w:r w:rsidR="006D2607" w:rsidRPr="00653E85">
        <w:rPr>
          <w:rFonts w:asciiTheme="majorHAnsi" w:hAnsiTheme="majorHAnsi" w:cstheme="majorHAnsi"/>
          <w:lang w:val="ro-MD"/>
        </w:rPr>
        <w:t xml:space="preserve"> de cotizare realizat anterior implementării </w:t>
      </w:r>
      <w:r w:rsidR="0074469F" w:rsidRPr="00653E85">
        <w:rPr>
          <w:rFonts w:asciiTheme="majorHAnsi" w:hAnsiTheme="majorHAnsi" w:cstheme="majorHAnsi"/>
          <w:lang w:val="ro-MD"/>
        </w:rPr>
        <w:t>evidenței</w:t>
      </w:r>
      <w:r w:rsidR="006D2607" w:rsidRPr="00653E85">
        <w:rPr>
          <w:rFonts w:asciiTheme="majorHAnsi" w:hAnsiTheme="majorHAnsi" w:cstheme="majorHAnsi"/>
          <w:lang w:val="ro-MD"/>
        </w:rPr>
        <w:t xml:space="preserve"> individuale prin carnetul de muncă.</w:t>
      </w:r>
      <w:r w:rsidR="00785F9F" w:rsidRPr="00653E85">
        <w:rPr>
          <w:rFonts w:asciiTheme="majorHAnsi" w:hAnsiTheme="majorHAnsi" w:cstheme="majorHAnsi"/>
          <w:lang w:val="ro-MD"/>
        </w:rPr>
        <w:t xml:space="preserve"> </w:t>
      </w:r>
      <w:r w:rsidR="003962FC" w:rsidRPr="00653E85">
        <w:rPr>
          <w:rFonts w:asciiTheme="majorHAnsi" w:hAnsiTheme="majorHAnsi" w:cstheme="majorHAnsi"/>
          <w:lang w:val="ro-MD"/>
        </w:rPr>
        <w:t xml:space="preserve">Astfel, pentru obținerea dreptului la pensie, </w:t>
      </w:r>
      <w:r w:rsidR="003962FC" w:rsidRPr="00653E85">
        <w:rPr>
          <w:rFonts w:asciiTheme="majorHAnsi" w:hAnsiTheme="majorHAnsi" w:cstheme="majorHAnsi"/>
          <w:color w:val="000000" w:themeColor="text1"/>
          <w:lang w:val="ro-MD"/>
        </w:rPr>
        <w:t>deținerea carnetului de muncă (în cazul realizării stagiului până în 1999) este o condiție obligatorie.</w:t>
      </w:r>
      <w:r w:rsidR="00A04490" w:rsidRPr="00653E85">
        <w:rPr>
          <w:rFonts w:asciiTheme="majorHAnsi" w:hAnsiTheme="majorHAnsi" w:cstheme="majorHAnsi"/>
          <w:color w:val="000000" w:themeColor="text1"/>
          <w:lang w:val="ro-MD"/>
        </w:rPr>
        <w:t xml:space="preserve"> </w:t>
      </w:r>
    </w:p>
    <w:p w14:paraId="72624D77" w14:textId="1F8B8335" w:rsidR="00785F9F" w:rsidRPr="00653E85" w:rsidRDefault="00785F9F" w:rsidP="003962FC">
      <w:pPr>
        <w:pStyle w:val="a6"/>
        <w:shd w:val="clear" w:color="auto" w:fill="FFFFFF"/>
        <w:spacing w:line="276" w:lineRule="auto"/>
        <w:ind w:firstLine="0"/>
        <w:rPr>
          <w:rFonts w:asciiTheme="majorHAnsi" w:hAnsiTheme="majorHAnsi" w:cstheme="majorHAnsi"/>
          <w:color w:val="000000" w:themeColor="text1"/>
          <w:lang w:val="ro-MD"/>
        </w:rPr>
      </w:pPr>
      <w:r w:rsidRPr="00653E85">
        <w:rPr>
          <w:rFonts w:asciiTheme="majorHAnsi" w:hAnsiTheme="majorHAnsi" w:cstheme="majorHAnsi"/>
          <w:color w:val="000000" w:themeColor="text1"/>
          <w:lang w:val="ro-MD"/>
        </w:rPr>
        <w:t xml:space="preserve">Menționăm, conform informației prezentate de CNAS, la nivel național, </w:t>
      </w:r>
      <w:r w:rsidR="003962FC" w:rsidRPr="00653E85">
        <w:rPr>
          <w:rFonts w:asciiTheme="majorHAnsi" w:hAnsiTheme="majorHAnsi" w:cstheme="majorHAnsi"/>
          <w:color w:val="000000" w:themeColor="text1"/>
          <w:lang w:val="ro-MD"/>
        </w:rPr>
        <w:t xml:space="preserve">până la </w:t>
      </w:r>
      <w:r w:rsidR="00FC573A" w:rsidRPr="00653E85">
        <w:rPr>
          <w:rFonts w:asciiTheme="majorHAnsi" w:hAnsiTheme="majorHAnsi" w:cstheme="majorHAnsi"/>
          <w:color w:val="000000" w:themeColor="text1"/>
          <w:lang w:val="ro-MD"/>
        </w:rPr>
        <w:t>finele lunii aprilie 2023</w:t>
      </w:r>
      <w:r w:rsidR="003962FC" w:rsidRPr="00653E85">
        <w:rPr>
          <w:rFonts w:asciiTheme="majorHAnsi" w:hAnsiTheme="majorHAnsi" w:cstheme="majorHAnsi"/>
          <w:color w:val="000000" w:themeColor="text1"/>
          <w:lang w:val="ro-MD"/>
        </w:rPr>
        <w:t xml:space="preserve">, </w:t>
      </w:r>
      <w:r w:rsidRPr="00653E85">
        <w:rPr>
          <w:rFonts w:asciiTheme="majorHAnsi" w:hAnsiTheme="majorHAnsi" w:cstheme="majorHAnsi"/>
          <w:color w:val="000000" w:themeColor="text1"/>
          <w:lang w:val="ro-MD"/>
        </w:rPr>
        <w:t>au fost scanate înscrierile din carnetele de muncă la solicitarea a</w:t>
      </w:r>
      <w:r w:rsidR="008E0C6B" w:rsidRPr="00653E85">
        <w:rPr>
          <w:rFonts w:asciiTheme="majorHAnsi" w:hAnsiTheme="majorHAnsi" w:cstheme="majorHAnsi"/>
          <w:color w:val="000000" w:themeColor="text1"/>
          <w:lang w:val="ro-MD"/>
        </w:rPr>
        <w:t xml:space="preserve"> 294 704</w:t>
      </w:r>
      <w:r w:rsidRPr="00653E85">
        <w:rPr>
          <w:rFonts w:asciiTheme="majorHAnsi" w:hAnsiTheme="majorHAnsi" w:cstheme="majorHAnsi"/>
          <w:color w:val="000000" w:themeColor="text1"/>
          <w:lang w:val="ro-MD"/>
        </w:rPr>
        <w:t xml:space="preserve"> de persoane fizice.</w:t>
      </w:r>
    </w:p>
    <w:p w14:paraId="312B7008" w14:textId="657EA625" w:rsidR="00683C4B" w:rsidRPr="00653E85" w:rsidRDefault="003962FC" w:rsidP="006A1A4E">
      <w:pPr>
        <w:pStyle w:val="aa"/>
        <w:numPr>
          <w:ilvl w:val="2"/>
          <w:numId w:val="2"/>
        </w:numPr>
        <w:shd w:val="clear" w:color="auto" w:fill="FFFFFF" w:themeFill="background1"/>
        <w:spacing w:before="240" w:line="276" w:lineRule="auto"/>
        <w:ind w:left="0" w:firstLine="0"/>
        <w:outlineLvl w:val="2"/>
        <w:rPr>
          <w:rFonts w:asciiTheme="majorHAnsi" w:eastAsia="Times New Roman" w:hAnsiTheme="majorHAnsi" w:cstheme="majorHAnsi"/>
          <w:b/>
          <w:color w:val="000000" w:themeColor="text1"/>
          <w:sz w:val="24"/>
          <w:szCs w:val="24"/>
          <w:lang w:val="ro-MD"/>
        </w:rPr>
      </w:pPr>
      <w:r w:rsidRPr="00653E85">
        <w:rPr>
          <w:rFonts w:asciiTheme="majorHAnsi" w:eastAsia="Times New Roman" w:hAnsiTheme="majorHAnsi" w:cstheme="majorHAnsi"/>
          <w:b/>
          <w:color w:val="000000" w:themeColor="text1"/>
          <w:sz w:val="24"/>
          <w:szCs w:val="24"/>
          <w:lang w:val="ro-MD"/>
        </w:rPr>
        <w:t xml:space="preserve">Odată cu intrarea în vigoare </w:t>
      </w:r>
      <w:r w:rsidR="006A1A4E" w:rsidRPr="00653E85">
        <w:rPr>
          <w:rFonts w:asciiTheme="majorHAnsi" w:eastAsia="Times New Roman" w:hAnsiTheme="majorHAnsi" w:cstheme="majorHAnsi"/>
          <w:b/>
          <w:color w:val="000000" w:themeColor="text1"/>
          <w:sz w:val="24"/>
          <w:szCs w:val="24"/>
          <w:lang w:val="ro-MD"/>
        </w:rPr>
        <w:t>a acordurilor internaționale în domeniul securității sociale, numărul beneficiarilor de pensii aflați peste hotarele Republicii Moldova este în continuă creștere</w:t>
      </w:r>
      <w:r w:rsidR="00BB11D8" w:rsidRPr="00653E85">
        <w:rPr>
          <w:rFonts w:asciiTheme="majorHAnsi" w:eastAsia="Times New Roman" w:hAnsiTheme="majorHAnsi" w:cstheme="majorHAnsi"/>
          <w:b/>
          <w:color w:val="000000" w:themeColor="text1"/>
          <w:sz w:val="24"/>
          <w:szCs w:val="24"/>
          <w:lang w:val="ro-MD"/>
        </w:rPr>
        <w:t>.</w:t>
      </w:r>
    </w:p>
    <w:p w14:paraId="6FCFDF06" w14:textId="70D16CEF" w:rsidR="00793126" w:rsidRPr="00653E85" w:rsidRDefault="00793126" w:rsidP="00793126">
      <w:pPr>
        <w:shd w:val="clear" w:color="auto" w:fill="FFFFFF" w:themeFill="background1"/>
        <w:spacing w:before="240" w:line="276" w:lineRule="auto"/>
        <w:jc w:val="both"/>
        <w:rPr>
          <w:rFonts w:asciiTheme="majorHAnsi" w:hAnsiTheme="majorHAnsi" w:cstheme="majorHAnsi"/>
          <w:sz w:val="24"/>
          <w:lang w:val="ro-MD"/>
        </w:rPr>
      </w:pPr>
      <w:r w:rsidRPr="00653E85">
        <w:rPr>
          <w:rFonts w:asciiTheme="majorHAnsi" w:hAnsiTheme="majorHAnsi" w:cstheme="majorHAnsi"/>
          <w:sz w:val="24"/>
          <w:lang w:val="ro-MD"/>
        </w:rPr>
        <w:t xml:space="preserve">În vederea conformării la standardele şi normele europene în domeniul </w:t>
      </w:r>
      <w:r w:rsidR="0074469F" w:rsidRPr="00653E85">
        <w:rPr>
          <w:rFonts w:asciiTheme="majorHAnsi" w:hAnsiTheme="majorHAnsi" w:cstheme="majorHAnsi"/>
          <w:sz w:val="24"/>
          <w:lang w:val="ro-MD"/>
        </w:rPr>
        <w:t>securității</w:t>
      </w:r>
      <w:r w:rsidRPr="00653E85">
        <w:rPr>
          <w:rFonts w:asciiTheme="majorHAnsi" w:hAnsiTheme="majorHAnsi" w:cstheme="majorHAnsi"/>
          <w:sz w:val="24"/>
          <w:lang w:val="ro-MD"/>
        </w:rPr>
        <w:t xml:space="preserve"> sociale, Casa Națională are încheiate Acorduri internaționale în domeniul securității sociale. Astfel, există</w:t>
      </w:r>
      <w:r w:rsidR="00E46FC8" w:rsidRPr="00653E85">
        <w:rPr>
          <w:rFonts w:asciiTheme="majorHAnsi" w:hAnsiTheme="majorHAnsi" w:cstheme="majorHAnsi"/>
          <w:sz w:val="24"/>
          <w:lang w:val="ro-MD"/>
        </w:rPr>
        <w:t xml:space="preserve"> 4</w:t>
      </w:r>
      <w:r w:rsidRPr="00653E85">
        <w:rPr>
          <w:rFonts w:asciiTheme="majorHAnsi" w:hAnsiTheme="majorHAnsi" w:cstheme="majorHAnsi"/>
          <w:sz w:val="24"/>
          <w:lang w:val="ro-MD"/>
        </w:rPr>
        <w:t xml:space="preserve"> </w:t>
      </w:r>
      <w:r w:rsidRPr="00653E85">
        <w:rPr>
          <w:rFonts w:asciiTheme="majorHAnsi" w:hAnsiTheme="majorHAnsi" w:cstheme="majorHAnsi"/>
          <w:b/>
          <w:sz w:val="24"/>
          <w:lang w:val="ro-MD"/>
        </w:rPr>
        <w:t>Acorduri bazate pe principiul teritorialității</w:t>
      </w:r>
      <w:r w:rsidR="00FF1CEB" w:rsidRPr="00653E85">
        <w:rPr>
          <w:rStyle w:val="a5"/>
          <w:rFonts w:asciiTheme="majorHAnsi" w:hAnsiTheme="majorHAnsi" w:cstheme="majorHAnsi"/>
          <w:b/>
          <w:sz w:val="24"/>
          <w:lang w:val="ro-MD"/>
        </w:rPr>
        <w:footnoteReference w:id="58"/>
      </w:r>
      <w:r w:rsidR="00BB11D8" w:rsidRPr="00653E85">
        <w:rPr>
          <w:rFonts w:asciiTheme="majorHAnsi" w:hAnsiTheme="majorHAnsi" w:cstheme="majorHAnsi"/>
          <w:b/>
          <w:sz w:val="24"/>
          <w:lang w:val="ro-MD"/>
        </w:rPr>
        <w:t>,</w:t>
      </w:r>
      <w:r w:rsidR="00E46FC8" w:rsidRPr="00653E85">
        <w:rPr>
          <w:rFonts w:asciiTheme="majorHAnsi" w:hAnsiTheme="majorHAnsi" w:cstheme="majorHAnsi"/>
          <w:sz w:val="24"/>
          <w:lang w:val="ro-MD"/>
        </w:rPr>
        <w:t xml:space="preserve"> </w:t>
      </w:r>
      <w:r w:rsidRPr="00653E85">
        <w:rPr>
          <w:rFonts w:asciiTheme="majorHAnsi" w:hAnsiTheme="majorHAnsi" w:cstheme="majorHAnsi"/>
          <w:sz w:val="24"/>
          <w:lang w:val="ro-MD"/>
        </w:rPr>
        <w:t>potrivit căr</w:t>
      </w:r>
      <w:r w:rsidR="00BB11D8" w:rsidRPr="00653E85">
        <w:rPr>
          <w:rFonts w:asciiTheme="majorHAnsi" w:hAnsiTheme="majorHAnsi" w:cstheme="majorHAnsi"/>
          <w:sz w:val="24"/>
          <w:lang w:val="ro-MD"/>
        </w:rPr>
        <w:t>ora,</w:t>
      </w:r>
      <w:r w:rsidRPr="00653E85">
        <w:rPr>
          <w:rFonts w:asciiTheme="majorHAnsi" w:hAnsiTheme="majorHAnsi" w:cstheme="majorHAnsi"/>
          <w:sz w:val="24"/>
          <w:lang w:val="ro-MD"/>
        </w:rPr>
        <w:t xml:space="preserve"> după strămutare, persoana va beneficia de prestații sociale în statul de domiciliu permanent şi conform legislației acestuia, indiferent dacă stagiul de cotizare a fost realizat pe teritoriul celuilalt stat. La calcularea acestor pensii, se iau în considerare atât perioadele de activitate de pe teritoriul ambelor state contractante, cât şi pe teritoriul URSS </w:t>
      </w:r>
      <w:r w:rsidR="00BB11D8" w:rsidRPr="00653E85">
        <w:rPr>
          <w:rFonts w:asciiTheme="majorHAnsi" w:hAnsiTheme="majorHAnsi" w:cstheme="majorHAnsi"/>
          <w:sz w:val="24"/>
          <w:lang w:val="ro-MD"/>
        </w:rPr>
        <w:t xml:space="preserve">(vezi </w:t>
      </w:r>
      <w:r w:rsidR="00490517" w:rsidRPr="00653E85">
        <w:rPr>
          <w:rFonts w:asciiTheme="majorHAnsi" w:hAnsiTheme="majorHAnsi" w:cstheme="majorHAnsi"/>
          <w:sz w:val="24"/>
          <w:lang w:val="ro-MD"/>
        </w:rPr>
        <w:t>Anexa nr.6</w:t>
      </w:r>
      <w:r w:rsidR="00BB11D8" w:rsidRPr="00653E85">
        <w:rPr>
          <w:rFonts w:asciiTheme="majorHAnsi" w:hAnsiTheme="majorHAnsi" w:cstheme="majorHAnsi"/>
          <w:sz w:val="24"/>
          <w:lang w:val="ro-MD"/>
        </w:rPr>
        <w:t xml:space="preserve"> la prezentul Raport de audit)</w:t>
      </w:r>
      <w:r w:rsidRPr="00653E85">
        <w:rPr>
          <w:rFonts w:asciiTheme="majorHAnsi" w:hAnsiTheme="majorHAnsi" w:cstheme="majorHAnsi"/>
          <w:sz w:val="24"/>
          <w:lang w:val="ro-MD"/>
        </w:rPr>
        <w:t xml:space="preserve">. </w:t>
      </w:r>
      <w:r w:rsidRPr="00653E85">
        <w:rPr>
          <w:rFonts w:asciiTheme="majorHAnsi" w:eastAsia="Times New Roman" w:hAnsiTheme="majorHAnsi" w:cstheme="majorHAnsi"/>
          <w:sz w:val="24"/>
          <w:szCs w:val="24"/>
          <w:lang w:val="ro-MD" w:eastAsia="ro-RO"/>
        </w:rPr>
        <w:t xml:space="preserve">De asemenea, sunt stabilite prestații în </w:t>
      </w:r>
      <w:r w:rsidR="00D8299D" w:rsidRPr="00653E85">
        <w:rPr>
          <w:rFonts w:asciiTheme="majorHAnsi" w:eastAsia="Times New Roman" w:hAnsiTheme="majorHAnsi" w:cstheme="majorHAnsi"/>
          <w:sz w:val="24"/>
          <w:szCs w:val="24"/>
          <w:lang w:val="ro-MD" w:eastAsia="ro-RO"/>
        </w:rPr>
        <w:t>b</w:t>
      </w:r>
      <w:r w:rsidRPr="00653E85">
        <w:rPr>
          <w:rFonts w:asciiTheme="majorHAnsi" w:eastAsia="Times New Roman" w:hAnsiTheme="majorHAnsi" w:cstheme="majorHAnsi"/>
          <w:sz w:val="24"/>
          <w:szCs w:val="24"/>
          <w:lang w:val="ro-MD" w:eastAsia="ro-RO"/>
        </w:rPr>
        <w:t xml:space="preserve">aza a 15 </w:t>
      </w:r>
      <w:r w:rsidRPr="00653E85">
        <w:rPr>
          <w:rFonts w:asciiTheme="majorHAnsi" w:eastAsia="Times New Roman" w:hAnsiTheme="majorHAnsi" w:cstheme="majorHAnsi"/>
          <w:b/>
          <w:sz w:val="24"/>
          <w:szCs w:val="24"/>
          <w:lang w:val="ro-MD" w:eastAsia="ro-RO"/>
        </w:rPr>
        <w:t>Acorduri bazate pe principiul proporționalității</w:t>
      </w:r>
      <w:r w:rsidR="003C2906" w:rsidRPr="00653E85">
        <w:rPr>
          <w:rStyle w:val="a5"/>
          <w:rFonts w:asciiTheme="majorHAnsi" w:eastAsia="Times New Roman" w:hAnsiTheme="majorHAnsi" w:cstheme="majorHAnsi"/>
          <w:b/>
          <w:sz w:val="24"/>
          <w:szCs w:val="24"/>
          <w:lang w:val="ro-MD" w:eastAsia="ro-RO"/>
        </w:rPr>
        <w:footnoteReference w:id="59"/>
      </w:r>
      <w:r w:rsidR="00BB11D8" w:rsidRPr="00653E85">
        <w:rPr>
          <w:rFonts w:asciiTheme="majorHAnsi" w:eastAsia="Times New Roman" w:hAnsiTheme="majorHAnsi" w:cstheme="majorHAnsi"/>
          <w:b/>
          <w:sz w:val="24"/>
          <w:szCs w:val="24"/>
          <w:lang w:val="ro-MD" w:eastAsia="ro-RO"/>
        </w:rPr>
        <w:t>,</w:t>
      </w:r>
      <w:r w:rsidRPr="00653E85">
        <w:rPr>
          <w:rFonts w:asciiTheme="majorHAnsi" w:eastAsia="Times New Roman" w:hAnsiTheme="majorHAnsi" w:cstheme="majorHAnsi"/>
          <w:sz w:val="24"/>
          <w:szCs w:val="24"/>
          <w:lang w:val="ro-MD" w:eastAsia="ro-RO"/>
        </w:rPr>
        <w:t xml:space="preserve"> potrivit căr</w:t>
      </w:r>
      <w:r w:rsidR="00BB11D8" w:rsidRPr="00653E85">
        <w:rPr>
          <w:rFonts w:asciiTheme="majorHAnsi" w:eastAsia="Times New Roman" w:hAnsiTheme="majorHAnsi" w:cstheme="majorHAnsi"/>
          <w:sz w:val="24"/>
          <w:szCs w:val="24"/>
          <w:lang w:val="ro-MD" w:eastAsia="ro-RO"/>
        </w:rPr>
        <w:t>ora</w:t>
      </w:r>
      <w:r w:rsidRPr="00653E85">
        <w:rPr>
          <w:rFonts w:asciiTheme="majorHAnsi" w:eastAsia="Times New Roman" w:hAnsiTheme="majorHAnsi" w:cstheme="majorHAnsi"/>
          <w:sz w:val="24"/>
          <w:szCs w:val="24"/>
          <w:lang w:val="ro-MD" w:eastAsia="ro-RO"/>
        </w:rPr>
        <w:t xml:space="preserve"> fiecare stat contractant la acord va achita partea de pensie calculată pentru perioada de cotizare la sistemul public de asigurări sociale realizată pe teritoriul propriu, şi </w:t>
      </w:r>
      <w:r w:rsidRPr="00653E85">
        <w:rPr>
          <w:rFonts w:asciiTheme="majorHAnsi" w:eastAsia="Times New Roman" w:hAnsiTheme="majorHAnsi" w:cstheme="majorHAnsi"/>
          <w:iCs/>
          <w:sz w:val="24"/>
          <w:szCs w:val="24"/>
          <w:lang w:val="ro-MD" w:eastAsia="ro-RO"/>
        </w:rPr>
        <w:t>exportul de prestații</w:t>
      </w:r>
      <w:r w:rsidRPr="00653E85">
        <w:rPr>
          <w:rFonts w:asciiTheme="majorHAnsi" w:eastAsia="Times New Roman" w:hAnsiTheme="majorHAnsi" w:cstheme="majorHAnsi"/>
          <w:sz w:val="24"/>
          <w:szCs w:val="24"/>
          <w:lang w:val="ro-MD" w:eastAsia="ro-RO"/>
        </w:rPr>
        <w:t xml:space="preserve">, care presupune dreptul unui lucrător migrant de a beneficia de </w:t>
      </w:r>
      <w:r w:rsidR="0074469F" w:rsidRPr="00653E85">
        <w:rPr>
          <w:rFonts w:asciiTheme="majorHAnsi" w:eastAsia="Times New Roman" w:hAnsiTheme="majorHAnsi" w:cstheme="majorHAnsi"/>
          <w:sz w:val="24"/>
          <w:szCs w:val="24"/>
          <w:lang w:val="ro-MD" w:eastAsia="ro-RO"/>
        </w:rPr>
        <w:t>prestațiile</w:t>
      </w:r>
      <w:r w:rsidRPr="00653E85">
        <w:rPr>
          <w:rFonts w:asciiTheme="majorHAnsi" w:eastAsia="Times New Roman" w:hAnsiTheme="majorHAnsi" w:cstheme="majorHAnsi"/>
          <w:sz w:val="24"/>
          <w:szCs w:val="24"/>
          <w:lang w:val="ro-MD" w:eastAsia="ro-RO"/>
        </w:rPr>
        <w:t xml:space="preserve"> dobândite în statele în care şi-a desfășurat activitatea, pe teritoriul statului de domiciliu </w:t>
      </w:r>
      <w:r w:rsidR="00B96D45" w:rsidRPr="00653E85">
        <w:rPr>
          <w:rFonts w:asciiTheme="majorHAnsi" w:eastAsia="Times New Roman" w:hAnsiTheme="majorHAnsi" w:cstheme="majorHAnsi"/>
          <w:sz w:val="24"/>
          <w:szCs w:val="24"/>
          <w:lang w:val="ro-MD" w:eastAsia="ro-RO"/>
        </w:rPr>
        <w:t xml:space="preserve">(vezi </w:t>
      </w:r>
      <w:r w:rsidR="00490517" w:rsidRPr="00653E85">
        <w:rPr>
          <w:rFonts w:asciiTheme="majorHAnsi" w:eastAsia="Times New Roman" w:hAnsiTheme="majorHAnsi" w:cstheme="majorHAnsi"/>
          <w:sz w:val="24"/>
          <w:szCs w:val="24"/>
          <w:lang w:val="ro-MD" w:eastAsia="ro-RO"/>
        </w:rPr>
        <w:t>Anexa nr.7</w:t>
      </w:r>
      <w:r w:rsidR="00B96D45" w:rsidRPr="00653E85">
        <w:rPr>
          <w:rFonts w:asciiTheme="majorHAnsi" w:eastAsia="Times New Roman" w:hAnsiTheme="majorHAnsi" w:cstheme="majorHAnsi"/>
          <w:sz w:val="24"/>
          <w:szCs w:val="24"/>
          <w:lang w:val="ro-MD" w:eastAsia="ro-RO"/>
        </w:rPr>
        <w:t xml:space="preserve"> </w:t>
      </w:r>
      <w:r w:rsidR="00B96D45" w:rsidRPr="00653E85">
        <w:rPr>
          <w:rFonts w:asciiTheme="majorHAnsi" w:hAnsiTheme="majorHAnsi" w:cstheme="majorHAnsi"/>
          <w:sz w:val="24"/>
          <w:lang w:val="ro-MD"/>
        </w:rPr>
        <w:t>la prezentul Raport de audit.</w:t>
      </w:r>
      <w:r w:rsidR="00AF73A1" w:rsidRPr="00653E85">
        <w:rPr>
          <w:rFonts w:asciiTheme="majorHAnsi" w:eastAsia="Times New Roman" w:hAnsiTheme="majorHAnsi" w:cstheme="majorHAnsi"/>
          <w:sz w:val="24"/>
          <w:szCs w:val="24"/>
          <w:lang w:val="ro-MD" w:eastAsia="ro-RO"/>
        </w:rPr>
        <w:t xml:space="preserve"> </w:t>
      </w:r>
      <w:r w:rsidR="00B96D45" w:rsidRPr="00653E85">
        <w:rPr>
          <w:rFonts w:asciiTheme="majorHAnsi" w:eastAsia="Times New Roman" w:hAnsiTheme="majorHAnsi" w:cstheme="majorHAnsi"/>
          <w:sz w:val="24"/>
          <w:szCs w:val="24"/>
          <w:lang w:val="ro-MD" w:eastAsia="ro-RO"/>
        </w:rPr>
        <w:t>În prezent se poartă</w:t>
      </w:r>
      <w:r w:rsidR="00B96D45" w:rsidRPr="00653E85">
        <w:rPr>
          <w:rFonts w:asciiTheme="majorHAnsi" w:eastAsia="Times New Roman" w:hAnsiTheme="majorHAnsi" w:cstheme="majorHAnsi"/>
          <w:bCs/>
          <w:sz w:val="24"/>
          <w:szCs w:val="24"/>
          <w:lang w:val="ro-MD" w:eastAsia="ro-RO"/>
        </w:rPr>
        <w:t xml:space="preserve"> </w:t>
      </w:r>
      <w:r w:rsidRPr="00653E85">
        <w:rPr>
          <w:rFonts w:asciiTheme="majorHAnsi" w:eastAsia="Times New Roman" w:hAnsiTheme="majorHAnsi" w:cstheme="majorHAnsi"/>
          <w:bCs/>
          <w:sz w:val="24"/>
          <w:szCs w:val="24"/>
          <w:lang w:val="ro-MD" w:eastAsia="ro-RO"/>
        </w:rPr>
        <w:t>negocieri cu Letonia</w:t>
      </w:r>
      <w:r w:rsidR="00B96D45" w:rsidRPr="00653E85">
        <w:rPr>
          <w:rFonts w:asciiTheme="majorHAnsi" w:eastAsia="Times New Roman" w:hAnsiTheme="majorHAnsi" w:cstheme="majorHAnsi"/>
          <w:bCs/>
          <w:sz w:val="24"/>
          <w:szCs w:val="24"/>
          <w:lang w:val="ro-MD" w:eastAsia="ro-RO"/>
        </w:rPr>
        <w:t xml:space="preserve"> și</w:t>
      </w:r>
      <w:r w:rsidRPr="00653E85">
        <w:rPr>
          <w:rFonts w:asciiTheme="majorHAnsi" w:eastAsia="Times New Roman" w:hAnsiTheme="majorHAnsi" w:cstheme="majorHAnsi"/>
          <w:bCs/>
          <w:sz w:val="24"/>
          <w:szCs w:val="24"/>
          <w:lang w:val="ro-MD" w:eastAsia="ro-RO"/>
        </w:rPr>
        <w:t xml:space="preserve"> Elveția</w:t>
      </w:r>
      <w:r w:rsidR="00B96D45" w:rsidRPr="00653E85">
        <w:rPr>
          <w:rFonts w:asciiTheme="majorHAnsi" w:eastAsia="Times New Roman" w:hAnsiTheme="majorHAnsi" w:cstheme="majorHAnsi"/>
          <w:bCs/>
          <w:sz w:val="24"/>
          <w:szCs w:val="24"/>
          <w:lang w:val="ro-MD" w:eastAsia="ro-RO"/>
        </w:rPr>
        <w:t>)</w:t>
      </w:r>
      <w:r w:rsidRPr="00653E85">
        <w:rPr>
          <w:rFonts w:asciiTheme="majorHAnsi" w:eastAsia="Times New Roman" w:hAnsiTheme="majorHAnsi" w:cstheme="majorHAnsi"/>
          <w:bCs/>
          <w:sz w:val="24"/>
          <w:szCs w:val="24"/>
          <w:lang w:val="ro-MD" w:eastAsia="ro-RO"/>
        </w:rPr>
        <w:t>.</w:t>
      </w:r>
    </w:p>
    <w:p w14:paraId="3F26A309" w14:textId="2D4CFF8A" w:rsidR="00793126" w:rsidRPr="00B7675F" w:rsidRDefault="00A356B8" w:rsidP="00A356B8">
      <w:pPr>
        <w:shd w:val="clear" w:color="auto" w:fill="FFFFFF" w:themeFill="background1"/>
        <w:spacing w:before="240" w:line="276" w:lineRule="auto"/>
        <w:jc w:val="both"/>
        <w:rPr>
          <w:rFonts w:asciiTheme="majorHAnsi" w:hAnsiTheme="majorHAnsi" w:cstheme="majorHAnsi"/>
          <w:sz w:val="24"/>
          <w:lang w:val="ro-MD"/>
        </w:rPr>
      </w:pPr>
      <w:r w:rsidRPr="00653E85">
        <w:rPr>
          <w:rFonts w:asciiTheme="majorHAnsi" w:hAnsiTheme="majorHAnsi" w:cstheme="majorHAnsi"/>
          <w:sz w:val="24"/>
          <w:lang w:val="ro-MD"/>
        </w:rPr>
        <w:t>De</w:t>
      </w:r>
      <w:r w:rsidRPr="00B7675F">
        <w:rPr>
          <w:rFonts w:asciiTheme="majorHAnsi" w:hAnsiTheme="majorHAnsi" w:cstheme="majorHAnsi"/>
          <w:sz w:val="24"/>
          <w:lang w:val="ro-MD"/>
        </w:rPr>
        <w:t>ș</w:t>
      </w:r>
      <w:r w:rsidRPr="0038225D">
        <w:rPr>
          <w:rFonts w:asciiTheme="majorHAnsi" w:hAnsiTheme="majorHAnsi" w:cstheme="majorHAnsi"/>
          <w:sz w:val="24"/>
          <w:lang w:val="ro-MD"/>
        </w:rPr>
        <w:t xml:space="preserve">i RM transferă pensii în 14 </w:t>
      </w:r>
      <w:r w:rsidR="00D8299D" w:rsidRPr="00B7675F">
        <w:rPr>
          <w:rFonts w:asciiTheme="majorHAnsi" w:hAnsiTheme="majorHAnsi" w:cstheme="majorHAnsi"/>
          <w:sz w:val="24"/>
          <w:lang w:val="ro-MD"/>
        </w:rPr>
        <w:t>ț</w:t>
      </w:r>
      <w:r w:rsidRPr="00B7675F">
        <w:rPr>
          <w:rFonts w:asciiTheme="majorHAnsi" w:hAnsiTheme="majorHAnsi" w:cstheme="majorHAnsi"/>
          <w:sz w:val="24"/>
          <w:lang w:val="ro-MD"/>
        </w:rPr>
        <w:t>ări, se denotă că primește doar din 4 țări (Belarus, Bulgari</w:t>
      </w:r>
      <w:r w:rsidR="00B268CD" w:rsidRPr="00B7675F">
        <w:rPr>
          <w:rFonts w:asciiTheme="majorHAnsi" w:hAnsiTheme="majorHAnsi" w:cstheme="majorHAnsi"/>
          <w:sz w:val="24"/>
          <w:lang w:val="ro-MD"/>
        </w:rPr>
        <w:t>a, Estonia și Letonia)</w:t>
      </w:r>
      <w:r w:rsidRPr="00B7675F">
        <w:rPr>
          <w:rFonts w:asciiTheme="majorHAnsi" w:hAnsiTheme="majorHAnsi" w:cstheme="majorHAnsi"/>
          <w:sz w:val="24"/>
          <w:lang w:val="ro-MD"/>
        </w:rPr>
        <w:t>. Astfel</w:t>
      </w:r>
      <w:r w:rsidR="00985E58" w:rsidRPr="00B7675F">
        <w:rPr>
          <w:rFonts w:asciiTheme="majorHAnsi" w:hAnsiTheme="majorHAnsi" w:cstheme="majorHAnsi"/>
          <w:sz w:val="24"/>
          <w:lang w:val="ro-MD"/>
        </w:rPr>
        <w:t>,</w:t>
      </w:r>
      <w:r w:rsidRPr="00B7675F">
        <w:rPr>
          <w:rFonts w:asciiTheme="majorHAnsi" w:hAnsiTheme="majorHAnsi" w:cstheme="majorHAnsi"/>
          <w:sz w:val="24"/>
          <w:lang w:val="ro-MD"/>
        </w:rPr>
        <w:t xml:space="preserve"> cheltuielile pentru pensii transferate în afara</w:t>
      </w:r>
      <w:r w:rsidR="009F0401" w:rsidRPr="00B7675F">
        <w:rPr>
          <w:rFonts w:asciiTheme="majorHAnsi" w:hAnsiTheme="majorHAnsi" w:cstheme="majorHAnsi"/>
          <w:sz w:val="24"/>
          <w:lang w:val="ro-MD"/>
        </w:rPr>
        <w:t xml:space="preserve"> RM au constituit în anul 2022 </w:t>
      </w:r>
      <w:r w:rsidR="00985E58" w:rsidRPr="00B7675F">
        <w:rPr>
          <w:rFonts w:asciiTheme="majorHAnsi" w:hAnsiTheme="majorHAnsi" w:cstheme="majorHAnsi"/>
          <w:sz w:val="24"/>
          <w:lang w:val="ro-MD"/>
        </w:rPr>
        <w:t>suma de</w:t>
      </w:r>
      <w:r w:rsidR="009F0401" w:rsidRPr="00B7675F">
        <w:rPr>
          <w:rFonts w:asciiTheme="majorHAnsi" w:hAnsiTheme="majorHAnsi" w:cstheme="majorHAnsi"/>
          <w:sz w:val="24"/>
          <w:lang w:val="ro-MD"/>
        </w:rPr>
        <w:t xml:space="preserve"> </w:t>
      </w:r>
      <w:r w:rsidRPr="00B7675F">
        <w:rPr>
          <w:rFonts w:asciiTheme="majorHAnsi" w:hAnsiTheme="majorHAnsi" w:cstheme="majorHAnsi"/>
          <w:sz w:val="24"/>
          <w:lang w:val="ro-MD"/>
        </w:rPr>
        <w:t>39</w:t>
      </w:r>
      <w:r w:rsidR="00B268CD" w:rsidRPr="00B7675F">
        <w:rPr>
          <w:rFonts w:asciiTheme="majorHAnsi" w:hAnsiTheme="majorHAnsi" w:cstheme="majorHAnsi"/>
          <w:sz w:val="24"/>
          <w:lang w:val="ro-MD"/>
        </w:rPr>
        <w:t xml:space="preserve"> </w:t>
      </w:r>
      <w:r w:rsidRPr="00B7675F">
        <w:rPr>
          <w:rFonts w:asciiTheme="majorHAnsi" w:hAnsiTheme="majorHAnsi" w:cstheme="majorHAnsi"/>
          <w:sz w:val="24"/>
          <w:lang w:val="ro-MD"/>
        </w:rPr>
        <w:t>924,5 mii lei, cu 9</w:t>
      </w:r>
      <w:r w:rsidR="00D8299D" w:rsidRPr="00B7675F">
        <w:rPr>
          <w:rFonts w:asciiTheme="majorHAnsi" w:hAnsiTheme="majorHAnsi" w:cstheme="majorHAnsi"/>
          <w:sz w:val="24"/>
          <w:lang w:val="ro-MD"/>
        </w:rPr>
        <w:t xml:space="preserve"> </w:t>
      </w:r>
      <w:r w:rsidRPr="00B7675F">
        <w:rPr>
          <w:rFonts w:asciiTheme="majorHAnsi" w:hAnsiTheme="majorHAnsi" w:cstheme="majorHAnsi"/>
          <w:sz w:val="24"/>
          <w:lang w:val="ro-MD"/>
        </w:rPr>
        <w:t xml:space="preserve">433,1 mii lei mai mult decât în anul 2020. Tendința de majorare este influențată inclusiv de creșterea numărului de beneficiari, care în anul 2022 a constituit </w:t>
      </w:r>
      <w:r w:rsidR="000B5911" w:rsidRPr="00B7675F">
        <w:rPr>
          <w:rFonts w:asciiTheme="majorHAnsi" w:hAnsiTheme="majorHAnsi" w:cstheme="majorHAnsi"/>
          <w:sz w:val="24"/>
          <w:lang w:val="ro-MD"/>
        </w:rPr>
        <w:t>1</w:t>
      </w:r>
      <w:r w:rsidR="00D8299D" w:rsidRPr="00B7675F">
        <w:rPr>
          <w:rFonts w:asciiTheme="majorHAnsi" w:hAnsiTheme="majorHAnsi" w:cstheme="majorHAnsi"/>
          <w:sz w:val="24"/>
          <w:lang w:val="ro-MD"/>
        </w:rPr>
        <w:t xml:space="preserve"> </w:t>
      </w:r>
      <w:r w:rsidR="000B5911" w:rsidRPr="00B7675F">
        <w:rPr>
          <w:rFonts w:asciiTheme="majorHAnsi" w:hAnsiTheme="majorHAnsi" w:cstheme="majorHAnsi"/>
          <w:sz w:val="24"/>
          <w:lang w:val="ro-MD"/>
        </w:rPr>
        <w:t>642, cu 566 mai mulți decât în anul 2020.</w:t>
      </w:r>
    </w:p>
    <w:p w14:paraId="5772846D" w14:textId="7DF42E91" w:rsidR="000B5911" w:rsidRPr="00653E85" w:rsidRDefault="00B268CD" w:rsidP="008D1DF2">
      <w:pPr>
        <w:spacing w:before="240" w:after="0" w:line="276" w:lineRule="auto"/>
        <w:jc w:val="both"/>
        <w:rPr>
          <w:rFonts w:asciiTheme="majorHAnsi" w:hAnsiTheme="majorHAnsi" w:cstheme="majorHAnsi"/>
          <w:b/>
          <w:sz w:val="24"/>
          <w:szCs w:val="24"/>
          <w:lang w:val="ro-MD"/>
        </w:rPr>
      </w:pPr>
      <w:r w:rsidRPr="00653E85">
        <w:rPr>
          <w:rFonts w:asciiTheme="majorHAnsi" w:hAnsiTheme="majorHAnsi" w:cstheme="majorHAnsi"/>
          <w:sz w:val="24"/>
          <w:szCs w:val="24"/>
          <w:lang w:val="ro-MD"/>
        </w:rPr>
        <w:t xml:space="preserve">Auditorul a analizat listele pensiilor transferate/primite </w:t>
      </w:r>
      <w:r w:rsidR="00C912AD" w:rsidRPr="00653E85">
        <w:rPr>
          <w:rFonts w:asciiTheme="majorHAnsi" w:hAnsiTheme="majorHAnsi" w:cstheme="majorHAnsi"/>
          <w:sz w:val="24"/>
          <w:szCs w:val="24"/>
          <w:lang w:val="ro-MD"/>
        </w:rPr>
        <w:t>de beneficiari</w:t>
      </w:r>
      <w:r w:rsidRPr="00653E85">
        <w:rPr>
          <w:rFonts w:asciiTheme="majorHAnsi" w:hAnsiTheme="majorHAnsi" w:cstheme="majorHAnsi"/>
          <w:sz w:val="24"/>
          <w:szCs w:val="24"/>
          <w:lang w:val="ro-MD"/>
        </w:rPr>
        <w:t xml:space="preserve"> din/în RM în baza acordurilor internaționale </w:t>
      </w:r>
      <w:r w:rsidR="00C912AD" w:rsidRPr="00653E85">
        <w:rPr>
          <w:rFonts w:asciiTheme="majorHAnsi" w:hAnsiTheme="majorHAnsi" w:cstheme="majorHAnsi"/>
          <w:sz w:val="24"/>
          <w:szCs w:val="24"/>
          <w:lang w:val="ro-MD"/>
        </w:rPr>
        <w:t>și</w:t>
      </w:r>
      <w:r w:rsidRPr="00653E85">
        <w:rPr>
          <w:rFonts w:asciiTheme="majorHAnsi" w:hAnsiTheme="majorHAnsi" w:cstheme="majorHAnsi"/>
          <w:sz w:val="24"/>
          <w:szCs w:val="24"/>
          <w:lang w:val="ro-MD"/>
        </w:rPr>
        <w:t xml:space="preserve"> nu a</w:t>
      </w:r>
      <w:r w:rsidR="00C912AD" w:rsidRPr="00653E85">
        <w:rPr>
          <w:rFonts w:asciiTheme="majorHAnsi" w:hAnsiTheme="majorHAnsi" w:cstheme="majorHAnsi"/>
          <w:sz w:val="24"/>
          <w:szCs w:val="24"/>
          <w:lang w:val="ro-MD"/>
        </w:rPr>
        <w:t>u fost</w:t>
      </w:r>
      <w:r w:rsidRPr="00653E85">
        <w:rPr>
          <w:rFonts w:asciiTheme="majorHAnsi" w:hAnsiTheme="majorHAnsi" w:cstheme="majorHAnsi"/>
          <w:sz w:val="24"/>
          <w:szCs w:val="24"/>
          <w:lang w:val="ro-MD"/>
        </w:rPr>
        <w:t xml:space="preserve"> identificat</w:t>
      </w:r>
      <w:r w:rsidR="00C912AD" w:rsidRPr="00653E85">
        <w:rPr>
          <w:rFonts w:asciiTheme="majorHAnsi" w:hAnsiTheme="majorHAnsi" w:cstheme="majorHAnsi"/>
          <w:sz w:val="24"/>
          <w:szCs w:val="24"/>
          <w:lang w:val="ro-MD"/>
        </w:rPr>
        <w:t>e</w:t>
      </w:r>
      <w:r w:rsidRPr="00653E85">
        <w:rPr>
          <w:rFonts w:asciiTheme="majorHAnsi" w:hAnsiTheme="majorHAnsi" w:cstheme="majorHAnsi"/>
          <w:sz w:val="24"/>
          <w:szCs w:val="24"/>
          <w:lang w:val="ro-MD"/>
        </w:rPr>
        <w:t xml:space="preserve"> neconformități sau inexactități, acestea reflectând </w:t>
      </w:r>
      <w:r w:rsidR="00C912AD" w:rsidRPr="00653E85">
        <w:rPr>
          <w:rFonts w:asciiTheme="majorHAnsi" w:hAnsiTheme="majorHAnsi" w:cstheme="majorHAnsi"/>
          <w:sz w:val="24"/>
          <w:szCs w:val="24"/>
          <w:lang w:val="ro-MD"/>
        </w:rPr>
        <w:t>date exacte.</w:t>
      </w:r>
      <w:r w:rsidR="008D1DF2" w:rsidRPr="00653E85">
        <w:rPr>
          <w:rFonts w:asciiTheme="majorHAnsi" w:hAnsiTheme="majorHAnsi" w:cstheme="majorHAnsi"/>
          <w:b/>
          <w:sz w:val="24"/>
          <w:szCs w:val="24"/>
          <w:lang w:val="ro-MD"/>
        </w:rPr>
        <w:t xml:space="preserve"> </w:t>
      </w:r>
      <w:r w:rsidR="000B5911" w:rsidRPr="00B7675F">
        <w:rPr>
          <w:rFonts w:asciiTheme="majorHAnsi" w:hAnsiTheme="majorHAnsi" w:cstheme="majorHAnsi"/>
          <w:sz w:val="24"/>
          <w:lang w:val="ro-MD"/>
        </w:rPr>
        <w:t>Cât privește sumele intrate în RM pentru achitarea pensiilor prin acordurile internaționale, în anul 2022</w:t>
      </w:r>
      <w:r w:rsidR="000B5911" w:rsidRPr="0038225D">
        <w:rPr>
          <w:rFonts w:asciiTheme="majorHAnsi" w:hAnsiTheme="majorHAnsi" w:cstheme="majorHAnsi"/>
          <w:sz w:val="24"/>
          <w:lang w:val="ro-MD"/>
        </w:rPr>
        <w:t xml:space="preserve"> </w:t>
      </w:r>
      <w:r w:rsidR="00502E87" w:rsidRPr="00B7675F">
        <w:rPr>
          <w:rFonts w:asciiTheme="majorHAnsi" w:hAnsiTheme="majorHAnsi" w:cstheme="majorHAnsi"/>
          <w:sz w:val="24"/>
          <w:lang w:val="ro-MD"/>
        </w:rPr>
        <w:t xml:space="preserve">acestea </w:t>
      </w:r>
      <w:r w:rsidR="000B5911" w:rsidRPr="00B7675F">
        <w:rPr>
          <w:rFonts w:asciiTheme="majorHAnsi" w:hAnsiTheme="majorHAnsi" w:cstheme="majorHAnsi"/>
          <w:sz w:val="24"/>
          <w:lang w:val="ro-MD"/>
        </w:rPr>
        <w:t>a</w:t>
      </w:r>
      <w:r w:rsidR="00502E87" w:rsidRPr="00B7675F">
        <w:rPr>
          <w:rFonts w:asciiTheme="majorHAnsi" w:hAnsiTheme="majorHAnsi" w:cstheme="majorHAnsi"/>
          <w:sz w:val="24"/>
          <w:lang w:val="ro-MD"/>
        </w:rPr>
        <w:t>u</w:t>
      </w:r>
      <w:r w:rsidR="000B5911" w:rsidRPr="00B7675F">
        <w:rPr>
          <w:rFonts w:asciiTheme="majorHAnsi" w:hAnsiTheme="majorHAnsi" w:cstheme="majorHAnsi"/>
          <w:sz w:val="24"/>
          <w:lang w:val="ro-MD"/>
        </w:rPr>
        <w:t xml:space="preserve"> constituit 2</w:t>
      </w:r>
      <w:r w:rsidR="00D8299D" w:rsidRPr="00B7675F">
        <w:rPr>
          <w:rFonts w:asciiTheme="majorHAnsi" w:hAnsiTheme="majorHAnsi" w:cstheme="majorHAnsi"/>
          <w:sz w:val="24"/>
          <w:lang w:val="ro-MD"/>
        </w:rPr>
        <w:t xml:space="preserve"> </w:t>
      </w:r>
      <w:r w:rsidR="000B5911" w:rsidRPr="00B7675F">
        <w:rPr>
          <w:rFonts w:asciiTheme="majorHAnsi" w:hAnsiTheme="majorHAnsi" w:cstheme="majorHAnsi"/>
          <w:sz w:val="24"/>
          <w:lang w:val="ro-MD"/>
        </w:rPr>
        <w:t xml:space="preserve">214,8 mii lei pentru 46 </w:t>
      </w:r>
      <w:r w:rsidR="00502E87" w:rsidRPr="00B7675F">
        <w:rPr>
          <w:rFonts w:asciiTheme="majorHAnsi" w:hAnsiTheme="majorHAnsi" w:cstheme="majorHAnsi"/>
          <w:sz w:val="24"/>
          <w:lang w:val="ro-MD"/>
        </w:rPr>
        <w:t xml:space="preserve">de </w:t>
      </w:r>
      <w:r w:rsidR="000B5911" w:rsidRPr="00B7675F">
        <w:rPr>
          <w:rFonts w:asciiTheme="majorHAnsi" w:hAnsiTheme="majorHAnsi" w:cstheme="majorHAnsi"/>
          <w:sz w:val="24"/>
          <w:lang w:val="ro-MD"/>
        </w:rPr>
        <w:t>beneficiari, cu 1</w:t>
      </w:r>
      <w:r w:rsidR="00D8299D" w:rsidRPr="00B7675F">
        <w:rPr>
          <w:rFonts w:asciiTheme="majorHAnsi" w:hAnsiTheme="majorHAnsi" w:cstheme="majorHAnsi"/>
          <w:sz w:val="24"/>
          <w:lang w:val="ro-MD"/>
        </w:rPr>
        <w:t xml:space="preserve"> </w:t>
      </w:r>
      <w:r w:rsidR="000B5911" w:rsidRPr="00B7675F">
        <w:rPr>
          <w:rFonts w:asciiTheme="majorHAnsi" w:hAnsiTheme="majorHAnsi" w:cstheme="majorHAnsi"/>
          <w:sz w:val="24"/>
          <w:lang w:val="ro-MD"/>
        </w:rPr>
        <w:t>053,9 mii lei mai mult decât în anul 2020. Totodată, numărul de beneficiari</w:t>
      </w:r>
      <w:r w:rsidR="00502E87" w:rsidRPr="00B7675F">
        <w:rPr>
          <w:rFonts w:asciiTheme="majorHAnsi" w:hAnsiTheme="majorHAnsi" w:cstheme="majorHAnsi"/>
          <w:sz w:val="24"/>
          <w:lang w:val="ro-MD"/>
        </w:rPr>
        <w:t>,</w:t>
      </w:r>
      <w:r w:rsidR="000B5911" w:rsidRPr="00B7675F">
        <w:rPr>
          <w:rFonts w:asciiTheme="majorHAnsi" w:hAnsiTheme="majorHAnsi" w:cstheme="majorHAnsi"/>
          <w:sz w:val="24"/>
          <w:lang w:val="ro-MD"/>
        </w:rPr>
        <w:t xml:space="preserve"> față de 2020</w:t>
      </w:r>
      <w:r w:rsidR="00502E87" w:rsidRPr="00B7675F">
        <w:rPr>
          <w:rFonts w:asciiTheme="majorHAnsi" w:hAnsiTheme="majorHAnsi" w:cstheme="majorHAnsi"/>
          <w:sz w:val="24"/>
          <w:lang w:val="ro-MD"/>
        </w:rPr>
        <w:t>,</w:t>
      </w:r>
      <w:r w:rsidR="000B5911" w:rsidRPr="00B7675F">
        <w:rPr>
          <w:rFonts w:asciiTheme="majorHAnsi" w:hAnsiTheme="majorHAnsi" w:cstheme="majorHAnsi"/>
          <w:sz w:val="24"/>
          <w:lang w:val="ro-MD"/>
        </w:rPr>
        <w:t xml:space="preserve"> s-a dublat, </w:t>
      </w:r>
      <w:r w:rsidR="00502E87" w:rsidRPr="00B7675F">
        <w:rPr>
          <w:rFonts w:asciiTheme="majorHAnsi" w:hAnsiTheme="majorHAnsi" w:cstheme="majorHAnsi"/>
          <w:sz w:val="24"/>
          <w:lang w:val="ro-MD"/>
        </w:rPr>
        <w:t xml:space="preserve">număr </w:t>
      </w:r>
      <w:r w:rsidR="000B5911" w:rsidRPr="00B7675F">
        <w:rPr>
          <w:rFonts w:asciiTheme="majorHAnsi" w:hAnsiTheme="majorHAnsi" w:cstheme="majorHAnsi"/>
          <w:sz w:val="24"/>
          <w:lang w:val="ro-MD"/>
        </w:rPr>
        <w:t xml:space="preserve">care a constituit 23 </w:t>
      </w:r>
      <w:r w:rsidR="00502E87" w:rsidRPr="00B7675F">
        <w:rPr>
          <w:rFonts w:asciiTheme="majorHAnsi" w:hAnsiTheme="majorHAnsi" w:cstheme="majorHAnsi"/>
          <w:sz w:val="24"/>
          <w:lang w:val="ro-MD"/>
        </w:rPr>
        <w:t xml:space="preserve">de </w:t>
      </w:r>
      <w:r w:rsidR="000B5911" w:rsidRPr="00B7675F">
        <w:rPr>
          <w:rFonts w:asciiTheme="majorHAnsi" w:hAnsiTheme="majorHAnsi" w:cstheme="majorHAnsi"/>
          <w:sz w:val="24"/>
          <w:lang w:val="ro-MD"/>
        </w:rPr>
        <w:t>persoane</w:t>
      </w:r>
      <w:r w:rsidR="00E23F87" w:rsidRPr="00B7675F">
        <w:rPr>
          <w:rFonts w:asciiTheme="majorHAnsi" w:hAnsiTheme="majorHAnsi" w:cstheme="majorHAnsi"/>
          <w:sz w:val="24"/>
          <w:lang w:val="ro-MD"/>
        </w:rPr>
        <w:t xml:space="preserve"> (</w:t>
      </w:r>
      <w:r w:rsidR="00490517" w:rsidRPr="00B7675F">
        <w:rPr>
          <w:rFonts w:asciiTheme="majorHAnsi" w:hAnsiTheme="majorHAnsi" w:cstheme="majorHAnsi"/>
          <w:sz w:val="24"/>
          <w:lang w:val="ro-MD"/>
        </w:rPr>
        <w:t>Anexa nr.8</w:t>
      </w:r>
      <w:r w:rsidR="00502E87" w:rsidRPr="00B7675F">
        <w:rPr>
          <w:rFonts w:asciiTheme="majorHAnsi" w:hAnsiTheme="majorHAnsi" w:cstheme="majorHAnsi"/>
          <w:sz w:val="24"/>
          <w:lang w:val="ro-MD"/>
        </w:rPr>
        <w:t xml:space="preserve"> </w:t>
      </w:r>
      <w:r w:rsidR="00502E87" w:rsidRPr="00653E85">
        <w:rPr>
          <w:rFonts w:asciiTheme="majorHAnsi" w:hAnsiTheme="majorHAnsi" w:cstheme="majorHAnsi"/>
          <w:sz w:val="24"/>
          <w:lang w:val="ro-MD"/>
        </w:rPr>
        <w:t>la prezentul Raport de audit</w:t>
      </w:r>
      <w:r w:rsidR="00E23F87" w:rsidRPr="00B7675F">
        <w:rPr>
          <w:rFonts w:asciiTheme="majorHAnsi" w:hAnsiTheme="majorHAnsi" w:cstheme="majorHAnsi"/>
          <w:sz w:val="24"/>
          <w:lang w:val="ro-MD"/>
        </w:rPr>
        <w:t>)</w:t>
      </w:r>
      <w:r w:rsidR="000B5911" w:rsidRPr="0038225D">
        <w:rPr>
          <w:rFonts w:asciiTheme="majorHAnsi" w:hAnsiTheme="majorHAnsi" w:cstheme="majorHAnsi"/>
          <w:sz w:val="24"/>
          <w:lang w:val="ro-MD"/>
        </w:rPr>
        <w:t xml:space="preserve">. </w:t>
      </w:r>
    </w:p>
    <w:p w14:paraId="34B36856" w14:textId="3C7D7542" w:rsidR="00683C4B" w:rsidRPr="00B7675F" w:rsidRDefault="00E23F87" w:rsidP="00782913">
      <w:pPr>
        <w:shd w:val="clear" w:color="auto" w:fill="FFFFFF" w:themeFill="background1"/>
        <w:spacing w:before="240" w:line="276" w:lineRule="auto"/>
        <w:jc w:val="both"/>
        <w:rPr>
          <w:rFonts w:asciiTheme="majorHAnsi" w:hAnsiTheme="majorHAnsi" w:cstheme="majorHAnsi"/>
          <w:sz w:val="24"/>
          <w:lang w:val="ro-MD"/>
        </w:rPr>
      </w:pPr>
      <w:r w:rsidRPr="00B7675F">
        <w:rPr>
          <w:rFonts w:asciiTheme="majorHAnsi" w:hAnsiTheme="majorHAnsi" w:cstheme="majorHAnsi"/>
          <w:sz w:val="24"/>
          <w:lang w:val="ro-MD"/>
        </w:rPr>
        <w:t xml:space="preserve">Prin urmare, emigrarea masivă  a cetățenilor RM, munca </w:t>
      </w:r>
      <w:r w:rsidR="00B62A6B" w:rsidRPr="0038225D">
        <w:rPr>
          <w:rFonts w:asciiTheme="majorHAnsi" w:hAnsiTheme="majorHAnsi" w:cstheme="majorHAnsi"/>
          <w:sz w:val="24"/>
          <w:lang w:val="ro-MD"/>
        </w:rPr>
        <w:t>în afara țării</w:t>
      </w:r>
      <w:r w:rsidRPr="00B7675F">
        <w:rPr>
          <w:rFonts w:asciiTheme="majorHAnsi" w:hAnsiTheme="majorHAnsi" w:cstheme="majorHAnsi"/>
          <w:sz w:val="24"/>
          <w:lang w:val="ro-MD"/>
        </w:rPr>
        <w:t xml:space="preserve"> </w:t>
      </w:r>
      <w:r w:rsidR="00E028A6" w:rsidRPr="00B7675F">
        <w:rPr>
          <w:rFonts w:asciiTheme="majorHAnsi" w:hAnsiTheme="majorHAnsi" w:cstheme="majorHAnsi"/>
          <w:sz w:val="24"/>
          <w:lang w:val="ro-MD"/>
        </w:rPr>
        <w:t>sunt cauzele principale ale creșterii solic</w:t>
      </w:r>
      <w:r w:rsidR="00365C48" w:rsidRPr="00B7675F">
        <w:rPr>
          <w:rFonts w:asciiTheme="majorHAnsi" w:hAnsiTheme="majorHAnsi" w:cstheme="majorHAnsi"/>
          <w:sz w:val="24"/>
          <w:lang w:val="ro-MD"/>
        </w:rPr>
        <w:t>itări</w:t>
      </w:r>
      <w:r w:rsidR="00502E87" w:rsidRPr="00B7675F">
        <w:rPr>
          <w:rFonts w:asciiTheme="majorHAnsi" w:hAnsiTheme="majorHAnsi" w:cstheme="majorHAnsi"/>
          <w:sz w:val="24"/>
          <w:lang w:val="ro-MD"/>
        </w:rPr>
        <w:t>lor de</w:t>
      </w:r>
      <w:r w:rsidR="00365C48" w:rsidRPr="00B7675F">
        <w:rPr>
          <w:rFonts w:asciiTheme="majorHAnsi" w:hAnsiTheme="majorHAnsi" w:cstheme="majorHAnsi"/>
          <w:sz w:val="24"/>
          <w:lang w:val="ro-MD"/>
        </w:rPr>
        <w:t xml:space="preserve"> pensii peste hotare. De asemenea</w:t>
      </w:r>
      <w:r w:rsidR="00E028A6" w:rsidRPr="00B7675F">
        <w:rPr>
          <w:rFonts w:asciiTheme="majorHAnsi" w:hAnsiTheme="majorHAnsi" w:cstheme="majorHAnsi"/>
          <w:sz w:val="24"/>
          <w:lang w:val="ro-MD"/>
        </w:rPr>
        <w:t xml:space="preserve">, odată cu îmbătrânirea populației </w:t>
      </w:r>
      <w:r w:rsidR="004B740B" w:rsidRPr="00B7675F">
        <w:rPr>
          <w:rFonts w:asciiTheme="majorHAnsi" w:hAnsiTheme="majorHAnsi" w:cstheme="majorHAnsi"/>
          <w:sz w:val="24"/>
          <w:lang w:val="ro-MD"/>
        </w:rPr>
        <w:t>tendințele de majo</w:t>
      </w:r>
      <w:r w:rsidR="00E028A6" w:rsidRPr="00B7675F">
        <w:rPr>
          <w:rFonts w:asciiTheme="majorHAnsi" w:hAnsiTheme="majorHAnsi" w:cstheme="majorHAnsi"/>
          <w:sz w:val="24"/>
          <w:lang w:val="ro-MD"/>
        </w:rPr>
        <w:t>rare se vor accentua.</w:t>
      </w:r>
    </w:p>
    <w:p w14:paraId="5BF97C49" w14:textId="77777777" w:rsidR="00730CB7" w:rsidRPr="00653E85" w:rsidRDefault="00730CB7" w:rsidP="00730CB7">
      <w:pPr>
        <w:pStyle w:val="aa"/>
        <w:shd w:val="clear" w:color="auto" w:fill="FFFFFF"/>
        <w:spacing w:line="276" w:lineRule="auto"/>
        <w:ind w:left="396"/>
        <w:jc w:val="both"/>
        <w:rPr>
          <w:rFonts w:asciiTheme="majorHAnsi" w:hAnsiTheme="majorHAnsi" w:cstheme="majorHAnsi"/>
          <w:sz w:val="24"/>
          <w:szCs w:val="24"/>
          <w:lang w:val="ro-MD"/>
        </w:rPr>
      </w:pPr>
    </w:p>
    <w:p w14:paraId="6ABE2529" w14:textId="0262AEE4" w:rsidR="00DE27FA" w:rsidRPr="00B7675F" w:rsidRDefault="00DE27FA" w:rsidP="00E4042E">
      <w:pPr>
        <w:pStyle w:val="aa"/>
        <w:numPr>
          <w:ilvl w:val="0"/>
          <w:numId w:val="2"/>
        </w:numPr>
        <w:shd w:val="clear" w:color="auto" w:fill="FFFFFF" w:themeFill="background1"/>
        <w:spacing w:line="276" w:lineRule="auto"/>
        <w:jc w:val="both"/>
        <w:outlineLvl w:val="0"/>
        <w:rPr>
          <w:rFonts w:asciiTheme="majorHAnsi" w:hAnsiTheme="majorHAnsi" w:cstheme="majorHAnsi"/>
          <w:b/>
          <w:sz w:val="28"/>
          <w:szCs w:val="24"/>
          <w:lang w:val="ro-MD"/>
        </w:rPr>
      </w:pPr>
      <w:r w:rsidRPr="00B7675F">
        <w:rPr>
          <w:rFonts w:asciiTheme="majorHAnsi" w:hAnsiTheme="majorHAnsi" w:cstheme="majorHAnsi"/>
          <w:b/>
          <w:sz w:val="28"/>
          <w:szCs w:val="24"/>
          <w:lang w:val="ro-MD"/>
        </w:rPr>
        <w:t>BUNA GUVERNANȚĂ</w:t>
      </w:r>
    </w:p>
    <w:p w14:paraId="0BEB29A9" w14:textId="5A0165B6" w:rsidR="00B8004A" w:rsidRPr="00653E85" w:rsidRDefault="00B8004A" w:rsidP="00D41606">
      <w:pPr>
        <w:pStyle w:val="2"/>
        <w:numPr>
          <w:ilvl w:val="1"/>
          <w:numId w:val="2"/>
        </w:numPr>
        <w:spacing w:before="0" w:line="276" w:lineRule="auto"/>
        <w:ind w:left="0" w:firstLine="0"/>
        <w:jc w:val="both"/>
        <w:rPr>
          <w:rFonts w:cstheme="majorHAnsi"/>
          <w:b/>
          <w:color w:val="000000" w:themeColor="text1"/>
          <w:sz w:val="24"/>
          <w:szCs w:val="24"/>
          <w:lang w:val="ro-MD"/>
        </w:rPr>
      </w:pPr>
      <w:r w:rsidRPr="00653E85">
        <w:rPr>
          <w:rFonts w:cstheme="majorHAnsi"/>
          <w:b/>
          <w:color w:val="000000" w:themeColor="text1"/>
          <w:sz w:val="24"/>
          <w:szCs w:val="24"/>
          <w:lang w:val="ro-MD"/>
        </w:rPr>
        <w:t>Casa Națională are instituit sistemul de control intern managerial, cu activități și reglementări interne, iar unele procese urmează a fi perfecționate</w:t>
      </w:r>
      <w:r w:rsidR="00502E87" w:rsidRPr="00653E85">
        <w:rPr>
          <w:rFonts w:cstheme="majorHAnsi"/>
          <w:b/>
          <w:color w:val="000000" w:themeColor="text1"/>
          <w:sz w:val="24"/>
          <w:szCs w:val="24"/>
          <w:lang w:val="ro-MD"/>
        </w:rPr>
        <w:t>.</w:t>
      </w:r>
    </w:p>
    <w:p w14:paraId="20B35BE3" w14:textId="3559CDF9" w:rsidR="00D41606" w:rsidRPr="00653E85" w:rsidRDefault="00B8004A" w:rsidP="00D41606">
      <w:pPr>
        <w:spacing w:line="276" w:lineRule="auto"/>
        <w:jc w:val="both"/>
        <w:rPr>
          <w:rFonts w:asciiTheme="majorHAnsi" w:hAnsiTheme="majorHAnsi" w:cstheme="majorHAnsi"/>
          <w:sz w:val="24"/>
          <w:szCs w:val="24"/>
          <w:highlight w:val="yellow"/>
          <w:lang w:val="ro-MD"/>
        </w:rPr>
      </w:pPr>
      <w:r w:rsidRPr="00653E85">
        <w:rPr>
          <w:rFonts w:asciiTheme="majorHAnsi" w:eastAsia="Times New Roman" w:hAnsiTheme="majorHAnsi" w:cstheme="majorHAnsi"/>
          <w:sz w:val="24"/>
          <w:szCs w:val="24"/>
          <w:lang w:val="ro-MD"/>
        </w:rPr>
        <w:t>Directorul general al CNAS este responsabil de organizarea sistemului de control intern managerial conform Standardelor naționale de control intern în sectorul public</w:t>
      </w:r>
      <w:r w:rsidRPr="00653E85">
        <w:rPr>
          <w:rFonts w:asciiTheme="majorHAnsi" w:hAnsiTheme="majorHAnsi" w:cstheme="majorHAnsi"/>
          <w:sz w:val="24"/>
          <w:szCs w:val="24"/>
          <w:lang w:val="ro-MD"/>
        </w:rPr>
        <w:t xml:space="preserve"> și î</w:t>
      </w:r>
      <w:r w:rsidRPr="00653E85">
        <w:rPr>
          <w:rFonts w:asciiTheme="majorHAnsi" w:eastAsia="Times New Roman" w:hAnsiTheme="majorHAnsi" w:cstheme="majorHAnsi"/>
          <w:sz w:val="24"/>
          <w:szCs w:val="24"/>
          <w:lang w:val="ro-MD"/>
        </w:rPr>
        <w:t>n conformitate cu Legea nr.229 din 23.09.2010</w:t>
      </w:r>
      <w:r w:rsidRPr="00653E85">
        <w:rPr>
          <w:vertAlign w:val="superscript"/>
          <w:lang w:val="ro-MD"/>
        </w:rPr>
        <w:footnoteReference w:id="60"/>
      </w:r>
      <w:r w:rsidRPr="00653E85">
        <w:rPr>
          <w:rFonts w:asciiTheme="majorHAnsi" w:eastAsia="Times New Roman" w:hAnsiTheme="majorHAnsi" w:cstheme="majorHAnsi"/>
          <w:sz w:val="24"/>
          <w:szCs w:val="24"/>
          <w:lang w:val="ro-MD"/>
        </w:rPr>
        <w:t>. Evaluarea de audit a sistemului CIM denotă că CNAS, conform cerințelor legale</w:t>
      </w:r>
      <w:r w:rsidRPr="00653E85">
        <w:rPr>
          <w:rStyle w:val="a5"/>
          <w:rFonts w:asciiTheme="majorHAnsi" w:eastAsia="Times New Roman" w:hAnsiTheme="majorHAnsi" w:cstheme="majorHAnsi"/>
          <w:sz w:val="24"/>
          <w:szCs w:val="24"/>
          <w:lang w:val="ro-MD"/>
        </w:rPr>
        <w:footnoteReference w:id="61"/>
      </w:r>
      <w:r w:rsidRPr="00653E85">
        <w:rPr>
          <w:rFonts w:asciiTheme="majorHAnsi" w:eastAsia="Times New Roman" w:hAnsiTheme="majorHAnsi" w:cstheme="majorHAnsi"/>
          <w:sz w:val="24"/>
          <w:szCs w:val="24"/>
          <w:lang w:val="ro-MD"/>
        </w:rPr>
        <w:t xml:space="preserve">, deține o structură bine organizată și dezvoltată, </w:t>
      </w:r>
      <w:r w:rsidR="00D41606" w:rsidRPr="00653E85">
        <w:rPr>
          <w:rFonts w:asciiTheme="majorHAnsi" w:eastAsia="Times New Roman" w:hAnsiTheme="majorHAnsi" w:cstheme="majorHAnsi"/>
          <w:sz w:val="24"/>
          <w:szCs w:val="24"/>
          <w:lang w:val="ro-MD"/>
        </w:rPr>
        <w:t xml:space="preserve">cu descrierea proceselor operaționale și identificarea riscurilor, iar </w:t>
      </w:r>
      <w:r w:rsidR="00D41606" w:rsidRPr="00653E85">
        <w:rPr>
          <w:rFonts w:asciiTheme="majorHAnsi" w:hAnsiTheme="majorHAnsi" w:cstheme="majorHAnsi"/>
          <w:sz w:val="24"/>
          <w:szCs w:val="24"/>
          <w:lang w:val="ro-MD"/>
        </w:rPr>
        <w:t>conducerea CNAS și conducătorii subdiviziunilor structurale sunt responsabili de funcționalitatea acestuia</w:t>
      </w:r>
      <w:r w:rsidRPr="00653E85">
        <w:rPr>
          <w:rFonts w:asciiTheme="majorHAnsi" w:eastAsia="Times New Roman" w:hAnsiTheme="majorHAnsi" w:cstheme="majorHAnsi"/>
          <w:sz w:val="24"/>
          <w:szCs w:val="24"/>
          <w:lang w:val="ro-MD"/>
        </w:rPr>
        <w:t xml:space="preserve">. Descrierea proceselor de bază se actualizează anual, efectuându-se și autoevaluarea CIM la nivel de direcții și per entitate. </w:t>
      </w:r>
      <w:r w:rsidRPr="00653E85">
        <w:rPr>
          <w:rFonts w:asciiTheme="majorHAnsi" w:hAnsiTheme="majorHAnsi" w:cstheme="majorHAnsi"/>
          <w:sz w:val="24"/>
          <w:szCs w:val="24"/>
          <w:lang w:val="ro-MD"/>
        </w:rPr>
        <w:t>Astfel, Casa Națională are stabilite obiectivele strategice și cele operaționale cu indicatori de performanță. De asemenea, instituția are descrise și cartografiate 7</w:t>
      </w:r>
      <w:r w:rsidR="00D41606" w:rsidRPr="00653E85">
        <w:rPr>
          <w:rFonts w:asciiTheme="majorHAnsi" w:hAnsiTheme="majorHAnsi" w:cstheme="majorHAnsi"/>
          <w:sz w:val="24"/>
          <w:szCs w:val="24"/>
          <w:lang w:val="ro-MD"/>
        </w:rPr>
        <w:t>8</w:t>
      </w:r>
      <w:r w:rsidRPr="00653E85">
        <w:rPr>
          <w:rFonts w:asciiTheme="majorHAnsi" w:hAnsiTheme="majorHAnsi" w:cstheme="majorHAnsi"/>
          <w:sz w:val="24"/>
          <w:szCs w:val="24"/>
          <w:lang w:val="ro-MD"/>
        </w:rPr>
        <w:t xml:space="preserve"> de procese operaționale de bază cu stabilirea acțiunilor de control, care au fost modificate și ajustate odată cu schimbarea cadrului legal </w:t>
      </w:r>
      <w:r w:rsidR="00D41606" w:rsidRPr="00653E85">
        <w:rPr>
          <w:rFonts w:asciiTheme="majorHAnsi" w:hAnsiTheme="majorHAnsi" w:cstheme="majorHAnsi"/>
          <w:sz w:val="24"/>
          <w:szCs w:val="24"/>
          <w:lang w:val="ro-MD"/>
        </w:rPr>
        <w:t>ce vizează acțiunile respective. Totodată, unele aspecte descrise în raport relevă necesitatea perfecționării sistemului de control intern pentru anumite procese.</w:t>
      </w:r>
    </w:p>
    <w:p w14:paraId="46514CFF" w14:textId="77777777" w:rsidR="00B8004A" w:rsidRPr="00653E85" w:rsidRDefault="00B8004A" w:rsidP="00142FBD">
      <w:pPr>
        <w:pStyle w:val="aa"/>
        <w:numPr>
          <w:ilvl w:val="1"/>
          <w:numId w:val="2"/>
        </w:numPr>
        <w:spacing w:after="0" w:line="276" w:lineRule="auto"/>
        <w:ind w:left="0" w:firstLine="0"/>
        <w:jc w:val="both"/>
        <w:outlineLvl w:val="1"/>
        <w:rPr>
          <w:rFonts w:asciiTheme="majorHAnsi" w:eastAsia="Calibri" w:hAnsiTheme="majorHAnsi" w:cstheme="majorHAnsi"/>
          <w:b/>
          <w:sz w:val="24"/>
          <w:szCs w:val="24"/>
          <w:lang w:val="ro-MD"/>
        </w:rPr>
      </w:pPr>
      <w:r w:rsidRPr="00653E85">
        <w:rPr>
          <w:rFonts w:asciiTheme="majorHAnsi" w:eastAsia="Calibri" w:hAnsiTheme="majorHAnsi" w:cstheme="majorHAnsi"/>
          <w:b/>
          <w:sz w:val="24"/>
          <w:szCs w:val="24"/>
          <w:lang w:val="ro-MD"/>
        </w:rPr>
        <w:t xml:space="preserve">Auditul intern al CNAS realizează misiuni de </w:t>
      </w:r>
      <w:r w:rsidRPr="00653E85">
        <w:rPr>
          <w:rFonts w:asciiTheme="majorHAnsi" w:hAnsiTheme="majorHAnsi" w:cstheme="majorHAnsi"/>
          <w:b/>
          <w:sz w:val="24"/>
          <w:szCs w:val="24"/>
          <w:lang w:val="ro-MD"/>
        </w:rPr>
        <w:t>evaluare independentă</w:t>
      </w:r>
      <w:r w:rsidRPr="00653E85">
        <w:rPr>
          <w:rFonts w:asciiTheme="majorHAnsi" w:eastAsia="Calibri" w:hAnsiTheme="majorHAnsi" w:cstheme="majorHAnsi"/>
          <w:b/>
          <w:sz w:val="24"/>
          <w:szCs w:val="24"/>
          <w:lang w:val="ro-MD"/>
        </w:rPr>
        <w:t xml:space="preserve">, menite să adauge valoare şi să îmbunătățească </w:t>
      </w:r>
      <w:r w:rsidRPr="00653E85">
        <w:rPr>
          <w:rFonts w:asciiTheme="majorHAnsi" w:hAnsiTheme="majorHAnsi" w:cstheme="majorHAnsi"/>
          <w:b/>
          <w:sz w:val="24"/>
          <w:szCs w:val="24"/>
          <w:lang w:val="ro-MD"/>
        </w:rPr>
        <w:t>procesele desfășurate.</w:t>
      </w:r>
      <w:r w:rsidRPr="00653E85">
        <w:rPr>
          <w:rFonts w:asciiTheme="majorHAnsi" w:eastAsia="Calibri" w:hAnsiTheme="majorHAnsi" w:cstheme="majorHAnsi"/>
          <w:b/>
          <w:sz w:val="24"/>
          <w:szCs w:val="24"/>
          <w:lang w:val="ro-MD"/>
        </w:rPr>
        <w:t xml:space="preserve"> </w:t>
      </w:r>
    </w:p>
    <w:p w14:paraId="3803BF95" w14:textId="2989A9A6" w:rsidR="00B8004A" w:rsidRPr="00653E85" w:rsidRDefault="00D41606" w:rsidP="00B8004A">
      <w:pPr>
        <w:spacing w:line="276" w:lineRule="auto"/>
        <w:jc w:val="both"/>
        <w:rPr>
          <w:rFonts w:asciiTheme="majorHAnsi" w:eastAsia="Calibri" w:hAnsiTheme="majorHAnsi" w:cstheme="majorHAnsi"/>
          <w:sz w:val="24"/>
          <w:szCs w:val="24"/>
          <w:lang w:val="ro-MD"/>
        </w:rPr>
      </w:pPr>
      <w:r w:rsidRPr="00653E85">
        <w:rPr>
          <w:rFonts w:asciiTheme="majorHAnsi" w:eastAsia="Calibri" w:hAnsiTheme="majorHAnsi" w:cstheme="majorHAnsi"/>
          <w:sz w:val="24"/>
          <w:szCs w:val="24"/>
          <w:lang w:val="ro-MD"/>
        </w:rPr>
        <w:t xml:space="preserve">Pe parcursul anului 2022 auditul intern a avut rolul de suport </w:t>
      </w:r>
      <w:r w:rsidR="00823594" w:rsidRPr="00653E85">
        <w:rPr>
          <w:rFonts w:asciiTheme="majorHAnsi" w:eastAsia="Calibri" w:hAnsiTheme="majorHAnsi" w:cstheme="majorHAnsi"/>
          <w:sz w:val="24"/>
          <w:szCs w:val="24"/>
          <w:lang w:val="ro-MD"/>
        </w:rPr>
        <w:t>pe</w:t>
      </w:r>
      <w:r w:rsidRPr="00653E85">
        <w:rPr>
          <w:rFonts w:asciiTheme="majorHAnsi" w:eastAsia="Calibri" w:hAnsiTheme="majorHAnsi" w:cstheme="majorHAnsi"/>
          <w:sz w:val="24"/>
          <w:szCs w:val="24"/>
          <w:lang w:val="ro-MD"/>
        </w:rPr>
        <w:t xml:space="preserve">ntru asigurarea îmbunătățirii activității și atingerea obiectivelor propuse. </w:t>
      </w:r>
      <w:r w:rsidRPr="00653E85">
        <w:rPr>
          <w:rFonts w:asciiTheme="majorHAnsi" w:hAnsiTheme="majorHAnsi" w:cstheme="majorHAnsi"/>
          <w:sz w:val="24"/>
          <w:szCs w:val="24"/>
          <w:lang w:val="ro-MD"/>
        </w:rPr>
        <w:t>A</w:t>
      </w:r>
      <w:r w:rsidRPr="00653E85">
        <w:rPr>
          <w:rFonts w:asciiTheme="majorHAnsi" w:eastAsia="Times New Roman" w:hAnsiTheme="majorHAnsi" w:cstheme="majorHAnsi"/>
          <w:color w:val="000000"/>
          <w:sz w:val="24"/>
          <w:szCs w:val="24"/>
          <w:lang w:val="ro-MD"/>
        </w:rPr>
        <w:t>ctivitățile de audit s-au axat pe evaluarea mai multor procese operaționale desfășurate la Casa Națională și în subdiviziunile acesteia.</w:t>
      </w:r>
      <w:r w:rsidRPr="00653E85">
        <w:rPr>
          <w:rFonts w:asciiTheme="majorHAnsi" w:eastAsia="Calibri" w:hAnsiTheme="majorHAnsi" w:cstheme="majorHAnsi"/>
          <w:sz w:val="24"/>
          <w:szCs w:val="24"/>
          <w:lang w:val="ro-MD"/>
        </w:rPr>
        <w:t xml:space="preserve"> Astfel, activitatea de audit intern a contribuit la realizarea obiectivelor CNAS, fiind realizate 11 misiuni de audit intern, cu prezentarea opiniei independente şi obiective Directorului general al CNAS asupra </w:t>
      </w:r>
      <w:r w:rsidR="00AB40C5" w:rsidRPr="00653E85">
        <w:rPr>
          <w:rFonts w:asciiTheme="majorHAnsi" w:eastAsia="Calibri" w:hAnsiTheme="majorHAnsi" w:cstheme="majorHAnsi"/>
          <w:sz w:val="24"/>
          <w:szCs w:val="24"/>
          <w:lang w:val="ro-MD"/>
        </w:rPr>
        <w:t>eficacității</w:t>
      </w:r>
      <w:r w:rsidRPr="00653E85">
        <w:rPr>
          <w:rFonts w:asciiTheme="majorHAnsi" w:eastAsia="Calibri" w:hAnsiTheme="majorHAnsi" w:cstheme="majorHAnsi"/>
          <w:sz w:val="24"/>
          <w:szCs w:val="24"/>
          <w:lang w:val="ro-MD"/>
        </w:rPr>
        <w:t xml:space="preserve"> proceselor de gestionare a riscurilor, control și guvernanță </w:t>
      </w:r>
      <w:r w:rsidR="00823594" w:rsidRPr="00653E85">
        <w:rPr>
          <w:rFonts w:asciiTheme="majorHAnsi" w:eastAsia="Calibri" w:hAnsiTheme="majorHAnsi" w:cstheme="majorHAnsi"/>
          <w:sz w:val="24"/>
          <w:szCs w:val="24"/>
          <w:lang w:val="ro-MD"/>
        </w:rPr>
        <w:t>cu</w:t>
      </w:r>
      <w:r w:rsidRPr="00653E85">
        <w:rPr>
          <w:rFonts w:asciiTheme="majorHAnsi" w:eastAsia="Calibri" w:hAnsiTheme="majorHAnsi" w:cstheme="majorHAnsi"/>
          <w:sz w:val="24"/>
          <w:szCs w:val="24"/>
          <w:lang w:val="ro-MD"/>
        </w:rPr>
        <w:t xml:space="preserve"> înaintarea recomandărilor de </w:t>
      </w:r>
      <w:r w:rsidR="00AB40C5" w:rsidRPr="00653E85">
        <w:rPr>
          <w:rFonts w:asciiTheme="majorHAnsi" w:eastAsia="Calibri" w:hAnsiTheme="majorHAnsi" w:cstheme="majorHAnsi"/>
          <w:sz w:val="24"/>
          <w:szCs w:val="24"/>
          <w:lang w:val="ro-MD"/>
        </w:rPr>
        <w:t>îmbunătățire</w:t>
      </w:r>
      <w:r w:rsidR="00B8004A" w:rsidRPr="00B7675F">
        <w:rPr>
          <w:rFonts w:asciiTheme="majorHAnsi" w:hAnsiTheme="majorHAnsi" w:cstheme="majorHAnsi"/>
          <w:sz w:val="24"/>
          <w:szCs w:val="24"/>
          <w:lang w:val="ro-MD"/>
        </w:rPr>
        <w:t xml:space="preserve">. </w:t>
      </w:r>
      <w:r w:rsidRPr="0038225D">
        <w:rPr>
          <w:rFonts w:asciiTheme="majorHAnsi" w:hAnsiTheme="majorHAnsi" w:cstheme="majorHAnsi"/>
          <w:sz w:val="24"/>
          <w:szCs w:val="24"/>
          <w:lang w:val="ro-MD"/>
        </w:rPr>
        <w:t>Unele constatări</w:t>
      </w:r>
      <w:r w:rsidR="00B8004A" w:rsidRPr="00B7675F">
        <w:rPr>
          <w:rFonts w:asciiTheme="majorHAnsi" w:hAnsiTheme="majorHAnsi" w:cstheme="majorHAnsi"/>
          <w:sz w:val="24"/>
          <w:szCs w:val="24"/>
          <w:lang w:val="ro-MD"/>
        </w:rPr>
        <w:t xml:space="preserve"> </w:t>
      </w:r>
      <w:r w:rsidR="00AB40C5" w:rsidRPr="00B7675F">
        <w:rPr>
          <w:rFonts w:asciiTheme="majorHAnsi" w:hAnsiTheme="majorHAnsi" w:cstheme="majorHAnsi"/>
          <w:sz w:val="24"/>
          <w:szCs w:val="24"/>
          <w:lang w:val="ro-MD"/>
        </w:rPr>
        <w:t>menționate</w:t>
      </w:r>
      <w:r w:rsidR="00B8004A" w:rsidRPr="00B7675F">
        <w:rPr>
          <w:rFonts w:asciiTheme="majorHAnsi" w:hAnsiTheme="majorHAnsi" w:cstheme="majorHAnsi"/>
          <w:sz w:val="24"/>
          <w:szCs w:val="24"/>
          <w:lang w:val="ro-MD"/>
        </w:rPr>
        <w:t xml:space="preserve"> în prezentul Raport de audit </w:t>
      </w:r>
      <w:r w:rsidRPr="00B7675F">
        <w:rPr>
          <w:rFonts w:asciiTheme="majorHAnsi" w:hAnsiTheme="majorHAnsi" w:cstheme="majorHAnsi"/>
          <w:sz w:val="24"/>
          <w:szCs w:val="24"/>
          <w:lang w:val="ro-MD"/>
        </w:rPr>
        <w:t xml:space="preserve">indică asupra necesității </w:t>
      </w:r>
      <w:r w:rsidR="00823594" w:rsidRPr="00B7675F">
        <w:rPr>
          <w:rFonts w:asciiTheme="majorHAnsi" w:hAnsiTheme="majorHAnsi" w:cstheme="majorHAnsi"/>
          <w:sz w:val="24"/>
          <w:szCs w:val="24"/>
          <w:lang w:val="ro-MD"/>
        </w:rPr>
        <w:t xml:space="preserve">de </w:t>
      </w:r>
      <w:r w:rsidRPr="00B7675F">
        <w:rPr>
          <w:rFonts w:asciiTheme="majorHAnsi" w:hAnsiTheme="majorHAnsi" w:cstheme="majorHAnsi"/>
          <w:sz w:val="24"/>
          <w:szCs w:val="24"/>
          <w:lang w:val="ro-MD"/>
        </w:rPr>
        <w:t>perfecțion</w:t>
      </w:r>
      <w:r w:rsidR="00823594" w:rsidRPr="00B7675F">
        <w:rPr>
          <w:rFonts w:asciiTheme="majorHAnsi" w:hAnsiTheme="majorHAnsi" w:cstheme="majorHAnsi"/>
          <w:sz w:val="24"/>
          <w:szCs w:val="24"/>
          <w:lang w:val="ro-MD"/>
        </w:rPr>
        <w:t>are a</w:t>
      </w:r>
      <w:r w:rsidR="00B8004A" w:rsidRPr="00B7675F">
        <w:rPr>
          <w:rFonts w:asciiTheme="majorHAnsi" w:hAnsiTheme="majorHAnsi" w:cstheme="majorHAnsi"/>
          <w:sz w:val="24"/>
          <w:szCs w:val="24"/>
          <w:lang w:val="ro-MD"/>
        </w:rPr>
        <w:t xml:space="preserve"> </w:t>
      </w:r>
      <w:r w:rsidR="00AB40C5" w:rsidRPr="00B7675F">
        <w:rPr>
          <w:rFonts w:asciiTheme="majorHAnsi" w:hAnsiTheme="majorHAnsi" w:cstheme="majorHAnsi"/>
          <w:sz w:val="24"/>
          <w:szCs w:val="24"/>
          <w:lang w:val="ro-MD"/>
        </w:rPr>
        <w:t>activităților</w:t>
      </w:r>
      <w:r w:rsidR="00B8004A" w:rsidRPr="00B7675F">
        <w:rPr>
          <w:rFonts w:asciiTheme="majorHAnsi" w:hAnsiTheme="majorHAnsi" w:cstheme="majorHAnsi"/>
          <w:sz w:val="24"/>
          <w:szCs w:val="24"/>
          <w:lang w:val="ro-MD"/>
        </w:rPr>
        <w:t xml:space="preserve"> de control în procesele </w:t>
      </w:r>
      <w:r w:rsidR="00AB40C5" w:rsidRPr="00B7675F">
        <w:rPr>
          <w:rFonts w:asciiTheme="majorHAnsi" w:hAnsiTheme="majorHAnsi" w:cstheme="majorHAnsi"/>
          <w:sz w:val="24"/>
          <w:szCs w:val="24"/>
          <w:lang w:val="ro-MD"/>
        </w:rPr>
        <w:t>operaționale</w:t>
      </w:r>
      <w:r w:rsidR="00B8004A" w:rsidRPr="00B7675F">
        <w:rPr>
          <w:rFonts w:asciiTheme="majorHAnsi" w:hAnsiTheme="majorHAnsi" w:cstheme="majorHAnsi"/>
          <w:sz w:val="24"/>
          <w:szCs w:val="24"/>
          <w:lang w:val="ro-MD"/>
        </w:rPr>
        <w:t xml:space="preserve"> evaluate de audit.</w:t>
      </w:r>
    </w:p>
    <w:p w14:paraId="3929557F" w14:textId="4E6D8D97" w:rsidR="00795267" w:rsidRPr="00653E85" w:rsidRDefault="00795267" w:rsidP="00795267">
      <w:pPr>
        <w:pStyle w:val="aa"/>
        <w:numPr>
          <w:ilvl w:val="1"/>
          <w:numId w:val="2"/>
        </w:numPr>
        <w:tabs>
          <w:tab w:val="left" w:pos="709"/>
          <w:tab w:val="left" w:pos="993"/>
          <w:tab w:val="left" w:pos="1276"/>
        </w:tabs>
        <w:spacing w:after="0" w:line="276" w:lineRule="auto"/>
        <w:ind w:left="0" w:firstLine="0"/>
        <w:jc w:val="both"/>
        <w:outlineLvl w:val="1"/>
        <w:rPr>
          <w:rFonts w:asciiTheme="majorHAnsi" w:hAnsiTheme="majorHAnsi" w:cstheme="majorHAnsi"/>
          <w:b/>
          <w:sz w:val="24"/>
          <w:szCs w:val="24"/>
          <w:lang w:val="ro-MD"/>
        </w:rPr>
      </w:pPr>
      <w:r w:rsidRPr="00653E85">
        <w:rPr>
          <w:rFonts w:asciiTheme="majorHAnsi" w:hAnsiTheme="majorHAnsi" w:cs="Calibri Light"/>
          <w:b/>
          <w:iCs/>
          <w:sz w:val="24"/>
          <w:szCs w:val="24"/>
          <w:lang w:val="ro-MD"/>
        </w:rPr>
        <w:t xml:space="preserve">Implementarea </w:t>
      </w:r>
      <w:r w:rsidRPr="00653E85">
        <w:rPr>
          <w:rFonts w:asciiTheme="majorHAnsi" w:eastAsia="Times New Roman" w:hAnsiTheme="majorHAnsi" w:cstheme="majorHAnsi"/>
          <w:b/>
          <w:sz w:val="24"/>
          <w:szCs w:val="24"/>
          <w:lang w:val="ro-MD" w:eastAsia="ru-RU"/>
        </w:rPr>
        <w:t>de către Casa Națională de Asigurări Sociale</w:t>
      </w:r>
      <w:r w:rsidRPr="00653E85">
        <w:rPr>
          <w:rFonts w:asciiTheme="majorHAnsi" w:hAnsiTheme="majorHAnsi" w:cs="Calibri Light"/>
          <w:b/>
          <w:iCs/>
          <w:sz w:val="24"/>
          <w:szCs w:val="24"/>
          <w:lang w:val="ro-MD"/>
        </w:rPr>
        <w:t xml:space="preserve"> a recomandărilor înaintate, </w:t>
      </w:r>
      <w:r w:rsidRPr="00653E85">
        <w:rPr>
          <w:rFonts w:asciiTheme="majorHAnsi" w:hAnsiTheme="majorHAnsi" w:cstheme="majorHAnsi"/>
          <w:b/>
          <w:sz w:val="24"/>
          <w:szCs w:val="24"/>
          <w:lang w:val="ro-MD"/>
        </w:rPr>
        <w:t>ca urmare a realizării misiunii precedente de audit public extern</w:t>
      </w:r>
      <w:r w:rsidRPr="00653E85">
        <w:rPr>
          <w:rFonts w:asciiTheme="majorHAnsi" w:hAnsiTheme="majorHAnsi" w:cs="Calibri Light"/>
          <w:b/>
          <w:iCs/>
          <w:sz w:val="24"/>
          <w:szCs w:val="24"/>
          <w:lang w:val="ro-MD"/>
        </w:rPr>
        <w:t xml:space="preserve">, </w:t>
      </w:r>
      <w:r w:rsidR="00365C48" w:rsidRPr="00653E85">
        <w:rPr>
          <w:rFonts w:asciiTheme="majorHAnsi" w:hAnsiTheme="majorHAnsi" w:cs="Calibri Light"/>
          <w:b/>
          <w:iCs/>
          <w:sz w:val="24"/>
          <w:szCs w:val="24"/>
          <w:lang w:val="ro-MD"/>
        </w:rPr>
        <w:t>a</w:t>
      </w:r>
      <w:r w:rsidRPr="00653E85">
        <w:rPr>
          <w:rFonts w:asciiTheme="majorHAnsi" w:hAnsiTheme="majorHAnsi" w:cs="Calibri Light"/>
          <w:b/>
          <w:iCs/>
          <w:sz w:val="24"/>
          <w:szCs w:val="24"/>
          <w:lang w:val="ro-MD"/>
        </w:rPr>
        <w:t xml:space="preserve"> contribui</w:t>
      </w:r>
      <w:r w:rsidR="00365C48" w:rsidRPr="00653E85">
        <w:rPr>
          <w:rFonts w:asciiTheme="majorHAnsi" w:hAnsiTheme="majorHAnsi" w:cs="Calibri Light"/>
          <w:b/>
          <w:iCs/>
          <w:sz w:val="24"/>
          <w:szCs w:val="24"/>
          <w:lang w:val="ro-MD"/>
        </w:rPr>
        <w:t>t</w:t>
      </w:r>
      <w:r w:rsidRPr="00653E85">
        <w:rPr>
          <w:rFonts w:asciiTheme="majorHAnsi" w:hAnsiTheme="majorHAnsi" w:cs="Calibri Light"/>
          <w:b/>
          <w:iCs/>
          <w:sz w:val="24"/>
          <w:szCs w:val="24"/>
          <w:lang w:val="ro-MD"/>
        </w:rPr>
        <w:t xml:space="preserve"> la îmbunătățirea proceselor și furnizarea informațiilor veridice. Totodată, neimplementarea recomandărilor de către </w:t>
      </w:r>
      <w:r w:rsidR="00607BB7" w:rsidRPr="00653E85">
        <w:rPr>
          <w:rFonts w:asciiTheme="majorHAnsi" w:hAnsiTheme="majorHAnsi" w:cs="Calibri Light"/>
          <w:b/>
          <w:iCs/>
          <w:sz w:val="24"/>
          <w:szCs w:val="24"/>
          <w:lang w:val="ro-MD"/>
        </w:rPr>
        <w:t>celelalte entități (MMPS, ASP</w:t>
      </w:r>
      <w:r w:rsidR="00D66928" w:rsidRPr="00653E85">
        <w:rPr>
          <w:rFonts w:asciiTheme="majorHAnsi" w:hAnsiTheme="majorHAnsi" w:cs="Calibri Light"/>
          <w:b/>
          <w:iCs/>
          <w:sz w:val="24"/>
          <w:szCs w:val="24"/>
          <w:lang w:val="ro-MD"/>
        </w:rPr>
        <w:t>, MS</w:t>
      </w:r>
      <w:r w:rsidR="00607BB7" w:rsidRPr="00653E85">
        <w:rPr>
          <w:rFonts w:asciiTheme="majorHAnsi" w:hAnsiTheme="majorHAnsi" w:cs="Calibri Light"/>
          <w:b/>
          <w:iCs/>
          <w:sz w:val="24"/>
          <w:szCs w:val="24"/>
          <w:lang w:val="ro-MD"/>
        </w:rPr>
        <w:t>) mențin în continuare situații incerte în stabilirea prestațiilor cu suportarea cheltuielilor neargumentate.</w:t>
      </w:r>
    </w:p>
    <w:p w14:paraId="05B8DF9D" w14:textId="3C06A03B" w:rsidR="008A6B05" w:rsidRPr="00653E85" w:rsidRDefault="00B8004A" w:rsidP="008A6B05">
      <w:pPr>
        <w:tabs>
          <w:tab w:val="left" w:pos="709"/>
          <w:tab w:val="left" w:pos="993"/>
          <w:tab w:val="left" w:pos="1276"/>
        </w:tabs>
        <w:spacing w:line="276" w:lineRule="auto"/>
        <w:jc w:val="both"/>
        <w:rPr>
          <w:rFonts w:asciiTheme="majorHAnsi" w:hAnsiTheme="majorHAnsi" w:cstheme="majorHAnsi"/>
          <w:b/>
          <w:sz w:val="24"/>
          <w:szCs w:val="24"/>
          <w:lang w:val="ro-MD"/>
        </w:rPr>
      </w:pPr>
      <w:r w:rsidRPr="00653E85">
        <w:rPr>
          <w:rFonts w:asciiTheme="majorHAnsi" w:hAnsiTheme="majorHAnsi" w:cs="Calibri Light"/>
          <w:iCs/>
          <w:sz w:val="24"/>
          <w:szCs w:val="24"/>
          <w:lang w:val="ro-MD"/>
        </w:rPr>
        <w:t>Analiza implementării recomandărilor</w:t>
      </w:r>
      <w:r w:rsidRPr="00653E85">
        <w:rPr>
          <w:rFonts w:asciiTheme="majorHAnsi" w:hAnsiTheme="majorHAnsi" w:cs="Calibri Light"/>
          <w:iCs/>
          <w:sz w:val="24"/>
          <w:szCs w:val="24"/>
          <w:vertAlign w:val="superscript"/>
          <w:lang w:val="ro-MD"/>
        </w:rPr>
        <w:footnoteReference w:id="62"/>
      </w:r>
      <w:r w:rsidRPr="00653E85">
        <w:rPr>
          <w:rFonts w:asciiTheme="majorHAnsi" w:hAnsiTheme="majorHAnsi" w:cs="Calibri Light"/>
          <w:iCs/>
          <w:sz w:val="24"/>
          <w:szCs w:val="24"/>
          <w:lang w:val="ro-MD"/>
        </w:rPr>
        <w:t xml:space="preserve"> atestă </w:t>
      </w:r>
      <w:r w:rsidR="008A6B05" w:rsidRPr="00653E85">
        <w:rPr>
          <w:rFonts w:asciiTheme="majorHAnsi" w:hAnsiTheme="majorHAnsi" w:cs="Calibri Light"/>
          <w:iCs/>
          <w:sz w:val="24"/>
          <w:szCs w:val="24"/>
          <w:lang w:val="ro-MD"/>
        </w:rPr>
        <w:t>că CNAS a realizat procesele ce condiționează o eficiență sporită în realizarea obiectivelor sale. Astfel, se atestă progrese în îmbunătățirea cadrului regulator, inclusiv a celui intern, în special cu privire la</w:t>
      </w:r>
      <w:r w:rsidR="002D6BF0" w:rsidRPr="00653E85">
        <w:rPr>
          <w:rFonts w:asciiTheme="majorHAnsi" w:hAnsiTheme="majorHAnsi" w:cs="Calibri Light"/>
          <w:iCs/>
          <w:sz w:val="24"/>
          <w:szCs w:val="24"/>
          <w:lang w:val="ro-MD"/>
        </w:rPr>
        <w:t xml:space="preserve"> perfecționarea procesului </w:t>
      </w:r>
      <w:r w:rsidR="00823594" w:rsidRPr="00653E85">
        <w:rPr>
          <w:rFonts w:asciiTheme="majorHAnsi" w:hAnsiTheme="majorHAnsi" w:cs="Calibri Light"/>
          <w:iCs/>
          <w:sz w:val="24"/>
          <w:szCs w:val="24"/>
          <w:lang w:val="ro-MD"/>
        </w:rPr>
        <w:t xml:space="preserve">de </w:t>
      </w:r>
      <w:r w:rsidR="002D6BF0" w:rsidRPr="00653E85">
        <w:rPr>
          <w:rFonts w:asciiTheme="majorHAnsi" w:hAnsiTheme="majorHAnsi" w:cs="Calibri Light"/>
          <w:iCs/>
          <w:sz w:val="24"/>
          <w:szCs w:val="24"/>
          <w:lang w:val="ro-MD"/>
        </w:rPr>
        <w:t>stabilir</w:t>
      </w:r>
      <w:r w:rsidR="00823594" w:rsidRPr="00653E85">
        <w:rPr>
          <w:rFonts w:asciiTheme="majorHAnsi" w:hAnsiTheme="majorHAnsi" w:cs="Calibri Light"/>
          <w:iCs/>
          <w:sz w:val="24"/>
          <w:szCs w:val="24"/>
          <w:lang w:val="ro-MD"/>
        </w:rPr>
        <w:t>e</w:t>
      </w:r>
      <w:r w:rsidR="002D6BF0" w:rsidRPr="00653E85">
        <w:rPr>
          <w:rFonts w:asciiTheme="majorHAnsi" w:hAnsiTheme="majorHAnsi" w:cs="Calibri Light"/>
          <w:iCs/>
          <w:sz w:val="24"/>
          <w:szCs w:val="24"/>
          <w:lang w:val="ro-MD"/>
        </w:rPr>
        <w:t xml:space="preserve"> și calcul</w:t>
      </w:r>
      <w:r w:rsidR="00823594" w:rsidRPr="00653E85">
        <w:rPr>
          <w:rFonts w:asciiTheme="majorHAnsi" w:hAnsiTheme="majorHAnsi" w:cs="Calibri Light"/>
          <w:iCs/>
          <w:sz w:val="24"/>
          <w:szCs w:val="24"/>
          <w:lang w:val="ro-MD"/>
        </w:rPr>
        <w:t>are a</w:t>
      </w:r>
      <w:r w:rsidR="002D6BF0" w:rsidRPr="00653E85">
        <w:rPr>
          <w:rFonts w:asciiTheme="majorHAnsi" w:hAnsiTheme="majorHAnsi" w:cs="Calibri Light"/>
          <w:iCs/>
          <w:sz w:val="24"/>
          <w:szCs w:val="24"/>
          <w:lang w:val="ro-MD"/>
        </w:rPr>
        <w:t xml:space="preserve"> indemnizațiilor pentru incapacitate temporară de muncă și a celor paternale</w:t>
      </w:r>
      <w:r w:rsidR="0059239E" w:rsidRPr="00653E85">
        <w:rPr>
          <w:rFonts w:asciiTheme="majorHAnsi" w:hAnsiTheme="majorHAnsi" w:cs="Calibri Light"/>
          <w:iCs/>
          <w:sz w:val="24"/>
          <w:szCs w:val="24"/>
          <w:lang w:val="ro-MD"/>
        </w:rPr>
        <w:t>,</w:t>
      </w:r>
      <w:r w:rsidR="002D6BF0" w:rsidRPr="00653E85">
        <w:rPr>
          <w:rFonts w:asciiTheme="majorHAnsi" w:hAnsiTheme="majorHAnsi" w:cs="Calibri Light"/>
          <w:iCs/>
          <w:sz w:val="24"/>
          <w:szCs w:val="24"/>
          <w:lang w:val="ro-MD"/>
        </w:rPr>
        <w:t xml:space="preserve"> pentru asigurarea respectării termenelor legale, asigurarea integrității dosarelor biletelor de tratament balneo-sanatorial</w:t>
      </w:r>
      <w:r w:rsidR="00823594" w:rsidRPr="00653E85">
        <w:rPr>
          <w:rFonts w:asciiTheme="majorHAnsi" w:hAnsiTheme="majorHAnsi" w:cs="Calibri Light"/>
          <w:iCs/>
          <w:sz w:val="24"/>
          <w:szCs w:val="24"/>
          <w:lang w:val="ro-MD"/>
        </w:rPr>
        <w:t>,</w:t>
      </w:r>
      <w:r w:rsidR="008A6B05" w:rsidRPr="00653E85">
        <w:rPr>
          <w:rFonts w:asciiTheme="majorHAnsi" w:hAnsiTheme="majorHAnsi" w:cs="Calibri Light"/>
          <w:iCs/>
          <w:sz w:val="24"/>
          <w:szCs w:val="24"/>
          <w:lang w:val="ro-MD"/>
        </w:rPr>
        <w:t xml:space="preserve"> </w:t>
      </w:r>
      <w:r w:rsidR="002D6BF0" w:rsidRPr="00653E85">
        <w:rPr>
          <w:rFonts w:asciiTheme="majorHAnsi" w:hAnsiTheme="majorHAnsi" w:cs="Calibri Light"/>
          <w:iCs/>
          <w:sz w:val="24"/>
          <w:szCs w:val="24"/>
          <w:lang w:val="ro-MD"/>
        </w:rPr>
        <w:t>precum și acțiuni de corectare</w:t>
      </w:r>
      <w:r w:rsidR="008A6B05" w:rsidRPr="00653E85">
        <w:rPr>
          <w:rFonts w:asciiTheme="majorHAnsi" w:hAnsiTheme="majorHAnsi" w:cs="Calibri Light"/>
          <w:iCs/>
          <w:sz w:val="24"/>
          <w:szCs w:val="24"/>
          <w:lang w:val="ro-MD"/>
        </w:rPr>
        <w:t xml:space="preserve"> și raportare a indicatorilor BASS. Aceste acțiuni constituie încă un pas în sporirea capacității CNAS </w:t>
      </w:r>
      <w:r w:rsidR="00D66928" w:rsidRPr="00653E85">
        <w:rPr>
          <w:rFonts w:asciiTheme="majorHAnsi" w:hAnsiTheme="majorHAnsi" w:cs="Calibri Light"/>
          <w:iCs/>
          <w:sz w:val="24"/>
          <w:szCs w:val="24"/>
          <w:lang w:val="ro-MD"/>
        </w:rPr>
        <w:t xml:space="preserve">de a oferi informații veridice utilizatorilor rapoartelor </w:t>
      </w:r>
      <w:r w:rsidR="008A6B05" w:rsidRPr="00653E85">
        <w:rPr>
          <w:rFonts w:asciiTheme="majorHAnsi" w:hAnsiTheme="majorHAnsi" w:cs="Calibri Light"/>
          <w:iCs/>
          <w:sz w:val="24"/>
          <w:szCs w:val="24"/>
          <w:lang w:val="ro-MD"/>
        </w:rPr>
        <w:t>de a presta servicii calitative cetățenilor.</w:t>
      </w:r>
    </w:p>
    <w:p w14:paraId="4E17E948" w14:textId="653DBF83" w:rsidR="00D66928" w:rsidRPr="00653E85" w:rsidRDefault="00D66928" w:rsidP="009055D9">
      <w:pPr>
        <w:tabs>
          <w:tab w:val="left" w:pos="709"/>
          <w:tab w:val="left" w:pos="993"/>
          <w:tab w:val="left" w:pos="1276"/>
        </w:tabs>
        <w:spacing w:line="276" w:lineRule="auto"/>
        <w:jc w:val="both"/>
        <w:rPr>
          <w:rFonts w:asciiTheme="majorHAnsi" w:hAnsiTheme="majorHAnsi" w:cstheme="majorHAnsi"/>
          <w:sz w:val="24"/>
          <w:szCs w:val="24"/>
          <w:lang w:val="ro-MD"/>
        </w:rPr>
      </w:pPr>
      <w:r w:rsidRPr="00653E85">
        <w:rPr>
          <w:rFonts w:asciiTheme="majorHAnsi" w:hAnsiTheme="majorHAnsi" w:cs="Calibri Light"/>
          <w:iCs/>
          <w:sz w:val="24"/>
          <w:szCs w:val="24"/>
          <w:lang w:val="ro-MD"/>
        </w:rPr>
        <w:t xml:space="preserve">Pe </w:t>
      </w:r>
      <w:r w:rsidRPr="00653E85">
        <w:rPr>
          <w:rFonts w:asciiTheme="majorHAnsi" w:hAnsiTheme="majorHAnsi" w:cstheme="majorHAnsi"/>
          <w:iCs/>
          <w:sz w:val="24"/>
          <w:szCs w:val="24"/>
          <w:lang w:val="ro-MD"/>
        </w:rPr>
        <w:t>de altă parte, neimplementarea recomandărilor de către MMPS, mențin</w:t>
      </w:r>
      <w:r w:rsidR="0059239E" w:rsidRPr="00653E85">
        <w:rPr>
          <w:rFonts w:asciiTheme="majorHAnsi" w:hAnsiTheme="majorHAnsi" w:cstheme="majorHAnsi"/>
          <w:iCs/>
          <w:sz w:val="24"/>
          <w:szCs w:val="24"/>
          <w:lang w:val="ro-MD"/>
        </w:rPr>
        <w:t>e</w:t>
      </w:r>
      <w:r w:rsidRPr="00653E85">
        <w:rPr>
          <w:rFonts w:asciiTheme="majorHAnsi" w:hAnsiTheme="majorHAnsi" w:cstheme="majorHAnsi"/>
          <w:iCs/>
          <w:sz w:val="24"/>
          <w:szCs w:val="24"/>
          <w:lang w:val="ro-MD"/>
        </w:rPr>
        <w:t xml:space="preserve"> în continuare situații incerte în aspectul complexității </w:t>
      </w:r>
      <w:r w:rsidRPr="00653E85">
        <w:rPr>
          <w:rFonts w:asciiTheme="majorHAnsi" w:hAnsiTheme="majorHAnsi" w:cstheme="majorHAnsi"/>
          <w:sz w:val="24"/>
          <w:szCs w:val="24"/>
          <w:lang w:val="ro-MD"/>
        </w:rPr>
        <w:t>procesului de stabilire, calculare și plată a ajutorului social și ajutorului pentru perioada rece a anului</w:t>
      </w:r>
      <w:r w:rsidRPr="00653E85">
        <w:rPr>
          <w:rFonts w:asciiTheme="majorHAnsi" w:hAnsiTheme="majorHAnsi" w:cstheme="majorHAnsi"/>
          <w:iCs/>
          <w:sz w:val="24"/>
          <w:szCs w:val="24"/>
          <w:lang w:val="ro-MD"/>
        </w:rPr>
        <w:t xml:space="preserve">, </w:t>
      </w:r>
      <w:r w:rsidRPr="00653E85">
        <w:rPr>
          <w:rFonts w:asciiTheme="majorHAnsi" w:hAnsiTheme="majorHAnsi" w:cstheme="majorHAnsi"/>
          <w:sz w:val="24"/>
          <w:lang w:val="ro-MD"/>
        </w:rPr>
        <w:t>stopării/sistării plății pensiei unor angajați din aviația civilă în cazul reangajării în funcții ale căror condiții de muncă se încadrează în condiții</w:t>
      </w:r>
      <w:r w:rsidR="0059239E" w:rsidRPr="00653E85">
        <w:rPr>
          <w:rFonts w:asciiTheme="majorHAnsi" w:hAnsiTheme="majorHAnsi" w:cstheme="majorHAnsi"/>
          <w:sz w:val="24"/>
          <w:lang w:val="ro-MD"/>
        </w:rPr>
        <w:t>le</w:t>
      </w:r>
      <w:r w:rsidRPr="00653E85">
        <w:rPr>
          <w:rFonts w:asciiTheme="majorHAnsi" w:hAnsiTheme="majorHAnsi" w:cstheme="majorHAnsi"/>
          <w:sz w:val="24"/>
          <w:lang w:val="ro-MD"/>
        </w:rPr>
        <w:t xml:space="preserve"> speciale</w:t>
      </w:r>
      <w:r w:rsidRPr="00653E85">
        <w:rPr>
          <w:rFonts w:asciiTheme="majorHAnsi" w:hAnsiTheme="majorHAnsi" w:cstheme="majorHAnsi"/>
          <w:iCs/>
          <w:sz w:val="24"/>
          <w:szCs w:val="24"/>
          <w:lang w:val="ro-MD"/>
        </w:rPr>
        <w:t xml:space="preserve"> cu suportarea cheltuielilor nea</w:t>
      </w:r>
      <w:r w:rsidR="00F5036B" w:rsidRPr="00653E85">
        <w:rPr>
          <w:rFonts w:asciiTheme="majorHAnsi" w:hAnsiTheme="majorHAnsi" w:cstheme="majorHAnsi"/>
          <w:iCs/>
          <w:sz w:val="24"/>
          <w:szCs w:val="24"/>
          <w:lang w:val="ro-MD"/>
        </w:rPr>
        <w:t>rgumentate. Cu referire la imple</w:t>
      </w:r>
      <w:r w:rsidRPr="00653E85">
        <w:rPr>
          <w:rFonts w:asciiTheme="majorHAnsi" w:hAnsiTheme="majorHAnsi" w:cstheme="majorHAnsi"/>
          <w:iCs/>
          <w:sz w:val="24"/>
          <w:szCs w:val="24"/>
          <w:lang w:val="ro-MD"/>
        </w:rPr>
        <w:t>mentarea recomandărilor de către MS, actual</w:t>
      </w:r>
      <w:r w:rsidR="0059239E" w:rsidRPr="00653E85">
        <w:rPr>
          <w:rFonts w:asciiTheme="majorHAnsi" w:hAnsiTheme="majorHAnsi" w:cstheme="majorHAnsi"/>
          <w:iCs/>
          <w:sz w:val="24"/>
          <w:szCs w:val="24"/>
          <w:lang w:val="ro-MD"/>
        </w:rPr>
        <w:t>a</w:t>
      </w:r>
      <w:r w:rsidRPr="00653E85">
        <w:rPr>
          <w:rFonts w:asciiTheme="majorHAnsi" w:hAnsiTheme="majorHAnsi" w:cstheme="majorHAnsi"/>
          <w:iCs/>
          <w:sz w:val="24"/>
          <w:szCs w:val="24"/>
          <w:lang w:val="ro-MD"/>
        </w:rPr>
        <w:t xml:space="preserve"> misi</w:t>
      </w:r>
      <w:r w:rsidR="00F5036B" w:rsidRPr="00653E85">
        <w:rPr>
          <w:rFonts w:asciiTheme="majorHAnsi" w:hAnsiTheme="majorHAnsi" w:cstheme="majorHAnsi"/>
          <w:iCs/>
          <w:sz w:val="24"/>
          <w:szCs w:val="24"/>
          <w:lang w:val="ro-MD"/>
        </w:rPr>
        <w:t>u</w:t>
      </w:r>
      <w:r w:rsidRPr="00653E85">
        <w:rPr>
          <w:rFonts w:asciiTheme="majorHAnsi" w:hAnsiTheme="majorHAnsi" w:cstheme="majorHAnsi"/>
          <w:iCs/>
          <w:sz w:val="24"/>
          <w:szCs w:val="24"/>
          <w:lang w:val="ro-MD"/>
        </w:rPr>
        <w:t>ne de audit relevă că acțiunile întreprinse nu au avut impactul scontat</w:t>
      </w:r>
      <w:r w:rsidR="00F5036B" w:rsidRPr="00653E85">
        <w:rPr>
          <w:rFonts w:asciiTheme="majorHAnsi" w:hAnsiTheme="majorHAnsi" w:cstheme="majorHAnsi"/>
          <w:iCs/>
          <w:sz w:val="24"/>
          <w:szCs w:val="24"/>
          <w:lang w:val="ro-MD"/>
        </w:rPr>
        <w:t>,</w:t>
      </w:r>
      <w:r w:rsidRPr="00653E85">
        <w:rPr>
          <w:rFonts w:asciiTheme="majorHAnsi" w:hAnsiTheme="majorHAnsi" w:cstheme="majorHAnsi"/>
          <w:iCs/>
          <w:sz w:val="24"/>
          <w:szCs w:val="24"/>
          <w:lang w:val="ro-MD"/>
        </w:rPr>
        <w:t xml:space="preserve"> de </w:t>
      </w:r>
      <w:r w:rsidRPr="00653E85">
        <w:rPr>
          <w:rFonts w:asciiTheme="majorHAnsi" w:hAnsiTheme="majorHAnsi" w:cstheme="majorHAnsi"/>
          <w:sz w:val="24"/>
          <w:szCs w:val="24"/>
          <w:lang w:val="ro-MD"/>
        </w:rPr>
        <w:t>eficientizare a controlului permanent asupra corectitudinii și plenitudinii datelor introduse în Portalul certificatelor de concediu medical</w:t>
      </w:r>
      <w:r w:rsidR="0059239E" w:rsidRPr="00653E85">
        <w:rPr>
          <w:rFonts w:asciiTheme="majorHAnsi" w:hAnsiTheme="majorHAnsi" w:cstheme="majorHAnsi"/>
          <w:sz w:val="24"/>
          <w:szCs w:val="24"/>
          <w:lang w:val="ro-MD"/>
        </w:rPr>
        <w:t>,</w:t>
      </w:r>
      <w:r w:rsidR="00F5036B" w:rsidRPr="00653E85">
        <w:rPr>
          <w:rFonts w:asciiTheme="majorHAnsi" w:hAnsiTheme="majorHAnsi" w:cstheme="majorHAnsi"/>
          <w:sz w:val="24"/>
          <w:szCs w:val="24"/>
          <w:lang w:val="ro-MD"/>
        </w:rPr>
        <w:t xml:space="preserve"> fapt ce creează </w:t>
      </w:r>
      <w:r w:rsidR="0059239E" w:rsidRPr="00653E85">
        <w:rPr>
          <w:rFonts w:asciiTheme="majorHAnsi" w:hAnsiTheme="majorHAnsi" w:cstheme="majorHAnsi"/>
          <w:sz w:val="24"/>
          <w:szCs w:val="24"/>
          <w:lang w:val="ro-MD"/>
        </w:rPr>
        <w:t xml:space="preserve">situații de </w:t>
      </w:r>
      <w:r w:rsidR="00F5036B" w:rsidRPr="00653E85">
        <w:rPr>
          <w:rFonts w:asciiTheme="majorHAnsi" w:hAnsiTheme="majorHAnsi" w:cstheme="majorHAnsi"/>
          <w:sz w:val="24"/>
          <w:szCs w:val="24"/>
          <w:lang w:val="ro-MD"/>
        </w:rPr>
        <w:t>stabilire</w:t>
      </w:r>
      <w:r w:rsidR="0059239E" w:rsidRPr="00653E85">
        <w:rPr>
          <w:rFonts w:asciiTheme="majorHAnsi" w:hAnsiTheme="majorHAnsi" w:cstheme="majorHAnsi"/>
          <w:sz w:val="24"/>
          <w:szCs w:val="24"/>
          <w:lang w:val="ro-MD"/>
        </w:rPr>
        <w:t xml:space="preserve"> </w:t>
      </w:r>
      <w:r w:rsidR="00F5036B" w:rsidRPr="00653E85">
        <w:rPr>
          <w:rFonts w:asciiTheme="majorHAnsi" w:hAnsiTheme="majorHAnsi" w:cstheme="majorHAnsi"/>
          <w:sz w:val="24"/>
          <w:szCs w:val="24"/>
          <w:lang w:val="ro-MD"/>
        </w:rPr>
        <w:t>a indemnizației cu termen</w:t>
      </w:r>
      <w:r w:rsidR="0059239E" w:rsidRPr="00653E85">
        <w:rPr>
          <w:rFonts w:asciiTheme="majorHAnsi" w:hAnsiTheme="majorHAnsi" w:cstheme="majorHAnsi"/>
          <w:sz w:val="24"/>
          <w:szCs w:val="24"/>
          <w:lang w:val="ro-MD"/>
        </w:rPr>
        <w:t>ul</w:t>
      </w:r>
      <w:r w:rsidR="00F5036B" w:rsidRPr="00653E85">
        <w:rPr>
          <w:rFonts w:asciiTheme="majorHAnsi" w:hAnsiTheme="majorHAnsi" w:cstheme="majorHAnsi"/>
          <w:sz w:val="24"/>
          <w:szCs w:val="24"/>
          <w:lang w:val="ro-MD"/>
        </w:rPr>
        <w:t xml:space="preserve"> depășit de până la 1 an.</w:t>
      </w:r>
      <w:r w:rsidR="00CD1E1E" w:rsidRPr="00653E85">
        <w:rPr>
          <w:rFonts w:asciiTheme="majorHAnsi" w:hAnsiTheme="majorHAnsi" w:cstheme="majorHAnsi"/>
          <w:sz w:val="24"/>
          <w:szCs w:val="24"/>
          <w:lang w:val="ro-MD"/>
        </w:rPr>
        <w:t xml:space="preserve"> De asemenea, până în prezent sunt identificate plăți nejustificate în cazul decesului pensionarilor</w:t>
      </w:r>
      <w:r w:rsidR="0059239E" w:rsidRPr="00653E85">
        <w:rPr>
          <w:rFonts w:asciiTheme="majorHAnsi" w:hAnsiTheme="majorHAnsi" w:cstheme="majorHAnsi"/>
          <w:sz w:val="24"/>
          <w:szCs w:val="24"/>
          <w:lang w:val="ro-MD"/>
        </w:rPr>
        <w:t>,</w:t>
      </w:r>
      <w:r w:rsidR="00CD1E1E" w:rsidRPr="00653E85">
        <w:rPr>
          <w:rFonts w:asciiTheme="majorHAnsi" w:hAnsiTheme="majorHAnsi" w:cstheme="majorHAnsi"/>
          <w:sz w:val="24"/>
          <w:szCs w:val="24"/>
          <w:lang w:val="ro-MD"/>
        </w:rPr>
        <w:t xml:space="preserve"> generate de lipsa unui sistem informațional medical automatizat, precum și </w:t>
      </w:r>
      <w:r w:rsidR="0059239E" w:rsidRPr="00653E85">
        <w:rPr>
          <w:rFonts w:asciiTheme="majorHAnsi" w:hAnsiTheme="majorHAnsi" w:cstheme="majorHAnsi"/>
          <w:sz w:val="24"/>
          <w:szCs w:val="24"/>
          <w:lang w:val="ro-MD"/>
        </w:rPr>
        <w:t xml:space="preserve">de </w:t>
      </w:r>
      <w:r w:rsidR="00CD1E1E" w:rsidRPr="00653E85">
        <w:rPr>
          <w:rFonts w:asciiTheme="majorHAnsi" w:hAnsiTheme="majorHAnsi" w:cstheme="majorHAnsi"/>
          <w:sz w:val="24"/>
          <w:szCs w:val="24"/>
          <w:lang w:val="ro-MD"/>
        </w:rPr>
        <w:t>introducerea tardivă a informației despre deces.</w:t>
      </w:r>
    </w:p>
    <w:p w14:paraId="42371191" w14:textId="10A04616" w:rsidR="00F5036B" w:rsidRDefault="00F5036B" w:rsidP="00F5036B">
      <w:pPr>
        <w:jc w:val="both"/>
        <w:rPr>
          <w:rFonts w:asciiTheme="majorHAnsi" w:hAnsiTheme="majorHAnsi" w:cs="Calibri Light"/>
          <w:iCs/>
          <w:sz w:val="24"/>
          <w:szCs w:val="24"/>
          <w:lang w:val="ro-MD"/>
        </w:rPr>
      </w:pPr>
      <w:r w:rsidRPr="00653E85">
        <w:rPr>
          <w:rFonts w:asciiTheme="majorHAnsi" w:hAnsiTheme="majorHAnsi" w:cs="Calibri Light"/>
          <w:iCs/>
          <w:sz w:val="24"/>
          <w:szCs w:val="24"/>
          <w:lang w:val="ro-MD"/>
        </w:rPr>
        <w:t xml:space="preserve">O prezentare detaliată a nivelului de implementare a recomandărilor și a termenului de punere în aplicare </w:t>
      </w:r>
      <w:r w:rsidR="00AE0A05" w:rsidRPr="00653E85">
        <w:rPr>
          <w:rFonts w:asciiTheme="majorHAnsi" w:hAnsiTheme="majorHAnsi" w:cs="Calibri Light"/>
          <w:iCs/>
          <w:sz w:val="24"/>
          <w:szCs w:val="24"/>
          <w:lang w:val="ro-MD"/>
        </w:rPr>
        <w:t xml:space="preserve">a acestora </w:t>
      </w:r>
      <w:r w:rsidRPr="00653E85">
        <w:rPr>
          <w:rFonts w:asciiTheme="majorHAnsi" w:hAnsiTheme="majorHAnsi" w:cs="Calibri Light"/>
          <w:iCs/>
          <w:sz w:val="24"/>
          <w:szCs w:val="24"/>
          <w:lang w:val="ro-MD"/>
        </w:rPr>
        <w:t>se conține în Anexa nr.</w:t>
      </w:r>
      <w:r w:rsidR="00490517" w:rsidRPr="00653E85">
        <w:rPr>
          <w:rFonts w:asciiTheme="majorHAnsi" w:hAnsiTheme="majorHAnsi" w:cs="Calibri Light"/>
          <w:iCs/>
          <w:sz w:val="24"/>
          <w:szCs w:val="24"/>
          <w:lang w:val="ro-MD"/>
        </w:rPr>
        <w:t>22</w:t>
      </w:r>
      <w:r w:rsidRPr="00653E85">
        <w:rPr>
          <w:rFonts w:asciiTheme="majorHAnsi" w:hAnsiTheme="majorHAnsi" w:cs="Calibri Light"/>
          <w:iCs/>
          <w:sz w:val="24"/>
          <w:szCs w:val="24"/>
          <w:lang w:val="ro-MD"/>
        </w:rPr>
        <w:t xml:space="preserve"> la prezentul Raport de audit.</w:t>
      </w:r>
    </w:p>
    <w:p w14:paraId="6FAD75EF" w14:textId="08F3178F" w:rsidR="00563E08" w:rsidRPr="00653E85" w:rsidRDefault="00563E08" w:rsidP="00FE54EB">
      <w:pPr>
        <w:spacing w:line="276" w:lineRule="auto"/>
        <w:jc w:val="both"/>
        <w:rPr>
          <w:rFonts w:asciiTheme="majorHAnsi" w:hAnsiTheme="majorHAnsi" w:cs="Calibri Light"/>
          <w:iCs/>
          <w:sz w:val="24"/>
          <w:szCs w:val="24"/>
          <w:lang w:val="ro-MD"/>
        </w:rPr>
      </w:pPr>
      <w:r w:rsidRPr="00FE54EB">
        <w:rPr>
          <w:rFonts w:asciiTheme="majorHAnsi" w:hAnsiTheme="majorHAnsi" w:cstheme="majorHAnsi"/>
          <w:noProof/>
          <w:sz w:val="24"/>
          <w:szCs w:val="24"/>
          <w:lang w:val="ro-MD"/>
        </w:rPr>
        <w:t>Cu referire la Hotărârile Curții de Conturi nr.96 din 18.12.2018 „Privind Raportul auditului conformității „Declarările salariale și plăților la Bugetul Public Național și impactul asupra drepturilor sociale ale cetățenilor””</w:t>
      </w:r>
      <w:r w:rsidR="00703636" w:rsidRPr="00FE54EB">
        <w:rPr>
          <w:rFonts w:asciiTheme="majorHAnsi" w:hAnsiTheme="majorHAnsi" w:cstheme="majorHAnsi"/>
          <w:noProof/>
          <w:sz w:val="24"/>
          <w:szCs w:val="24"/>
          <w:lang w:val="ro-MD"/>
        </w:rPr>
        <w:t xml:space="preserve"> și</w:t>
      </w:r>
      <w:r w:rsidRPr="00FE54EB">
        <w:rPr>
          <w:rFonts w:asciiTheme="majorHAnsi" w:hAnsiTheme="majorHAnsi" w:cstheme="majorHAnsi"/>
          <w:noProof/>
          <w:sz w:val="24"/>
          <w:szCs w:val="24"/>
          <w:lang w:val="ro-MD"/>
        </w:rPr>
        <w:t xml:space="preserve"> nr.20 din 03.06.2021 „Cu privire la Raportul auditului financiar al Raportului Guvernului privind executarea bugetului asigurărilor sociale de stat în anul 2020”</w:t>
      </w:r>
      <w:r w:rsidR="00703636" w:rsidRPr="00FE54EB">
        <w:rPr>
          <w:rFonts w:asciiTheme="majorHAnsi" w:hAnsiTheme="majorHAnsi" w:cstheme="majorHAnsi"/>
          <w:noProof/>
          <w:sz w:val="24"/>
          <w:szCs w:val="24"/>
          <w:lang w:val="ro-MD"/>
        </w:rPr>
        <w:t>,</w:t>
      </w:r>
      <w:r w:rsidRPr="00FE54EB">
        <w:rPr>
          <w:rFonts w:asciiTheme="majorHAnsi" w:hAnsiTheme="majorHAnsi" w:cstheme="majorHAnsi"/>
          <w:noProof/>
          <w:sz w:val="24"/>
          <w:szCs w:val="24"/>
          <w:lang w:val="ro-MD"/>
        </w:rPr>
        <w:t xml:space="preserve"> se denotă </w:t>
      </w:r>
      <w:r w:rsidR="00703636" w:rsidRPr="00FE54EB">
        <w:rPr>
          <w:rFonts w:asciiTheme="majorHAnsi" w:hAnsiTheme="majorHAnsi" w:cstheme="majorHAnsi"/>
          <w:noProof/>
          <w:sz w:val="24"/>
          <w:szCs w:val="24"/>
          <w:lang w:val="ro-MD"/>
        </w:rPr>
        <w:t xml:space="preserve">că </w:t>
      </w:r>
      <w:r w:rsidRPr="00FE54EB">
        <w:rPr>
          <w:rFonts w:asciiTheme="majorHAnsi" w:eastAsia="Times New Roman" w:hAnsiTheme="majorHAnsi" w:cstheme="majorHAnsi"/>
          <w:sz w:val="24"/>
          <w:szCs w:val="24"/>
          <w:lang w:val="ro-RO" w:eastAsia="ru-RU"/>
        </w:rPr>
        <w:t xml:space="preserve">7 recomandări </w:t>
      </w:r>
      <w:r w:rsidR="00703636" w:rsidRPr="00FE54EB">
        <w:rPr>
          <w:rFonts w:asciiTheme="majorHAnsi" w:eastAsia="Times New Roman" w:hAnsiTheme="majorHAnsi" w:cstheme="majorHAnsi"/>
          <w:sz w:val="24"/>
          <w:szCs w:val="24"/>
          <w:lang w:val="ro-RO" w:eastAsia="ru-RU"/>
        </w:rPr>
        <w:t xml:space="preserve">adresate </w:t>
      </w:r>
      <w:r w:rsidRPr="00FE54EB">
        <w:rPr>
          <w:rFonts w:asciiTheme="majorHAnsi" w:eastAsia="Times New Roman" w:hAnsiTheme="majorHAnsi" w:cstheme="majorHAnsi"/>
          <w:sz w:val="24"/>
          <w:szCs w:val="24"/>
          <w:lang w:val="ro-RO" w:eastAsia="ru-RU"/>
        </w:rPr>
        <w:t>unor entității</w:t>
      </w:r>
      <w:r w:rsidRPr="00FE54EB">
        <w:rPr>
          <w:rStyle w:val="a5"/>
          <w:rFonts w:asciiTheme="majorHAnsi" w:eastAsia="Times New Roman" w:hAnsiTheme="majorHAnsi" w:cstheme="majorHAnsi"/>
          <w:sz w:val="24"/>
          <w:szCs w:val="24"/>
          <w:lang w:val="ro-RO" w:eastAsia="ru-RU"/>
        </w:rPr>
        <w:footnoteReference w:id="63"/>
      </w:r>
      <w:r w:rsidRPr="00FE54EB">
        <w:rPr>
          <w:rFonts w:asciiTheme="majorHAnsi" w:eastAsia="Times New Roman" w:hAnsiTheme="majorHAnsi" w:cstheme="majorHAnsi"/>
          <w:sz w:val="24"/>
          <w:szCs w:val="24"/>
          <w:lang w:val="ro-RO" w:eastAsia="ru-RU"/>
        </w:rPr>
        <w:t xml:space="preserve"> </w:t>
      </w:r>
      <w:r w:rsidR="00703636" w:rsidRPr="00FE54EB">
        <w:rPr>
          <w:rFonts w:asciiTheme="majorHAnsi" w:eastAsia="Times New Roman" w:hAnsiTheme="majorHAnsi" w:cstheme="majorHAnsi"/>
          <w:sz w:val="24"/>
          <w:szCs w:val="24"/>
          <w:lang w:val="ro-RO" w:eastAsia="ru-RU"/>
        </w:rPr>
        <w:t xml:space="preserve">nu au fost </w:t>
      </w:r>
      <w:r w:rsidRPr="00FE54EB">
        <w:rPr>
          <w:rFonts w:asciiTheme="majorHAnsi" w:hAnsiTheme="majorHAnsi" w:cstheme="majorHAnsi"/>
          <w:noProof/>
          <w:sz w:val="24"/>
          <w:szCs w:val="24"/>
          <w:lang w:val="ro-MD"/>
        </w:rPr>
        <w:t xml:space="preserve">implementate </w:t>
      </w:r>
      <w:r w:rsidR="00703636" w:rsidRPr="00FE54EB">
        <w:rPr>
          <w:rFonts w:asciiTheme="majorHAnsi" w:hAnsiTheme="majorHAnsi" w:cstheme="majorHAnsi"/>
          <w:noProof/>
          <w:sz w:val="24"/>
          <w:szCs w:val="24"/>
          <w:lang w:val="ro-MD"/>
        </w:rPr>
        <w:t>sau</w:t>
      </w:r>
      <w:r w:rsidRPr="00FE54EB">
        <w:rPr>
          <w:rFonts w:asciiTheme="majorHAnsi" w:hAnsiTheme="majorHAnsi" w:cstheme="majorHAnsi"/>
          <w:noProof/>
          <w:sz w:val="24"/>
          <w:szCs w:val="24"/>
          <w:lang w:val="ro-MD"/>
        </w:rPr>
        <w:t xml:space="preserve"> </w:t>
      </w:r>
      <w:r w:rsidR="00703636" w:rsidRPr="00FE54EB">
        <w:rPr>
          <w:rFonts w:asciiTheme="majorHAnsi" w:hAnsiTheme="majorHAnsi" w:cstheme="majorHAnsi"/>
          <w:noProof/>
          <w:sz w:val="24"/>
          <w:szCs w:val="24"/>
          <w:lang w:val="ro-MD"/>
        </w:rPr>
        <w:t xml:space="preserve">sunt </w:t>
      </w:r>
      <w:r w:rsidRPr="00FE54EB">
        <w:rPr>
          <w:rFonts w:asciiTheme="majorHAnsi" w:hAnsiTheme="majorHAnsi" w:cstheme="majorHAnsi"/>
          <w:noProof/>
          <w:sz w:val="24"/>
          <w:szCs w:val="24"/>
          <w:lang w:val="ro-MD"/>
        </w:rPr>
        <w:t xml:space="preserve">parțial implementate, astfel acestea au fost reiterate în prezentul </w:t>
      </w:r>
      <w:r w:rsidR="00703636" w:rsidRPr="00FE54EB">
        <w:rPr>
          <w:rFonts w:asciiTheme="majorHAnsi" w:hAnsiTheme="majorHAnsi" w:cstheme="majorHAnsi"/>
          <w:noProof/>
          <w:sz w:val="24"/>
          <w:szCs w:val="24"/>
          <w:lang w:val="ro-MD"/>
        </w:rPr>
        <w:t>R</w:t>
      </w:r>
      <w:r w:rsidRPr="00FE54EB">
        <w:rPr>
          <w:rFonts w:asciiTheme="majorHAnsi" w:hAnsiTheme="majorHAnsi" w:cstheme="majorHAnsi"/>
          <w:noProof/>
          <w:sz w:val="24"/>
          <w:szCs w:val="24"/>
          <w:lang w:val="ro-MD"/>
        </w:rPr>
        <w:t>aport de audit.</w:t>
      </w:r>
      <w:r>
        <w:rPr>
          <w:rFonts w:asciiTheme="majorHAnsi" w:hAnsiTheme="majorHAnsi" w:cstheme="majorHAnsi"/>
          <w:noProof/>
          <w:sz w:val="24"/>
          <w:szCs w:val="24"/>
          <w:lang w:val="ro-MD"/>
        </w:rPr>
        <w:t xml:space="preserve"> </w:t>
      </w:r>
    </w:p>
    <w:p w14:paraId="3480F538" w14:textId="0CE8FAC1" w:rsidR="00756056" w:rsidRPr="00653E85" w:rsidRDefault="00756056" w:rsidP="001B2798">
      <w:pPr>
        <w:pStyle w:val="aa"/>
        <w:numPr>
          <w:ilvl w:val="1"/>
          <w:numId w:val="2"/>
        </w:numPr>
        <w:shd w:val="clear" w:color="auto" w:fill="FFFFFF" w:themeFill="background1"/>
        <w:spacing w:line="276" w:lineRule="auto"/>
        <w:ind w:left="0" w:firstLine="0"/>
        <w:jc w:val="both"/>
        <w:outlineLvl w:val="1"/>
        <w:rPr>
          <w:rFonts w:asciiTheme="majorHAnsi" w:hAnsiTheme="majorHAnsi" w:cstheme="majorHAnsi"/>
          <w:b/>
          <w:sz w:val="24"/>
          <w:szCs w:val="24"/>
          <w:lang w:val="ro-MD"/>
        </w:rPr>
      </w:pPr>
      <w:r w:rsidRPr="00B7675F">
        <w:rPr>
          <w:rFonts w:asciiTheme="majorHAnsi" w:eastAsia="Times New Roman" w:hAnsiTheme="majorHAnsi" w:cstheme="majorHAnsi"/>
          <w:b/>
          <w:color w:val="000000" w:themeColor="text1"/>
          <w:sz w:val="24"/>
          <w:szCs w:val="24"/>
          <w:lang w:val="ro-MD"/>
        </w:rPr>
        <w:t>Imposibilitatea/limitarea auditului în verificare</w:t>
      </w:r>
      <w:r w:rsidRPr="0038225D">
        <w:rPr>
          <w:rFonts w:asciiTheme="majorHAnsi" w:eastAsia="Times New Roman" w:hAnsiTheme="majorHAnsi" w:cstheme="majorHAnsi"/>
          <w:b/>
          <w:color w:val="000000" w:themeColor="text1"/>
          <w:sz w:val="24"/>
          <w:szCs w:val="24"/>
          <w:lang w:val="ro-MD"/>
        </w:rPr>
        <w:t>a corectitudinii i</w:t>
      </w:r>
      <w:r w:rsidR="00AB40C5" w:rsidRPr="00653E85">
        <w:rPr>
          <w:rFonts w:asciiTheme="majorHAnsi" w:hAnsiTheme="majorHAnsi" w:cstheme="majorHAnsi"/>
          <w:b/>
          <w:sz w:val="24"/>
          <w:szCs w:val="24"/>
          <w:lang w:val="ro-MD"/>
        </w:rPr>
        <w:t>ndemnizației</w:t>
      </w:r>
      <w:r w:rsidRPr="00653E85">
        <w:rPr>
          <w:rFonts w:asciiTheme="majorHAnsi" w:hAnsiTheme="majorHAnsi" w:cstheme="majorHAnsi"/>
          <w:b/>
          <w:sz w:val="24"/>
          <w:szCs w:val="24"/>
          <w:lang w:val="ro-MD"/>
        </w:rPr>
        <w:t xml:space="preserve"> de șomaj tehnic</w:t>
      </w:r>
      <w:r w:rsidR="00AE0A05" w:rsidRPr="00653E85">
        <w:rPr>
          <w:rFonts w:asciiTheme="majorHAnsi" w:hAnsiTheme="majorHAnsi" w:cstheme="majorHAnsi"/>
          <w:b/>
          <w:sz w:val="24"/>
          <w:szCs w:val="24"/>
          <w:lang w:val="ro-MD"/>
        </w:rPr>
        <w:t>,</w:t>
      </w:r>
      <w:r w:rsidRPr="00B7675F">
        <w:rPr>
          <w:rFonts w:asciiTheme="majorHAnsi" w:eastAsia="Times New Roman" w:hAnsiTheme="majorHAnsi" w:cstheme="majorHAnsi"/>
          <w:b/>
          <w:color w:val="000000" w:themeColor="text1"/>
          <w:sz w:val="24"/>
          <w:szCs w:val="24"/>
          <w:lang w:val="ro-MD"/>
        </w:rPr>
        <w:t xml:space="preserve"> </w:t>
      </w:r>
      <w:r w:rsidRPr="0038225D">
        <w:rPr>
          <w:rFonts w:asciiTheme="majorHAnsi" w:eastAsia="Times New Roman" w:hAnsiTheme="majorHAnsi" w:cstheme="majorHAnsi"/>
          <w:b/>
          <w:color w:val="000000" w:themeColor="text1"/>
          <w:sz w:val="24"/>
          <w:szCs w:val="24"/>
          <w:lang w:val="ro-MD"/>
        </w:rPr>
        <w:t>în sumă de 2</w:t>
      </w:r>
      <w:r w:rsidR="00AE07CE" w:rsidRPr="00B7675F">
        <w:rPr>
          <w:rFonts w:asciiTheme="majorHAnsi" w:eastAsia="Times New Roman" w:hAnsiTheme="majorHAnsi" w:cstheme="majorHAnsi"/>
          <w:b/>
          <w:color w:val="000000" w:themeColor="text1"/>
          <w:sz w:val="24"/>
          <w:szCs w:val="24"/>
          <w:lang w:val="ro-MD"/>
        </w:rPr>
        <w:t xml:space="preserve"> </w:t>
      </w:r>
      <w:r w:rsidRPr="00B7675F">
        <w:rPr>
          <w:rFonts w:asciiTheme="majorHAnsi" w:eastAsia="Times New Roman" w:hAnsiTheme="majorHAnsi" w:cstheme="majorHAnsi"/>
          <w:b/>
          <w:color w:val="000000" w:themeColor="text1"/>
          <w:sz w:val="24"/>
          <w:szCs w:val="24"/>
          <w:lang w:val="ro-MD"/>
        </w:rPr>
        <w:t xml:space="preserve">126,9 mii lei, a fost generată de lipsa informațiilor complete, </w:t>
      </w:r>
      <w:r w:rsidR="00AE0A05" w:rsidRPr="00B7675F">
        <w:rPr>
          <w:rFonts w:asciiTheme="majorHAnsi" w:eastAsia="Times New Roman" w:hAnsiTheme="majorHAnsi" w:cstheme="majorHAnsi"/>
          <w:b/>
          <w:color w:val="000000" w:themeColor="text1"/>
          <w:sz w:val="24"/>
          <w:szCs w:val="24"/>
          <w:lang w:val="ro-MD"/>
        </w:rPr>
        <w:t xml:space="preserve">de </w:t>
      </w:r>
      <w:r w:rsidRPr="00B7675F">
        <w:rPr>
          <w:rFonts w:asciiTheme="majorHAnsi" w:eastAsia="Times New Roman" w:hAnsiTheme="majorHAnsi" w:cstheme="majorHAnsi"/>
          <w:b/>
          <w:color w:val="000000" w:themeColor="text1"/>
          <w:sz w:val="24"/>
          <w:szCs w:val="24"/>
          <w:lang w:val="ro-MD"/>
        </w:rPr>
        <w:t xml:space="preserve">neprezentarea </w:t>
      </w:r>
      <w:r w:rsidR="00D30FC7" w:rsidRPr="00B7675F">
        <w:rPr>
          <w:rFonts w:asciiTheme="majorHAnsi" w:eastAsia="Times New Roman" w:hAnsiTheme="majorHAnsi" w:cstheme="majorHAnsi"/>
          <w:b/>
          <w:color w:val="000000" w:themeColor="text1"/>
          <w:sz w:val="24"/>
          <w:szCs w:val="24"/>
          <w:lang w:val="ro-MD"/>
        </w:rPr>
        <w:t xml:space="preserve"> în termen a </w:t>
      </w:r>
      <w:r w:rsidRPr="00B7675F">
        <w:rPr>
          <w:rFonts w:asciiTheme="majorHAnsi" w:eastAsia="Times New Roman" w:hAnsiTheme="majorHAnsi" w:cstheme="majorHAnsi"/>
          <w:b/>
          <w:color w:val="000000" w:themeColor="text1"/>
          <w:sz w:val="24"/>
          <w:szCs w:val="24"/>
          <w:lang w:val="ro-MD"/>
        </w:rPr>
        <w:t xml:space="preserve">acestora de către instituțiile implicate, </w:t>
      </w:r>
      <w:r w:rsidR="00AE0A05" w:rsidRPr="00B7675F">
        <w:rPr>
          <w:rFonts w:asciiTheme="majorHAnsi" w:eastAsia="Times New Roman" w:hAnsiTheme="majorHAnsi" w:cstheme="majorHAnsi"/>
          <w:b/>
          <w:color w:val="000000" w:themeColor="text1"/>
          <w:sz w:val="24"/>
          <w:szCs w:val="24"/>
          <w:lang w:val="ro-MD"/>
        </w:rPr>
        <w:t xml:space="preserve">de </w:t>
      </w:r>
      <w:r w:rsidRPr="00B7675F">
        <w:rPr>
          <w:rFonts w:asciiTheme="majorHAnsi" w:eastAsia="Times New Roman" w:hAnsiTheme="majorHAnsi" w:cstheme="majorHAnsi"/>
          <w:b/>
          <w:color w:val="000000" w:themeColor="text1"/>
          <w:sz w:val="24"/>
          <w:szCs w:val="24"/>
          <w:lang w:val="ro-MD"/>
        </w:rPr>
        <w:t>lipsa controalelor</w:t>
      </w:r>
      <w:r w:rsidR="00D30FC7" w:rsidRPr="00B7675F">
        <w:rPr>
          <w:rFonts w:asciiTheme="majorHAnsi" w:eastAsia="Times New Roman" w:hAnsiTheme="majorHAnsi" w:cstheme="majorHAnsi"/>
          <w:b/>
          <w:color w:val="000000" w:themeColor="text1"/>
          <w:sz w:val="24"/>
          <w:szCs w:val="24"/>
          <w:lang w:val="ro-MD"/>
        </w:rPr>
        <w:t>,</w:t>
      </w:r>
      <w:r w:rsidRPr="00B7675F">
        <w:rPr>
          <w:rFonts w:asciiTheme="majorHAnsi" w:eastAsia="Times New Roman" w:hAnsiTheme="majorHAnsi" w:cstheme="majorHAnsi"/>
          <w:b/>
          <w:color w:val="000000" w:themeColor="text1"/>
          <w:sz w:val="24"/>
          <w:szCs w:val="24"/>
          <w:lang w:val="ro-MD"/>
        </w:rPr>
        <w:t xml:space="preserve"> precum și </w:t>
      </w:r>
      <w:r w:rsidR="00AE0A05" w:rsidRPr="00B7675F">
        <w:rPr>
          <w:rFonts w:asciiTheme="majorHAnsi" w:eastAsia="Times New Roman" w:hAnsiTheme="majorHAnsi" w:cstheme="majorHAnsi"/>
          <w:b/>
          <w:color w:val="000000" w:themeColor="text1"/>
          <w:sz w:val="24"/>
          <w:szCs w:val="24"/>
          <w:lang w:val="ro-MD"/>
        </w:rPr>
        <w:t xml:space="preserve">de </w:t>
      </w:r>
      <w:r w:rsidRPr="00B7675F">
        <w:rPr>
          <w:rFonts w:asciiTheme="majorHAnsi" w:eastAsia="Times New Roman" w:hAnsiTheme="majorHAnsi" w:cstheme="majorHAnsi"/>
          <w:b/>
          <w:color w:val="000000" w:themeColor="text1"/>
          <w:sz w:val="24"/>
          <w:szCs w:val="24"/>
          <w:lang w:val="ro-MD"/>
        </w:rPr>
        <w:t>lipsa delimitării raportării indemnizației de activitatea de bază</w:t>
      </w:r>
      <w:r w:rsidR="00AE0A05" w:rsidRPr="00B7675F">
        <w:rPr>
          <w:rFonts w:asciiTheme="majorHAnsi" w:eastAsia="Times New Roman" w:hAnsiTheme="majorHAnsi" w:cstheme="majorHAnsi"/>
          <w:b/>
          <w:color w:val="000000" w:themeColor="text1"/>
          <w:sz w:val="24"/>
          <w:szCs w:val="24"/>
          <w:lang w:val="ro-MD"/>
        </w:rPr>
        <w:t>.</w:t>
      </w:r>
      <w:r w:rsidRPr="00B7675F">
        <w:rPr>
          <w:rFonts w:asciiTheme="majorHAnsi" w:eastAsia="Times New Roman" w:hAnsiTheme="majorHAnsi" w:cstheme="majorHAnsi"/>
          <w:b/>
          <w:color w:val="000000" w:themeColor="text1"/>
          <w:sz w:val="24"/>
          <w:szCs w:val="24"/>
          <w:lang w:val="ro-MD"/>
        </w:rPr>
        <w:t xml:space="preserve"> </w:t>
      </w:r>
    </w:p>
    <w:p w14:paraId="524C4421" w14:textId="6E08DBB5" w:rsidR="00756056" w:rsidRPr="00653E85" w:rsidRDefault="00756056" w:rsidP="00902A0E">
      <w:pPr>
        <w:tabs>
          <w:tab w:val="left" w:pos="851"/>
        </w:tabs>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 anul 2022, din bugetul de stat au fost acordate pentru prima dată indemnizați</w:t>
      </w:r>
      <w:r w:rsidR="00AE0A05" w:rsidRPr="00653E85">
        <w:rPr>
          <w:rFonts w:asciiTheme="majorHAnsi" w:hAnsiTheme="majorHAnsi" w:cstheme="majorHAnsi"/>
          <w:sz w:val="24"/>
          <w:szCs w:val="24"/>
          <w:lang w:val="ro-MD"/>
        </w:rPr>
        <w:t>i</w:t>
      </w:r>
      <w:r w:rsidRPr="00653E85">
        <w:rPr>
          <w:rFonts w:asciiTheme="majorHAnsi" w:hAnsiTheme="majorHAnsi" w:cstheme="majorHAnsi"/>
          <w:sz w:val="24"/>
          <w:szCs w:val="24"/>
          <w:lang w:val="ro-MD"/>
        </w:rPr>
        <w:t xml:space="preserve"> pentru șomaj tehnic, instituit</w:t>
      </w:r>
      <w:r w:rsidR="00AE0A05" w:rsidRPr="00653E85">
        <w:rPr>
          <w:rFonts w:asciiTheme="majorHAnsi" w:hAnsiTheme="majorHAnsi" w:cstheme="majorHAnsi"/>
          <w:sz w:val="24"/>
          <w:szCs w:val="24"/>
          <w:lang w:val="ro-MD"/>
        </w:rPr>
        <w:t>e</w:t>
      </w:r>
      <w:r w:rsidRPr="00653E85">
        <w:rPr>
          <w:rFonts w:asciiTheme="majorHAnsi" w:hAnsiTheme="majorHAnsi" w:cstheme="majorHAnsi"/>
          <w:sz w:val="24"/>
          <w:szCs w:val="24"/>
          <w:lang w:val="ro-MD"/>
        </w:rPr>
        <w:t xml:space="preserve"> ca urmare a restricțiilor impuse </w:t>
      </w:r>
      <w:r w:rsidR="00AE0A05" w:rsidRPr="00653E85">
        <w:rPr>
          <w:rFonts w:asciiTheme="majorHAnsi" w:hAnsiTheme="majorHAnsi" w:cstheme="majorHAnsi"/>
          <w:sz w:val="24"/>
          <w:szCs w:val="24"/>
          <w:lang w:val="ro-MD"/>
        </w:rPr>
        <w:t>de</w:t>
      </w:r>
      <w:r w:rsidRPr="00653E85">
        <w:rPr>
          <w:rFonts w:asciiTheme="majorHAnsi" w:hAnsiTheme="majorHAnsi" w:cstheme="majorHAnsi"/>
          <w:sz w:val="24"/>
          <w:szCs w:val="24"/>
          <w:lang w:val="ro-MD"/>
        </w:rPr>
        <w:t xml:space="preserve"> starea de urgență în sănătate publică sau ca urmare a declarării stării de urgență, de asediu și de război, </w:t>
      </w:r>
      <w:r w:rsidRPr="00653E85">
        <w:rPr>
          <w:rFonts w:asciiTheme="majorHAnsi" w:hAnsiTheme="majorHAnsi" w:cstheme="majorHAnsi"/>
          <w:color w:val="000000" w:themeColor="text1"/>
          <w:sz w:val="24"/>
          <w:szCs w:val="24"/>
          <w:shd w:val="clear" w:color="auto" w:fill="FFFFFF"/>
          <w:lang w:val="ro-MD"/>
        </w:rPr>
        <w:t>conform legislației</w:t>
      </w:r>
      <w:r w:rsidRPr="00653E85">
        <w:rPr>
          <w:rStyle w:val="a5"/>
          <w:rFonts w:asciiTheme="majorHAnsi" w:hAnsiTheme="majorHAnsi" w:cstheme="majorHAnsi"/>
          <w:color w:val="000000" w:themeColor="text1"/>
          <w:sz w:val="24"/>
          <w:szCs w:val="24"/>
          <w:shd w:val="clear" w:color="auto" w:fill="FFFFFF"/>
          <w:lang w:val="ro-MD"/>
        </w:rPr>
        <w:footnoteReference w:id="64"/>
      </w:r>
      <w:r w:rsidRPr="00653E85">
        <w:rPr>
          <w:rFonts w:asciiTheme="majorHAnsi" w:hAnsiTheme="majorHAnsi" w:cstheme="majorHAnsi"/>
          <w:color w:val="000000" w:themeColor="text1"/>
          <w:sz w:val="24"/>
          <w:szCs w:val="24"/>
          <w:shd w:val="clear" w:color="auto" w:fill="FFFFFF"/>
          <w:lang w:val="ro-MD"/>
        </w:rPr>
        <w:t>. Astfel,</w:t>
      </w:r>
      <w:r w:rsidRPr="00653E85">
        <w:rPr>
          <w:rFonts w:asciiTheme="majorHAnsi" w:hAnsiTheme="majorHAnsi" w:cstheme="majorHAnsi"/>
          <w:sz w:val="24"/>
          <w:szCs w:val="24"/>
          <w:lang w:val="ro-MD"/>
        </w:rPr>
        <w:t xml:space="preserve"> pe parcursul  anului 2022, au fost achitate indemnizații de șomaj tehnic la 1</w:t>
      </w:r>
      <w:r w:rsidR="00AE07CE"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369 de beneficiari (100%)</w:t>
      </w:r>
      <w:r w:rsidR="00AE0A05"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în valoare de 2</w:t>
      </w:r>
      <w:r w:rsidR="00AE07CE"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126,9 mii lei. Totodată</w:t>
      </w:r>
      <w:r w:rsidR="00AE0A05"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au fost suspendate plăți</w:t>
      </w:r>
      <w:r w:rsidR="00AE0A05" w:rsidRPr="00653E85">
        <w:rPr>
          <w:rFonts w:asciiTheme="majorHAnsi" w:hAnsiTheme="majorHAnsi" w:cstheme="majorHAnsi"/>
          <w:sz w:val="24"/>
          <w:szCs w:val="24"/>
          <w:lang w:val="ro-MD"/>
        </w:rPr>
        <w:t>le pentru</w:t>
      </w:r>
      <w:r w:rsidRPr="00653E85">
        <w:rPr>
          <w:rFonts w:asciiTheme="majorHAnsi" w:hAnsiTheme="majorHAnsi" w:cstheme="majorHAnsi"/>
          <w:sz w:val="24"/>
          <w:szCs w:val="24"/>
          <w:lang w:val="ro-MD"/>
        </w:rPr>
        <w:t xml:space="preserve"> 56 de beneficiari</w:t>
      </w:r>
      <w:r w:rsidR="00AE0A05"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în valoare de 25,4 mii lei.</w:t>
      </w:r>
    </w:p>
    <w:p w14:paraId="3B90288F" w14:textId="5BC5F584" w:rsidR="00756056" w:rsidRPr="00653E85" w:rsidRDefault="00756056" w:rsidP="00756056">
      <w:pPr>
        <w:tabs>
          <w:tab w:val="left" w:pos="851"/>
        </w:tabs>
        <w:spacing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Atribuțiile instituțiilor implicate în acordarea ajutorului de șomaj sunt prezentate în figura de mai jos:</w:t>
      </w:r>
    </w:p>
    <w:p w14:paraId="2470DCE7" w14:textId="77777777" w:rsidR="00756056" w:rsidRPr="00653E85" w:rsidRDefault="00756056" w:rsidP="00756056">
      <w:pPr>
        <w:tabs>
          <w:tab w:val="left" w:pos="851"/>
        </w:tabs>
        <w:spacing w:line="276" w:lineRule="auto"/>
        <w:jc w:val="both"/>
        <w:rPr>
          <w:rFonts w:ascii="Georgia" w:hAnsi="Georgia"/>
          <w:color w:val="333333"/>
          <w:shd w:val="clear" w:color="auto" w:fill="FFFFFF"/>
          <w:lang w:val="ro-MD"/>
        </w:rPr>
      </w:pPr>
      <w:r w:rsidRPr="00653E85">
        <w:rPr>
          <w:rFonts w:ascii="Georgia" w:hAnsi="Georgia"/>
          <w:noProof/>
          <w:color w:val="333333"/>
          <w:shd w:val="clear" w:color="auto" w:fill="FFFFFF"/>
          <w:lang w:val="ru-RU" w:eastAsia="ru-RU"/>
        </w:rPr>
        <w:drawing>
          <wp:inline distT="0" distB="0" distL="0" distR="0" wp14:anchorId="72CCCE00" wp14:editId="7883868F">
            <wp:extent cx="6629400" cy="3962400"/>
            <wp:effectExtent l="19050" t="19050" r="19050" b="1905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3C15C757" w14:textId="7227F352" w:rsidR="00490517" w:rsidRPr="00653E85" w:rsidRDefault="008D1DF2" w:rsidP="00756056">
      <w:pPr>
        <w:shd w:val="clear" w:color="auto" w:fill="FFFFFF" w:themeFill="background1"/>
        <w:spacing w:line="276" w:lineRule="auto"/>
        <w:jc w:val="both"/>
        <w:rPr>
          <w:rFonts w:asciiTheme="majorHAnsi" w:hAnsiTheme="majorHAnsi" w:cstheme="majorHAnsi"/>
          <w:i/>
          <w:color w:val="000000" w:themeColor="text1"/>
          <w:szCs w:val="20"/>
          <w:lang w:val="ro-MD"/>
        </w:rPr>
      </w:pPr>
      <w:r w:rsidRPr="00FE54EB">
        <w:rPr>
          <w:rFonts w:asciiTheme="majorHAnsi" w:hAnsiTheme="majorHAnsi" w:cstheme="majorHAnsi"/>
          <w:i/>
          <w:color w:val="000000" w:themeColor="text1"/>
          <w:szCs w:val="20"/>
          <w:lang w:val="ro-MD"/>
        </w:rPr>
        <w:t>Figura nr.4</w:t>
      </w:r>
      <w:r w:rsidR="00B16306" w:rsidRPr="00FE54EB">
        <w:rPr>
          <w:rFonts w:asciiTheme="majorHAnsi" w:hAnsiTheme="majorHAnsi" w:cstheme="majorHAnsi"/>
          <w:i/>
          <w:color w:val="000000" w:themeColor="text1"/>
          <w:szCs w:val="20"/>
          <w:lang w:val="ro-MD"/>
        </w:rPr>
        <w:t xml:space="preserve"> </w:t>
      </w:r>
      <w:r w:rsidR="009C33B8" w:rsidRPr="00FE54EB">
        <w:rPr>
          <w:rFonts w:asciiTheme="majorHAnsi" w:hAnsiTheme="majorHAnsi" w:cstheme="majorHAnsi"/>
          <w:i/>
          <w:color w:val="000000" w:themeColor="text1"/>
          <w:szCs w:val="20"/>
          <w:lang w:val="ro-MD"/>
        </w:rPr>
        <w:t xml:space="preserve">Cadrul instituțional </w:t>
      </w:r>
      <w:r w:rsidR="00CB556C" w:rsidRPr="00FE54EB">
        <w:rPr>
          <w:rFonts w:asciiTheme="majorHAnsi" w:hAnsiTheme="majorHAnsi" w:cstheme="majorHAnsi"/>
          <w:i/>
          <w:color w:val="000000" w:themeColor="text1"/>
          <w:szCs w:val="20"/>
          <w:lang w:val="ro-MD"/>
        </w:rPr>
        <w:t>responsabil de ac</w:t>
      </w:r>
      <w:r w:rsidR="009C33B8" w:rsidRPr="00FE54EB">
        <w:rPr>
          <w:rFonts w:asciiTheme="majorHAnsi" w:hAnsiTheme="majorHAnsi" w:cstheme="majorHAnsi"/>
          <w:i/>
          <w:color w:val="000000" w:themeColor="text1"/>
          <w:szCs w:val="20"/>
          <w:lang w:val="ro-MD"/>
        </w:rPr>
        <w:t>ordarea indemnizației de șomaj</w:t>
      </w:r>
    </w:p>
    <w:p w14:paraId="18D7536D" w14:textId="3B46CF94" w:rsidR="00756056" w:rsidRPr="00653E85" w:rsidRDefault="001E46E7" w:rsidP="00756056">
      <w:pPr>
        <w:shd w:val="clear" w:color="auto" w:fill="FFFFFF" w:themeFill="background1"/>
        <w:spacing w:line="276" w:lineRule="auto"/>
        <w:jc w:val="both"/>
        <w:rPr>
          <w:rFonts w:asciiTheme="majorHAnsi" w:hAnsiTheme="majorHAnsi" w:cstheme="majorHAnsi"/>
          <w:color w:val="000000" w:themeColor="text1"/>
          <w:sz w:val="24"/>
          <w:szCs w:val="24"/>
          <w:lang w:val="ro-MD"/>
        </w:rPr>
      </w:pPr>
      <w:r w:rsidRPr="00653E85">
        <w:rPr>
          <w:rFonts w:asciiTheme="majorHAnsi" w:hAnsiTheme="majorHAnsi" w:cstheme="majorHAnsi"/>
          <w:color w:val="000000" w:themeColor="text1"/>
          <w:sz w:val="24"/>
          <w:szCs w:val="24"/>
          <w:lang w:val="ro-MD"/>
        </w:rPr>
        <w:t xml:space="preserve"> </w:t>
      </w:r>
      <w:r w:rsidR="00756056" w:rsidRPr="00653E85">
        <w:rPr>
          <w:rFonts w:asciiTheme="majorHAnsi" w:hAnsiTheme="majorHAnsi" w:cstheme="majorHAnsi"/>
          <w:color w:val="000000" w:themeColor="text1"/>
          <w:sz w:val="24"/>
          <w:szCs w:val="24"/>
          <w:lang w:val="ro-MD"/>
        </w:rPr>
        <w:t xml:space="preserve">Pentru asigurarea corectitudinii stabilirii și achitării indemnizației de șomaj, auditul a solicitat lista agenților economici/angajatorilor care au instituit șomaj ca urmare a restricțiilor impuse în starea de urgență în sănătate publică sau ca urmare a </w:t>
      </w:r>
      <w:r w:rsidR="00756056" w:rsidRPr="00FE54EB">
        <w:rPr>
          <w:rFonts w:asciiTheme="majorHAnsi" w:hAnsiTheme="majorHAnsi" w:cstheme="majorHAnsi"/>
          <w:color w:val="000000" w:themeColor="text1"/>
          <w:sz w:val="24"/>
          <w:szCs w:val="24"/>
          <w:lang w:val="ro-MD"/>
        </w:rPr>
        <w:t>declarării stării de urgență, de asediu și de război. Astfel, CNAS a informat că deține doar informați</w:t>
      </w:r>
      <w:r w:rsidR="00FF4898" w:rsidRPr="00FE54EB">
        <w:rPr>
          <w:rFonts w:asciiTheme="majorHAnsi" w:hAnsiTheme="majorHAnsi" w:cstheme="majorHAnsi"/>
          <w:color w:val="000000" w:themeColor="text1"/>
          <w:sz w:val="24"/>
          <w:szCs w:val="24"/>
          <w:lang w:val="ro-MD"/>
        </w:rPr>
        <w:t>i</w:t>
      </w:r>
      <w:r w:rsidR="00756056" w:rsidRPr="00FE54EB">
        <w:rPr>
          <w:rFonts w:asciiTheme="majorHAnsi" w:hAnsiTheme="majorHAnsi" w:cstheme="majorHAnsi"/>
          <w:color w:val="000000" w:themeColor="text1"/>
          <w:sz w:val="24"/>
          <w:szCs w:val="24"/>
          <w:lang w:val="ro-MD"/>
        </w:rPr>
        <w:t xml:space="preserve"> privind plata către salariați, SFS a menționat că</w:t>
      </w:r>
      <w:r w:rsidR="00FF4898" w:rsidRPr="00FE54EB">
        <w:rPr>
          <w:rFonts w:asciiTheme="majorHAnsi" w:hAnsiTheme="majorHAnsi" w:cstheme="majorHAnsi"/>
          <w:color w:val="000000" w:themeColor="text1"/>
          <w:sz w:val="24"/>
          <w:szCs w:val="24"/>
          <w:lang w:val="ro-MD"/>
        </w:rPr>
        <w:t>,</w:t>
      </w:r>
      <w:r w:rsidR="00756056" w:rsidRPr="00FE54EB">
        <w:rPr>
          <w:rFonts w:asciiTheme="majorHAnsi" w:hAnsiTheme="majorHAnsi" w:cstheme="majorHAnsi"/>
          <w:color w:val="000000" w:themeColor="text1"/>
          <w:sz w:val="24"/>
          <w:szCs w:val="24"/>
          <w:lang w:val="ro-MD"/>
        </w:rPr>
        <w:t xml:space="preserve"> </w:t>
      </w:r>
      <w:r w:rsidR="001F24D6" w:rsidRPr="00FE54EB">
        <w:rPr>
          <w:rFonts w:asciiTheme="majorHAnsi" w:hAnsiTheme="majorHAnsi" w:cstheme="majorHAnsi"/>
          <w:i/>
          <w:color w:val="000000" w:themeColor="text1"/>
          <w:sz w:val="24"/>
          <w:szCs w:val="24"/>
          <w:lang w:val="ro-MD"/>
        </w:rPr>
        <w:t xml:space="preserve">„potrivit prevederilor normative, rolul Serviciului Fiscal de Stat în procedura de acordare a indemnizațiilor pentru șomaj tehnic constă în furnizarea către Casa Națională de Asigurări Sociale în regim automatizat, prin intermediul platformei de interoperabilitate (MConnect), a datelor despre solicitările de acordare a indemnizațiilor pentru șomaj tehnic, depuse de către angajatori prin intermediul ghișeului unic de raportare electronică </w:t>
      </w:r>
      <w:r w:rsidR="001F24D6" w:rsidRPr="00FE54EB">
        <w:rPr>
          <w:rFonts w:asciiTheme="majorHAnsi" w:hAnsiTheme="majorHAnsi" w:cstheme="majorHAnsi"/>
          <w:i/>
          <w:color w:val="000000" w:themeColor="text1"/>
          <w:sz w:val="24"/>
          <w:szCs w:val="24"/>
          <w:u w:val="single"/>
          <w:lang w:val="ro-MD"/>
        </w:rPr>
        <w:t>raportare.gov.md</w:t>
      </w:r>
      <w:r w:rsidR="00E50FC4" w:rsidRPr="00FE54EB">
        <w:rPr>
          <w:rFonts w:asciiTheme="majorHAnsi" w:hAnsiTheme="majorHAnsi" w:cstheme="majorHAnsi"/>
          <w:color w:val="000000" w:themeColor="text1"/>
          <w:sz w:val="24"/>
          <w:szCs w:val="24"/>
          <w:lang w:val="ro-MD"/>
        </w:rPr>
        <w:t>”</w:t>
      </w:r>
      <w:r w:rsidR="00756056" w:rsidRPr="00FE54EB">
        <w:rPr>
          <w:rFonts w:asciiTheme="majorHAnsi" w:hAnsiTheme="majorHAnsi" w:cstheme="majorHAnsi"/>
          <w:color w:val="000000" w:themeColor="text1"/>
          <w:sz w:val="24"/>
          <w:szCs w:val="24"/>
          <w:lang w:val="ro-MD"/>
        </w:rPr>
        <w:t xml:space="preserve">, iar MMPS a redirecționat solicitarea către CTIF, </w:t>
      </w:r>
      <w:r w:rsidR="00E0448B" w:rsidRPr="00FE54EB">
        <w:rPr>
          <w:rFonts w:asciiTheme="majorHAnsi" w:hAnsiTheme="majorHAnsi" w:cstheme="majorHAnsi"/>
          <w:color w:val="000000" w:themeColor="text1"/>
          <w:sz w:val="24"/>
          <w:szCs w:val="24"/>
          <w:lang w:val="ro-MD"/>
        </w:rPr>
        <w:t>ulterior  înaint</w:t>
      </w:r>
      <w:r w:rsidR="00FF4898" w:rsidRPr="00FE54EB">
        <w:rPr>
          <w:rFonts w:asciiTheme="majorHAnsi" w:hAnsiTheme="majorHAnsi" w:cstheme="majorHAnsi"/>
          <w:color w:val="000000" w:themeColor="text1"/>
          <w:sz w:val="24"/>
          <w:szCs w:val="24"/>
          <w:lang w:val="ro-MD"/>
        </w:rPr>
        <w:t>ând-o</w:t>
      </w:r>
      <w:r w:rsidR="00E0448B" w:rsidRPr="00FE54EB">
        <w:rPr>
          <w:rFonts w:asciiTheme="majorHAnsi" w:hAnsiTheme="majorHAnsi" w:cstheme="majorHAnsi"/>
          <w:color w:val="000000" w:themeColor="text1"/>
          <w:sz w:val="24"/>
          <w:szCs w:val="24"/>
          <w:lang w:val="ro-MD"/>
        </w:rPr>
        <w:t xml:space="preserve">  către </w:t>
      </w:r>
      <w:r w:rsidR="00756056" w:rsidRPr="00FE54EB">
        <w:rPr>
          <w:rFonts w:asciiTheme="majorHAnsi" w:hAnsiTheme="majorHAnsi" w:cstheme="majorHAnsi"/>
          <w:color w:val="000000" w:themeColor="text1"/>
          <w:sz w:val="24"/>
          <w:szCs w:val="24"/>
          <w:lang w:val="ro-MD"/>
        </w:rPr>
        <w:t>SFS</w:t>
      </w:r>
      <w:r w:rsidR="00756056" w:rsidRPr="00FE54EB">
        <w:rPr>
          <w:rStyle w:val="a5"/>
          <w:rFonts w:asciiTheme="majorHAnsi" w:hAnsiTheme="majorHAnsi" w:cstheme="majorHAnsi"/>
          <w:color w:val="000000" w:themeColor="text1"/>
          <w:sz w:val="24"/>
          <w:szCs w:val="24"/>
          <w:lang w:val="ro-MD"/>
        </w:rPr>
        <w:footnoteReference w:id="65"/>
      </w:r>
      <w:r w:rsidR="00756056" w:rsidRPr="00FE54EB">
        <w:rPr>
          <w:rFonts w:asciiTheme="majorHAnsi" w:hAnsiTheme="majorHAnsi" w:cstheme="majorHAnsi"/>
          <w:color w:val="000000" w:themeColor="text1"/>
          <w:sz w:val="24"/>
          <w:szCs w:val="24"/>
          <w:lang w:val="ro-MD"/>
        </w:rPr>
        <w:t>.</w:t>
      </w:r>
    </w:p>
    <w:p w14:paraId="4B10DC86" w14:textId="538505D8" w:rsidR="007073CE" w:rsidRPr="00653E85" w:rsidRDefault="007073CE" w:rsidP="00756056">
      <w:pPr>
        <w:shd w:val="clear" w:color="auto" w:fill="FFFFFF" w:themeFill="background1"/>
        <w:spacing w:line="276" w:lineRule="auto"/>
        <w:jc w:val="both"/>
        <w:rPr>
          <w:rFonts w:asciiTheme="majorHAnsi" w:hAnsiTheme="majorHAnsi" w:cstheme="majorHAnsi"/>
          <w:color w:val="000000" w:themeColor="text1"/>
          <w:sz w:val="24"/>
          <w:szCs w:val="24"/>
          <w:lang w:val="ro-MD"/>
        </w:rPr>
      </w:pPr>
      <w:r w:rsidRPr="00653E85">
        <w:rPr>
          <w:rFonts w:asciiTheme="majorHAnsi" w:hAnsiTheme="majorHAnsi" w:cstheme="majorHAnsi"/>
          <w:color w:val="000000" w:themeColor="text1"/>
          <w:sz w:val="24"/>
          <w:szCs w:val="24"/>
          <w:lang w:val="ro-MD"/>
        </w:rPr>
        <w:t xml:space="preserve">Codul </w:t>
      </w:r>
      <w:r w:rsidR="00DD619F" w:rsidRPr="00653E85">
        <w:rPr>
          <w:rFonts w:asciiTheme="majorHAnsi" w:hAnsiTheme="majorHAnsi" w:cstheme="majorHAnsi"/>
          <w:color w:val="000000" w:themeColor="text1"/>
          <w:sz w:val="24"/>
          <w:szCs w:val="24"/>
          <w:lang w:val="ro-MD"/>
        </w:rPr>
        <w:t>m</w:t>
      </w:r>
      <w:r w:rsidRPr="00653E85">
        <w:rPr>
          <w:rFonts w:asciiTheme="majorHAnsi" w:hAnsiTheme="majorHAnsi" w:cstheme="majorHAnsi"/>
          <w:color w:val="000000" w:themeColor="text1"/>
          <w:sz w:val="24"/>
          <w:szCs w:val="24"/>
          <w:lang w:val="ro-MD"/>
        </w:rPr>
        <w:t xml:space="preserve">uncii prevede condițiile de acordare a șomajului tehnic încă de la aprobarea acestuia, </w:t>
      </w:r>
      <w:r w:rsidR="00AE0A05" w:rsidRPr="00653E85">
        <w:rPr>
          <w:rFonts w:asciiTheme="majorHAnsi" w:hAnsiTheme="majorHAnsi" w:cstheme="majorHAnsi"/>
          <w:color w:val="000000" w:themeColor="text1"/>
          <w:sz w:val="24"/>
          <w:szCs w:val="24"/>
          <w:lang w:val="ro-MD"/>
        </w:rPr>
        <w:t xml:space="preserve">însă </w:t>
      </w:r>
      <w:r w:rsidRPr="00653E85">
        <w:rPr>
          <w:rFonts w:asciiTheme="majorHAnsi" w:hAnsiTheme="majorHAnsi" w:cstheme="majorHAnsi"/>
          <w:color w:val="000000" w:themeColor="text1"/>
          <w:sz w:val="24"/>
          <w:szCs w:val="24"/>
          <w:lang w:val="ro-MD"/>
        </w:rPr>
        <w:t>până în prezent, nu a fost atribuit cod</w:t>
      </w:r>
      <w:r w:rsidR="00AE0A05" w:rsidRPr="00653E85">
        <w:rPr>
          <w:rFonts w:asciiTheme="majorHAnsi" w:hAnsiTheme="majorHAnsi" w:cstheme="majorHAnsi"/>
          <w:color w:val="000000" w:themeColor="text1"/>
          <w:sz w:val="24"/>
          <w:szCs w:val="24"/>
          <w:lang w:val="ro-MD"/>
        </w:rPr>
        <w:t>ul</w:t>
      </w:r>
      <w:r w:rsidRPr="00653E85">
        <w:rPr>
          <w:rFonts w:asciiTheme="majorHAnsi" w:hAnsiTheme="majorHAnsi" w:cstheme="majorHAnsi"/>
          <w:color w:val="000000" w:themeColor="text1"/>
          <w:sz w:val="24"/>
          <w:szCs w:val="24"/>
          <w:lang w:val="ro-MD"/>
        </w:rPr>
        <w:t xml:space="preserve"> unic</w:t>
      </w:r>
      <w:r w:rsidRPr="00653E85">
        <w:rPr>
          <w:rStyle w:val="a5"/>
          <w:rFonts w:asciiTheme="majorHAnsi" w:hAnsiTheme="majorHAnsi" w:cstheme="majorHAnsi"/>
          <w:color w:val="000000" w:themeColor="text1"/>
          <w:sz w:val="24"/>
          <w:szCs w:val="24"/>
          <w:lang w:val="ro-MD"/>
        </w:rPr>
        <w:footnoteReference w:id="66"/>
      </w:r>
      <w:r w:rsidRPr="00653E85">
        <w:rPr>
          <w:rFonts w:asciiTheme="majorHAnsi" w:hAnsiTheme="majorHAnsi" w:cstheme="majorHAnsi"/>
          <w:color w:val="000000" w:themeColor="text1"/>
          <w:sz w:val="24"/>
          <w:szCs w:val="24"/>
          <w:lang w:val="ro-MD"/>
        </w:rPr>
        <w:t xml:space="preserve"> de raportare/clasificare aferent acestei prestații. Astfel, la analiza extraselor de cont ale beneficiarilor, s-a constatat că nu există delimitare între activitatea de bază (cod 101) și șomaj</w:t>
      </w:r>
      <w:r w:rsidR="00AE0A05" w:rsidRPr="00653E85">
        <w:rPr>
          <w:rFonts w:asciiTheme="majorHAnsi" w:hAnsiTheme="majorHAnsi" w:cstheme="majorHAnsi"/>
          <w:color w:val="000000" w:themeColor="text1"/>
          <w:sz w:val="24"/>
          <w:szCs w:val="24"/>
          <w:lang w:val="ro-MD"/>
        </w:rPr>
        <w:t>ul</w:t>
      </w:r>
      <w:r w:rsidRPr="00653E85">
        <w:rPr>
          <w:rFonts w:asciiTheme="majorHAnsi" w:hAnsiTheme="majorHAnsi" w:cstheme="majorHAnsi"/>
          <w:color w:val="000000" w:themeColor="text1"/>
          <w:sz w:val="24"/>
          <w:szCs w:val="24"/>
          <w:lang w:val="ro-MD"/>
        </w:rPr>
        <w:t xml:space="preserve"> tehnic, acesta din urma fiind raportat la același cod. Subsecvent, auditul menționează că indemnizația de șomaj tehnic se acordă și se calculează corespunzător numărului de zile în care activitatea salariatului a fost suspendată. Cuantumul indemnizației pentru șomaj tehnic acordate din bugetul de stat este calculat prin înmulțirea numărului de zile libere acordate cu 50% din salariul de bază al salariatului</w:t>
      </w:r>
      <w:r w:rsidR="007F4A81" w:rsidRPr="00653E85">
        <w:rPr>
          <w:rFonts w:asciiTheme="majorHAnsi" w:hAnsiTheme="majorHAnsi" w:cstheme="majorHAnsi"/>
          <w:color w:val="000000" w:themeColor="text1"/>
          <w:sz w:val="24"/>
          <w:szCs w:val="24"/>
          <w:lang w:val="ro-MD"/>
        </w:rPr>
        <w:t>,</w:t>
      </w:r>
      <w:r w:rsidRPr="00653E85">
        <w:rPr>
          <w:rFonts w:asciiTheme="majorHAnsi" w:hAnsiTheme="majorHAnsi" w:cstheme="majorHAnsi"/>
          <w:color w:val="000000" w:themeColor="text1"/>
          <w:sz w:val="24"/>
          <w:szCs w:val="24"/>
          <w:lang w:val="ro-MD"/>
        </w:rPr>
        <w:t xml:space="preserve"> divizat la numărul de zile din luna pentru care este depusă solicitarea, dar nu mai mult de 250 de lei pe zi.</w:t>
      </w:r>
      <w:r w:rsidRPr="00B7675F">
        <w:rPr>
          <w:rFonts w:asciiTheme="majorHAnsi" w:hAnsiTheme="majorHAnsi" w:cstheme="majorHAnsi"/>
          <w:b/>
          <w:color w:val="333333"/>
          <w:lang w:val="ro-MD"/>
        </w:rPr>
        <w:t xml:space="preserve"> </w:t>
      </w:r>
      <w:r w:rsidRPr="00653E85">
        <w:rPr>
          <w:rFonts w:asciiTheme="majorHAnsi" w:hAnsiTheme="majorHAnsi" w:cstheme="majorHAnsi"/>
          <w:color w:val="000000" w:themeColor="text1"/>
          <w:sz w:val="24"/>
          <w:szCs w:val="24"/>
          <w:lang w:val="ro-MD"/>
        </w:rPr>
        <w:t xml:space="preserve">Prin urmare, auditul a fost în imposibilitate de a obține asigurare privind corectitudinea calculării indemnizației din lipsa delimitării în extrasul de cont și </w:t>
      </w:r>
      <w:r w:rsidR="007F4A81" w:rsidRPr="00653E85">
        <w:rPr>
          <w:rFonts w:asciiTheme="majorHAnsi" w:hAnsiTheme="majorHAnsi" w:cstheme="majorHAnsi"/>
          <w:color w:val="000000" w:themeColor="text1"/>
          <w:sz w:val="24"/>
          <w:szCs w:val="24"/>
          <w:lang w:val="ro-MD"/>
        </w:rPr>
        <w:t xml:space="preserve">din cauza </w:t>
      </w:r>
      <w:r w:rsidRPr="00653E85">
        <w:rPr>
          <w:rFonts w:asciiTheme="majorHAnsi" w:hAnsiTheme="majorHAnsi" w:cstheme="majorHAnsi"/>
          <w:color w:val="000000" w:themeColor="text1"/>
          <w:sz w:val="24"/>
          <w:szCs w:val="24"/>
          <w:lang w:val="ro-MD"/>
        </w:rPr>
        <w:t>neprezent</w:t>
      </w:r>
      <w:r w:rsidR="007F4A81" w:rsidRPr="00653E85">
        <w:rPr>
          <w:rFonts w:asciiTheme="majorHAnsi" w:hAnsiTheme="majorHAnsi" w:cstheme="majorHAnsi"/>
          <w:color w:val="000000" w:themeColor="text1"/>
          <w:sz w:val="24"/>
          <w:szCs w:val="24"/>
          <w:lang w:val="ro-MD"/>
        </w:rPr>
        <w:t>ării</w:t>
      </w:r>
      <w:r w:rsidRPr="00653E85">
        <w:rPr>
          <w:rFonts w:asciiTheme="majorHAnsi" w:hAnsiTheme="majorHAnsi" w:cstheme="majorHAnsi"/>
          <w:color w:val="000000" w:themeColor="text1"/>
          <w:sz w:val="24"/>
          <w:szCs w:val="24"/>
          <w:lang w:val="ro-MD"/>
        </w:rPr>
        <w:t xml:space="preserve"> informației.</w:t>
      </w:r>
    </w:p>
    <w:p w14:paraId="440D6704" w14:textId="313E23E9" w:rsidR="00D30FC7" w:rsidRPr="00653E85" w:rsidRDefault="00D30FC7" w:rsidP="00756056">
      <w:pPr>
        <w:shd w:val="clear" w:color="auto" w:fill="FFFFFF" w:themeFill="background1"/>
        <w:spacing w:line="276" w:lineRule="auto"/>
        <w:jc w:val="both"/>
        <w:rPr>
          <w:rFonts w:asciiTheme="majorHAnsi" w:hAnsiTheme="majorHAnsi" w:cstheme="majorHAnsi"/>
          <w:b/>
          <w:i/>
          <w:color w:val="000000" w:themeColor="text1"/>
          <w:sz w:val="24"/>
          <w:szCs w:val="24"/>
          <w:lang w:val="ro-MD"/>
        </w:rPr>
      </w:pPr>
      <w:r w:rsidRPr="00653E85">
        <w:rPr>
          <w:rFonts w:asciiTheme="majorHAnsi" w:hAnsiTheme="majorHAnsi" w:cstheme="majorHAnsi"/>
          <w:b/>
          <w:i/>
          <w:color w:val="000000" w:themeColor="text1"/>
          <w:sz w:val="24"/>
          <w:szCs w:val="24"/>
          <w:lang w:val="ro-MD"/>
        </w:rPr>
        <w:t>Menționăm că, după prezentarea proiectul</w:t>
      </w:r>
      <w:r w:rsidR="007F4A81" w:rsidRPr="00653E85">
        <w:rPr>
          <w:rFonts w:asciiTheme="majorHAnsi" w:hAnsiTheme="majorHAnsi" w:cstheme="majorHAnsi"/>
          <w:b/>
          <w:i/>
          <w:color w:val="000000" w:themeColor="text1"/>
          <w:sz w:val="24"/>
          <w:szCs w:val="24"/>
          <w:lang w:val="ro-MD"/>
        </w:rPr>
        <w:t>ui</w:t>
      </w:r>
      <w:r w:rsidRPr="00653E85">
        <w:rPr>
          <w:rFonts w:asciiTheme="majorHAnsi" w:hAnsiTheme="majorHAnsi" w:cstheme="majorHAnsi"/>
          <w:b/>
          <w:i/>
          <w:color w:val="000000" w:themeColor="text1"/>
          <w:sz w:val="24"/>
          <w:szCs w:val="24"/>
          <w:lang w:val="ro-MD"/>
        </w:rPr>
        <w:t xml:space="preserve"> Raportului de audit, CTIF a prezentat informațiile (17.05.2023, ora 21:5</w:t>
      </w:r>
      <w:r w:rsidR="00A32883" w:rsidRPr="00653E85">
        <w:rPr>
          <w:rFonts w:asciiTheme="majorHAnsi" w:hAnsiTheme="majorHAnsi" w:cstheme="majorHAnsi"/>
          <w:b/>
          <w:i/>
          <w:color w:val="000000" w:themeColor="text1"/>
          <w:sz w:val="24"/>
          <w:szCs w:val="24"/>
          <w:lang w:val="ro-MD"/>
        </w:rPr>
        <w:t>9</w:t>
      </w:r>
      <w:r w:rsidRPr="00653E85">
        <w:rPr>
          <w:rFonts w:asciiTheme="majorHAnsi" w:hAnsiTheme="majorHAnsi" w:cstheme="majorHAnsi"/>
          <w:b/>
          <w:i/>
          <w:color w:val="000000" w:themeColor="text1"/>
          <w:sz w:val="24"/>
          <w:szCs w:val="24"/>
          <w:lang w:val="ro-MD"/>
        </w:rPr>
        <w:t xml:space="preserve">, solicitarea fiind transmisă la 21.03.2023) privind lista agenților economici care au solicitat indemnizații de șomaj tehnic. Totodată, reieșind din normele legale ce reglementează activitatea Curții de Conturi, raportul auditului asupra Raportului Guvernului privind executarea BASS urmează a fi prezentat Parlamentului obligatoriu până la 01.06.2023. Astfel, echipa de audit nu a dispus de resurse privind analiza </w:t>
      </w:r>
      <w:r w:rsidR="007073CE" w:rsidRPr="00653E85">
        <w:rPr>
          <w:rFonts w:asciiTheme="majorHAnsi" w:hAnsiTheme="majorHAnsi" w:cstheme="majorHAnsi"/>
          <w:b/>
          <w:i/>
          <w:color w:val="000000" w:themeColor="text1"/>
          <w:sz w:val="24"/>
          <w:szCs w:val="24"/>
          <w:lang w:val="ro-MD"/>
        </w:rPr>
        <w:t xml:space="preserve">și evaluarea </w:t>
      </w:r>
      <w:r w:rsidRPr="00653E85">
        <w:rPr>
          <w:rFonts w:asciiTheme="majorHAnsi" w:hAnsiTheme="majorHAnsi" w:cstheme="majorHAnsi"/>
          <w:b/>
          <w:i/>
          <w:color w:val="000000" w:themeColor="text1"/>
          <w:sz w:val="24"/>
          <w:szCs w:val="24"/>
          <w:lang w:val="ro-MD"/>
        </w:rPr>
        <w:t>informațiilor</w:t>
      </w:r>
      <w:r w:rsidR="007073CE" w:rsidRPr="00653E85">
        <w:rPr>
          <w:rFonts w:asciiTheme="majorHAnsi" w:hAnsiTheme="majorHAnsi" w:cstheme="majorHAnsi"/>
          <w:b/>
          <w:i/>
          <w:color w:val="000000" w:themeColor="text1"/>
          <w:sz w:val="24"/>
          <w:szCs w:val="24"/>
          <w:lang w:val="ro-MD"/>
        </w:rPr>
        <w:t xml:space="preserve"> prezentate tardiv</w:t>
      </w:r>
      <w:r w:rsidRPr="00653E85">
        <w:rPr>
          <w:rFonts w:asciiTheme="majorHAnsi" w:hAnsiTheme="majorHAnsi" w:cstheme="majorHAnsi"/>
          <w:b/>
          <w:i/>
          <w:color w:val="000000" w:themeColor="text1"/>
          <w:sz w:val="24"/>
          <w:szCs w:val="24"/>
          <w:lang w:val="ro-MD"/>
        </w:rPr>
        <w:t xml:space="preserve">. Totodată, evaluările preliminare ale auditului </w:t>
      </w:r>
      <w:r w:rsidR="007073CE" w:rsidRPr="00653E85">
        <w:rPr>
          <w:rFonts w:asciiTheme="majorHAnsi" w:hAnsiTheme="majorHAnsi" w:cstheme="majorHAnsi"/>
          <w:b/>
          <w:i/>
          <w:color w:val="000000" w:themeColor="text1"/>
          <w:sz w:val="24"/>
          <w:szCs w:val="24"/>
          <w:lang w:val="ro-MD"/>
        </w:rPr>
        <w:t>au constatat</w:t>
      </w:r>
      <w:r w:rsidRPr="00653E85">
        <w:rPr>
          <w:rFonts w:asciiTheme="majorHAnsi" w:hAnsiTheme="majorHAnsi" w:cstheme="majorHAnsi"/>
          <w:b/>
          <w:i/>
          <w:color w:val="000000" w:themeColor="text1"/>
          <w:sz w:val="24"/>
          <w:szCs w:val="24"/>
          <w:lang w:val="ro-MD"/>
        </w:rPr>
        <w:t xml:space="preserve"> </w:t>
      </w:r>
      <w:r w:rsidR="007073CE" w:rsidRPr="00653E85">
        <w:rPr>
          <w:rFonts w:asciiTheme="majorHAnsi" w:hAnsiTheme="majorHAnsi" w:cstheme="majorHAnsi"/>
          <w:b/>
          <w:i/>
          <w:color w:val="000000" w:themeColor="text1"/>
          <w:sz w:val="24"/>
          <w:szCs w:val="24"/>
          <w:lang w:val="ro-MD"/>
        </w:rPr>
        <w:t>pentru aceste indemnizații</w:t>
      </w:r>
      <w:r w:rsidRPr="00653E85">
        <w:rPr>
          <w:rFonts w:asciiTheme="majorHAnsi" w:hAnsiTheme="majorHAnsi" w:cstheme="majorHAnsi"/>
          <w:b/>
          <w:i/>
          <w:color w:val="000000" w:themeColor="text1"/>
          <w:sz w:val="24"/>
          <w:szCs w:val="24"/>
          <w:lang w:val="ro-MD"/>
        </w:rPr>
        <w:t xml:space="preserve"> acordate în 3 luni, </w:t>
      </w:r>
      <w:r w:rsidR="007073CE" w:rsidRPr="00653E85">
        <w:rPr>
          <w:rFonts w:asciiTheme="majorHAnsi" w:hAnsiTheme="majorHAnsi" w:cstheme="majorHAnsi"/>
          <w:b/>
          <w:i/>
          <w:color w:val="000000" w:themeColor="text1"/>
          <w:sz w:val="24"/>
          <w:szCs w:val="24"/>
          <w:lang w:val="ro-MD"/>
        </w:rPr>
        <w:t xml:space="preserve">supraplăți pentru 100 </w:t>
      </w:r>
      <w:r w:rsidR="007F4A81" w:rsidRPr="00653E85">
        <w:rPr>
          <w:rFonts w:asciiTheme="majorHAnsi" w:hAnsiTheme="majorHAnsi" w:cstheme="majorHAnsi"/>
          <w:b/>
          <w:i/>
          <w:color w:val="000000" w:themeColor="text1"/>
          <w:sz w:val="24"/>
          <w:szCs w:val="24"/>
          <w:lang w:val="ro-MD"/>
        </w:rPr>
        <w:t xml:space="preserve">de </w:t>
      </w:r>
      <w:r w:rsidR="007073CE" w:rsidRPr="00653E85">
        <w:rPr>
          <w:rFonts w:asciiTheme="majorHAnsi" w:hAnsiTheme="majorHAnsi" w:cstheme="majorHAnsi"/>
          <w:b/>
          <w:i/>
          <w:color w:val="000000" w:themeColor="text1"/>
          <w:sz w:val="24"/>
          <w:szCs w:val="24"/>
          <w:lang w:val="ro-MD"/>
        </w:rPr>
        <w:t>beneficiari</w:t>
      </w:r>
      <w:r w:rsidR="007F4A81" w:rsidRPr="00653E85">
        <w:rPr>
          <w:rFonts w:asciiTheme="majorHAnsi" w:hAnsiTheme="majorHAnsi" w:cstheme="majorHAnsi"/>
          <w:b/>
          <w:i/>
          <w:color w:val="000000" w:themeColor="text1"/>
          <w:sz w:val="24"/>
          <w:szCs w:val="24"/>
          <w:lang w:val="ro-MD"/>
        </w:rPr>
        <w:t>,</w:t>
      </w:r>
      <w:r w:rsidR="007073CE" w:rsidRPr="00653E85">
        <w:rPr>
          <w:rFonts w:asciiTheme="majorHAnsi" w:hAnsiTheme="majorHAnsi" w:cstheme="majorHAnsi"/>
          <w:b/>
          <w:i/>
          <w:color w:val="000000" w:themeColor="text1"/>
          <w:sz w:val="24"/>
          <w:szCs w:val="24"/>
          <w:lang w:val="ro-MD"/>
        </w:rPr>
        <w:t xml:space="preserve"> ceea ce indică necesitatea elaborării și aprobării mecanismelor de identificare și control a</w:t>
      </w:r>
      <w:r w:rsidR="007F4A81" w:rsidRPr="00653E85">
        <w:rPr>
          <w:rFonts w:asciiTheme="majorHAnsi" w:hAnsiTheme="majorHAnsi" w:cstheme="majorHAnsi"/>
          <w:b/>
          <w:i/>
          <w:color w:val="000000" w:themeColor="text1"/>
          <w:sz w:val="24"/>
          <w:szCs w:val="24"/>
          <w:lang w:val="ro-MD"/>
        </w:rPr>
        <w:t>l</w:t>
      </w:r>
      <w:r w:rsidR="007073CE" w:rsidRPr="00653E85">
        <w:rPr>
          <w:rFonts w:asciiTheme="majorHAnsi" w:hAnsiTheme="majorHAnsi" w:cstheme="majorHAnsi"/>
          <w:b/>
          <w:i/>
          <w:color w:val="000000" w:themeColor="text1"/>
          <w:sz w:val="24"/>
          <w:szCs w:val="24"/>
          <w:lang w:val="ro-MD"/>
        </w:rPr>
        <w:t xml:space="preserve"> solicitărilor indemnizației de șomaj tehnic finanțat din bugetul de stat, în scopul asigurării conformității acordării și raportării veridice.</w:t>
      </w:r>
    </w:p>
    <w:p w14:paraId="2B5FEE08" w14:textId="7B1BFE08" w:rsidR="00756056" w:rsidRPr="00B7675F" w:rsidRDefault="00756056" w:rsidP="00756056">
      <w:pPr>
        <w:shd w:val="clear" w:color="auto" w:fill="FFFFFF" w:themeFill="background1"/>
        <w:spacing w:line="276" w:lineRule="auto"/>
        <w:jc w:val="both"/>
        <w:rPr>
          <w:rFonts w:asciiTheme="majorHAnsi" w:eastAsia="Times New Roman" w:hAnsiTheme="majorHAnsi" w:cstheme="majorHAnsi"/>
          <w:color w:val="000000" w:themeColor="text1"/>
          <w:sz w:val="24"/>
          <w:szCs w:val="24"/>
          <w:lang w:val="ro-MD"/>
        </w:rPr>
      </w:pPr>
      <w:r w:rsidRPr="00653E85">
        <w:rPr>
          <w:rFonts w:asciiTheme="majorHAnsi" w:hAnsiTheme="majorHAnsi" w:cstheme="majorHAnsi"/>
          <w:color w:val="000000" w:themeColor="text1"/>
          <w:sz w:val="24"/>
          <w:szCs w:val="24"/>
          <w:lang w:val="ro-MD"/>
        </w:rPr>
        <w:t>Concomitent, precizăm că</w:t>
      </w:r>
      <w:r w:rsidR="007F4A81" w:rsidRPr="00653E85">
        <w:rPr>
          <w:rFonts w:asciiTheme="majorHAnsi" w:hAnsiTheme="majorHAnsi" w:cstheme="majorHAnsi"/>
          <w:color w:val="000000" w:themeColor="text1"/>
          <w:sz w:val="24"/>
          <w:szCs w:val="24"/>
          <w:lang w:val="ro-MD"/>
        </w:rPr>
        <w:t>,</w:t>
      </w:r>
      <w:r w:rsidRPr="00653E85">
        <w:rPr>
          <w:rFonts w:asciiTheme="majorHAnsi" w:hAnsiTheme="majorHAnsi" w:cstheme="majorHAnsi"/>
          <w:color w:val="000000" w:themeColor="text1"/>
          <w:sz w:val="24"/>
          <w:szCs w:val="24"/>
          <w:lang w:val="ro-MD"/>
        </w:rPr>
        <w:t xml:space="preserve"> deși cadrul normativ a împuternicit</w:t>
      </w:r>
      <w:r w:rsidR="00CB556C" w:rsidRPr="00653E85">
        <w:rPr>
          <w:rFonts w:asciiTheme="majorHAnsi" w:hAnsiTheme="majorHAnsi" w:cstheme="majorHAnsi"/>
          <w:color w:val="000000" w:themeColor="text1"/>
          <w:sz w:val="24"/>
          <w:szCs w:val="24"/>
          <w:lang w:val="ro-MD"/>
        </w:rPr>
        <w:t xml:space="preserve"> Inspectoratul de Stat  al Muncii</w:t>
      </w:r>
      <w:r w:rsidRPr="00653E85">
        <w:rPr>
          <w:rFonts w:asciiTheme="majorHAnsi" w:hAnsiTheme="majorHAnsi" w:cstheme="majorHAnsi"/>
          <w:color w:val="000000" w:themeColor="text1"/>
          <w:sz w:val="24"/>
          <w:szCs w:val="24"/>
          <w:lang w:val="ro-MD"/>
        </w:rPr>
        <w:t xml:space="preserve"> </w:t>
      </w:r>
      <w:r w:rsidR="00925B5B">
        <w:rPr>
          <w:rFonts w:asciiTheme="majorHAnsi" w:hAnsiTheme="majorHAnsi" w:cstheme="majorHAnsi"/>
          <w:color w:val="000000" w:themeColor="text1"/>
          <w:sz w:val="24"/>
          <w:szCs w:val="24"/>
          <w:lang w:val="ro-MD"/>
        </w:rPr>
        <w:t>cu atribuții de control</w:t>
      </w:r>
      <w:r w:rsidRPr="00653E85">
        <w:rPr>
          <w:rFonts w:asciiTheme="majorHAnsi" w:hAnsiTheme="majorHAnsi" w:cstheme="majorHAnsi"/>
          <w:color w:val="000000" w:themeColor="text1"/>
          <w:sz w:val="24"/>
          <w:szCs w:val="24"/>
          <w:lang w:val="ro-MD"/>
        </w:rPr>
        <w:t>, la solicitarea auditului privind acțiunile realizate</w:t>
      </w:r>
      <w:r w:rsidR="007F4A81" w:rsidRPr="00653E85">
        <w:rPr>
          <w:rFonts w:asciiTheme="majorHAnsi" w:hAnsiTheme="majorHAnsi" w:cstheme="majorHAnsi"/>
          <w:color w:val="000000" w:themeColor="text1"/>
          <w:sz w:val="24"/>
          <w:szCs w:val="24"/>
          <w:lang w:val="ro-MD"/>
        </w:rPr>
        <w:t>,</w:t>
      </w:r>
      <w:r w:rsidRPr="00653E85">
        <w:rPr>
          <w:rFonts w:asciiTheme="majorHAnsi" w:hAnsiTheme="majorHAnsi" w:cstheme="majorHAnsi"/>
          <w:color w:val="000000" w:themeColor="text1"/>
          <w:sz w:val="24"/>
          <w:szCs w:val="24"/>
          <w:lang w:val="ro-MD"/>
        </w:rPr>
        <w:t xml:space="preserve"> s-a constatat că </w:t>
      </w:r>
      <w:r w:rsidR="007F4A81" w:rsidRPr="00653E85">
        <w:rPr>
          <w:rFonts w:asciiTheme="majorHAnsi" w:hAnsiTheme="majorHAnsi" w:cstheme="majorHAnsi"/>
          <w:color w:val="000000" w:themeColor="text1"/>
          <w:sz w:val="24"/>
          <w:szCs w:val="24"/>
          <w:lang w:val="ro-MD"/>
        </w:rPr>
        <w:t xml:space="preserve">acestea </w:t>
      </w:r>
      <w:r w:rsidRPr="00653E85">
        <w:rPr>
          <w:rFonts w:asciiTheme="majorHAnsi" w:hAnsiTheme="majorHAnsi" w:cstheme="majorHAnsi"/>
          <w:color w:val="000000" w:themeColor="text1"/>
          <w:sz w:val="24"/>
          <w:szCs w:val="24"/>
          <w:lang w:val="ro-MD"/>
        </w:rPr>
        <w:t>nu au realizat niciun control în acest sens. Astfel, ISM a informat</w:t>
      </w:r>
      <w:r w:rsidR="007F4A81" w:rsidRPr="00653E85">
        <w:rPr>
          <w:rFonts w:asciiTheme="majorHAnsi" w:hAnsiTheme="majorHAnsi" w:cstheme="majorHAnsi"/>
          <w:color w:val="000000" w:themeColor="text1"/>
          <w:sz w:val="24"/>
          <w:szCs w:val="24"/>
          <w:lang w:val="ro-MD"/>
        </w:rPr>
        <w:t>:</w:t>
      </w:r>
      <w:r w:rsidRPr="00653E85">
        <w:rPr>
          <w:rFonts w:asciiTheme="majorHAnsi" w:hAnsiTheme="majorHAnsi" w:cstheme="majorHAnsi"/>
          <w:color w:val="000000" w:themeColor="text1"/>
          <w:sz w:val="24"/>
          <w:szCs w:val="24"/>
          <w:lang w:val="ro-MD"/>
        </w:rPr>
        <w:t xml:space="preserve"> „</w:t>
      </w:r>
      <w:r w:rsidRPr="00653E85">
        <w:rPr>
          <w:rFonts w:asciiTheme="majorHAnsi" w:hAnsiTheme="majorHAnsi" w:cstheme="majorHAnsi"/>
          <w:i/>
          <w:color w:val="000000" w:themeColor="text1"/>
          <w:sz w:val="24"/>
          <w:szCs w:val="24"/>
          <w:lang w:val="ro-MD"/>
        </w:rPr>
        <w:t>Inspectoratul de Stat al Muncii efectuează controale în vederea respectării legislației muncii numai în baza planului controalelor întocmit anual pentru anul următor</w:t>
      </w:r>
      <w:r w:rsidRPr="00B7675F">
        <w:rPr>
          <w:rFonts w:asciiTheme="majorHAnsi" w:eastAsia="Times New Roman" w:hAnsiTheme="majorHAnsi" w:cstheme="majorHAnsi"/>
          <w:i/>
          <w:color w:val="000000" w:themeColor="text1"/>
          <w:sz w:val="24"/>
          <w:szCs w:val="24"/>
          <w:lang w:val="ro-MD"/>
        </w:rPr>
        <w:t>...</w:t>
      </w:r>
      <w:r w:rsidRPr="00B7675F">
        <w:rPr>
          <w:rFonts w:asciiTheme="majorHAnsi" w:eastAsia="Times New Roman" w:hAnsiTheme="majorHAnsi" w:cstheme="majorHAnsi"/>
          <w:color w:val="000000" w:themeColor="text1"/>
          <w:sz w:val="24"/>
          <w:szCs w:val="24"/>
          <w:lang w:val="ro-MD"/>
        </w:rPr>
        <w:t xml:space="preserve"> </w:t>
      </w:r>
      <w:r w:rsidRPr="00B7675F">
        <w:rPr>
          <w:rFonts w:asciiTheme="majorHAnsi" w:eastAsia="Times New Roman" w:hAnsiTheme="majorHAnsi" w:cstheme="majorHAnsi"/>
          <w:i/>
          <w:color w:val="000000" w:themeColor="text1"/>
          <w:sz w:val="24"/>
          <w:szCs w:val="24"/>
          <w:lang w:val="ro-MD"/>
        </w:rPr>
        <w:t>Totodată, plângerile și pe</w:t>
      </w:r>
      <w:r w:rsidR="00727823" w:rsidRPr="00B7675F">
        <w:rPr>
          <w:rFonts w:asciiTheme="majorHAnsi" w:eastAsia="Times New Roman" w:hAnsiTheme="majorHAnsi" w:cstheme="majorHAnsi"/>
          <w:i/>
          <w:color w:val="000000" w:themeColor="text1"/>
          <w:sz w:val="24"/>
          <w:szCs w:val="24"/>
          <w:lang w:val="ro-MD"/>
        </w:rPr>
        <w:t>t</w:t>
      </w:r>
      <w:r w:rsidRPr="00B7675F">
        <w:rPr>
          <w:rFonts w:asciiTheme="majorHAnsi" w:eastAsia="Times New Roman" w:hAnsiTheme="majorHAnsi" w:cstheme="majorHAnsi"/>
          <w:i/>
          <w:color w:val="000000" w:themeColor="text1"/>
          <w:sz w:val="24"/>
          <w:szCs w:val="24"/>
          <w:lang w:val="ro-MD"/>
        </w:rPr>
        <w:t>ițiile, inclusiv sesizările sau solicitările organelor de drept sau ale altor organe de stat, pot const</w:t>
      </w:r>
      <w:r w:rsidR="00727823" w:rsidRPr="00B7675F">
        <w:rPr>
          <w:rFonts w:asciiTheme="majorHAnsi" w:eastAsia="Times New Roman" w:hAnsiTheme="majorHAnsi" w:cstheme="majorHAnsi"/>
          <w:i/>
          <w:color w:val="000000" w:themeColor="text1"/>
          <w:sz w:val="24"/>
          <w:szCs w:val="24"/>
          <w:lang w:val="ro-MD"/>
        </w:rPr>
        <w:t>it</w:t>
      </w:r>
      <w:r w:rsidRPr="00B7675F">
        <w:rPr>
          <w:rFonts w:asciiTheme="majorHAnsi" w:eastAsia="Times New Roman" w:hAnsiTheme="majorHAnsi" w:cstheme="majorHAnsi"/>
          <w:i/>
          <w:color w:val="000000" w:themeColor="text1"/>
          <w:sz w:val="24"/>
          <w:szCs w:val="24"/>
          <w:lang w:val="ro-MD"/>
        </w:rPr>
        <w:t xml:space="preserve">ui temei pentru un control inopinat doar dacă indică în mod rezonabil asupra unei posibile încălcări care în mod iminent provoacă prejudicii și doar dacă aceste circumstanțe și informații sunt probate în  vreun fel.... în cadrul controalelor planificate și inopinate efectuate în perioada 2022 cazuri de declarare/plângeri a șomajului tehnic de către angajator ca urmare a declarării stării de urgență, de asediu și de război și a restricțiilor impuse în starea de urgență în sănătate publică, nu au fost constatate”. </w:t>
      </w:r>
      <w:r w:rsidRPr="00B7675F">
        <w:rPr>
          <w:rFonts w:asciiTheme="majorHAnsi" w:eastAsia="Times New Roman" w:hAnsiTheme="majorHAnsi" w:cstheme="majorHAnsi"/>
          <w:color w:val="000000" w:themeColor="text1"/>
          <w:sz w:val="24"/>
          <w:szCs w:val="24"/>
          <w:lang w:val="ro-MD"/>
        </w:rPr>
        <w:t>Concomitent, SFS a</w:t>
      </w:r>
      <w:r w:rsidRPr="00653E85">
        <w:rPr>
          <w:rFonts w:asciiTheme="majorHAnsi" w:hAnsiTheme="majorHAnsi" w:cstheme="majorHAnsi"/>
          <w:color w:val="000000" w:themeColor="text1"/>
          <w:sz w:val="24"/>
          <w:szCs w:val="24"/>
          <w:lang w:val="ro-MD"/>
        </w:rPr>
        <w:t xml:space="preserve"> informat că</w:t>
      </w:r>
      <w:r w:rsidRPr="00653E85">
        <w:rPr>
          <w:color w:val="000000" w:themeColor="text1"/>
          <w:lang w:val="ro-MD"/>
        </w:rPr>
        <w:t xml:space="preserve"> </w:t>
      </w:r>
      <w:r w:rsidRPr="00B7675F">
        <w:rPr>
          <w:rFonts w:asciiTheme="majorHAnsi" w:eastAsia="Times New Roman" w:hAnsiTheme="majorHAnsi" w:cstheme="majorHAnsi"/>
          <w:i/>
          <w:color w:val="000000" w:themeColor="text1"/>
          <w:sz w:val="24"/>
          <w:szCs w:val="24"/>
          <w:lang w:val="ro-MD"/>
        </w:rPr>
        <w:t xml:space="preserve">„nu au parvenit sesizări/constatări din partea Inspectoratului de Stat </w:t>
      </w:r>
      <w:r w:rsidRPr="0038225D">
        <w:rPr>
          <w:rFonts w:asciiTheme="majorHAnsi" w:eastAsia="Times New Roman" w:hAnsiTheme="majorHAnsi" w:cstheme="majorHAnsi"/>
          <w:i/>
          <w:color w:val="000000" w:themeColor="text1"/>
          <w:sz w:val="24"/>
          <w:szCs w:val="24"/>
          <w:lang w:val="ro-MD"/>
        </w:rPr>
        <w:t>al Muncii, aferente indemnizațiilor acordate fără temei legal sau în baza datelor false indicate de angajator”.</w:t>
      </w:r>
    </w:p>
    <w:p w14:paraId="1A3B7230" w14:textId="4B215EED" w:rsidR="00756056" w:rsidRPr="00B7675F" w:rsidRDefault="00756056" w:rsidP="00756056">
      <w:pPr>
        <w:shd w:val="clear" w:color="auto" w:fill="FFFFFF" w:themeFill="background1"/>
        <w:tabs>
          <w:tab w:val="left" w:pos="851"/>
        </w:tabs>
        <w:spacing w:line="276" w:lineRule="auto"/>
        <w:jc w:val="both"/>
        <w:rPr>
          <w:rFonts w:asciiTheme="majorHAnsi" w:eastAsia="Times New Roman" w:hAnsiTheme="majorHAnsi" w:cstheme="majorHAnsi"/>
          <w:color w:val="000000" w:themeColor="text1"/>
          <w:sz w:val="24"/>
          <w:szCs w:val="24"/>
          <w:lang w:val="ro-MD"/>
        </w:rPr>
      </w:pPr>
      <w:r w:rsidRPr="00B7675F">
        <w:rPr>
          <w:rFonts w:asciiTheme="majorHAnsi" w:eastAsia="Times New Roman" w:hAnsiTheme="majorHAnsi" w:cstheme="majorHAnsi"/>
          <w:color w:val="000000" w:themeColor="text1"/>
          <w:sz w:val="24"/>
          <w:szCs w:val="24"/>
          <w:lang w:val="ro-MD"/>
        </w:rPr>
        <w:t>Prin urmare, lipsa informațiilor complete, neprezentarea acestora de către instituțiile implicate, lipsa controalelor</w:t>
      </w:r>
      <w:r w:rsidR="007F4A81" w:rsidRPr="00B7675F">
        <w:rPr>
          <w:rFonts w:asciiTheme="majorHAnsi" w:eastAsia="Times New Roman" w:hAnsiTheme="majorHAnsi" w:cstheme="majorHAnsi"/>
          <w:color w:val="000000" w:themeColor="text1"/>
          <w:sz w:val="24"/>
          <w:szCs w:val="24"/>
          <w:lang w:val="ro-MD"/>
        </w:rPr>
        <w:t>,</w:t>
      </w:r>
      <w:r w:rsidRPr="00B7675F">
        <w:rPr>
          <w:rFonts w:asciiTheme="majorHAnsi" w:eastAsia="Times New Roman" w:hAnsiTheme="majorHAnsi" w:cstheme="majorHAnsi"/>
          <w:color w:val="000000" w:themeColor="text1"/>
          <w:sz w:val="24"/>
          <w:szCs w:val="24"/>
          <w:lang w:val="ro-MD"/>
        </w:rPr>
        <w:t xml:space="preserve"> precum și lipsa delimitării raportării indemnizației de activitatea de bază a</w:t>
      </w:r>
      <w:r w:rsidR="007F4A81" w:rsidRPr="00B7675F">
        <w:rPr>
          <w:rFonts w:asciiTheme="majorHAnsi" w:eastAsia="Times New Roman" w:hAnsiTheme="majorHAnsi" w:cstheme="majorHAnsi"/>
          <w:color w:val="000000" w:themeColor="text1"/>
          <w:sz w:val="24"/>
          <w:szCs w:val="24"/>
          <w:lang w:val="ro-MD"/>
        </w:rPr>
        <w:t>u</w:t>
      </w:r>
      <w:r w:rsidRPr="00B7675F">
        <w:rPr>
          <w:rFonts w:asciiTheme="majorHAnsi" w:eastAsia="Times New Roman" w:hAnsiTheme="majorHAnsi" w:cstheme="majorHAnsi"/>
          <w:color w:val="000000" w:themeColor="text1"/>
          <w:sz w:val="24"/>
          <w:szCs w:val="24"/>
          <w:lang w:val="ro-MD"/>
        </w:rPr>
        <w:t xml:space="preserve"> determinat imposibilitatea/limitarea auditului în verificare</w:t>
      </w:r>
      <w:r w:rsidR="007F4A81" w:rsidRPr="00B7675F">
        <w:rPr>
          <w:rFonts w:asciiTheme="majorHAnsi" w:eastAsia="Times New Roman" w:hAnsiTheme="majorHAnsi" w:cstheme="majorHAnsi"/>
          <w:color w:val="000000" w:themeColor="text1"/>
          <w:sz w:val="24"/>
          <w:szCs w:val="24"/>
          <w:lang w:val="ro-MD"/>
        </w:rPr>
        <w:t>a</w:t>
      </w:r>
      <w:r w:rsidRPr="00B7675F">
        <w:rPr>
          <w:rFonts w:asciiTheme="majorHAnsi" w:eastAsia="Times New Roman" w:hAnsiTheme="majorHAnsi" w:cstheme="majorHAnsi"/>
          <w:color w:val="000000" w:themeColor="text1"/>
          <w:sz w:val="24"/>
          <w:szCs w:val="24"/>
          <w:lang w:val="ro-MD"/>
        </w:rPr>
        <w:t xml:space="preserve"> corectitudinii: (i) determinării salariului de bază; (ii)  stabilirii cuantumului indemnizației de șomaj tehnic; (iii) perioadei de acordare a indemnizației de șomaj tehnic, pentru obținerea asigurării rezonabil</w:t>
      </w:r>
      <w:r w:rsidR="007F4A81" w:rsidRPr="00B7675F">
        <w:rPr>
          <w:rFonts w:asciiTheme="majorHAnsi" w:eastAsia="Times New Roman" w:hAnsiTheme="majorHAnsi" w:cstheme="majorHAnsi"/>
          <w:color w:val="000000" w:themeColor="text1"/>
          <w:sz w:val="24"/>
          <w:szCs w:val="24"/>
          <w:lang w:val="ro-MD"/>
        </w:rPr>
        <w:t>e</w:t>
      </w:r>
      <w:r w:rsidRPr="00B7675F">
        <w:rPr>
          <w:rFonts w:asciiTheme="majorHAnsi" w:eastAsia="Times New Roman" w:hAnsiTheme="majorHAnsi" w:cstheme="majorHAnsi"/>
          <w:color w:val="000000" w:themeColor="text1"/>
          <w:sz w:val="24"/>
          <w:szCs w:val="24"/>
          <w:lang w:val="ro-MD"/>
        </w:rPr>
        <w:t xml:space="preserve"> că beneficiarul întrunește toate condițiile de eligibilitate și că mărimea prestației sociale calculate corespunde conform cadrului legal. Astfel, auditul </w:t>
      </w:r>
      <w:r w:rsidR="00727823" w:rsidRPr="00B7675F">
        <w:rPr>
          <w:rFonts w:asciiTheme="majorHAnsi" w:eastAsia="Times New Roman" w:hAnsiTheme="majorHAnsi" w:cstheme="majorHAnsi"/>
          <w:color w:val="000000" w:themeColor="text1"/>
          <w:sz w:val="24"/>
          <w:szCs w:val="24"/>
          <w:lang w:val="ro-MD"/>
        </w:rPr>
        <w:t>este în imposibilitatea de a se</w:t>
      </w:r>
      <w:r w:rsidRPr="00B7675F">
        <w:rPr>
          <w:rFonts w:asciiTheme="majorHAnsi" w:eastAsia="Times New Roman" w:hAnsiTheme="majorHAnsi" w:cstheme="majorHAnsi"/>
          <w:color w:val="000000" w:themeColor="text1"/>
          <w:sz w:val="24"/>
          <w:szCs w:val="24"/>
          <w:lang w:val="ro-MD"/>
        </w:rPr>
        <w:t xml:space="preserve"> expune asupra indemnizației de șomaj tehnic în valoare de 2</w:t>
      </w:r>
      <w:r w:rsidR="00727823" w:rsidRPr="00B7675F">
        <w:rPr>
          <w:rFonts w:asciiTheme="majorHAnsi" w:eastAsia="Times New Roman" w:hAnsiTheme="majorHAnsi" w:cstheme="majorHAnsi"/>
          <w:color w:val="000000" w:themeColor="text1"/>
          <w:sz w:val="24"/>
          <w:szCs w:val="24"/>
          <w:lang w:val="ro-MD"/>
        </w:rPr>
        <w:t xml:space="preserve"> </w:t>
      </w:r>
      <w:r w:rsidRPr="00B7675F">
        <w:rPr>
          <w:rFonts w:asciiTheme="majorHAnsi" w:eastAsia="Times New Roman" w:hAnsiTheme="majorHAnsi" w:cstheme="majorHAnsi"/>
          <w:color w:val="000000" w:themeColor="text1"/>
          <w:sz w:val="24"/>
          <w:szCs w:val="24"/>
          <w:lang w:val="ro-MD"/>
        </w:rPr>
        <w:t xml:space="preserve">126,9 mii lei, care </w:t>
      </w:r>
      <w:r w:rsidR="00886613" w:rsidRPr="00B7675F">
        <w:rPr>
          <w:rFonts w:asciiTheme="majorHAnsi" w:eastAsia="Times New Roman" w:hAnsiTheme="majorHAnsi" w:cstheme="majorHAnsi"/>
          <w:color w:val="000000" w:themeColor="text1"/>
          <w:sz w:val="24"/>
          <w:szCs w:val="24"/>
          <w:lang w:val="ro-MD"/>
        </w:rPr>
        <w:t>a fost</w:t>
      </w:r>
      <w:r w:rsidRPr="00B7675F">
        <w:rPr>
          <w:rFonts w:asciiTheme="majorHAnsi" w:eastAsia="Times New Roman" w:hAnsiTheme="majorHAnsi" w:cstheme="majorHAnsi"/>
          <w:color w:val="000000" w:themeColor="text1"/>
          <w:sz w:val="24"/>
          <w:szCs w:val="24"/>
          <w:lang w:val="ro-MD"/>
        </w:rPr>
        <w:t xml:space="preserve"> finanțată din bugetul de stat.</w:t>
      </w:r>
    </w:p>
    <w:p w14:paraId="01AC22C1" w14:textId="6E231D96" w:rsidR="00504EDB" w:rsidRPr="00653E85" w:rsidRDefault="00756056" w:rsidP="00886613">
      <w:pPr>
        <w:shd w:val="clear" w:color="auto" w:fill="FFFFFF" w:themeFill="background1"/>
        <w:spacing w:line="276" w:lineRule="auto"/>
        <w:jc w:val="both"/>
        <w:rPr>
          <w:rFonts w:asciiTheme="majorHAnsi" w:hAnsiTheme="majorHAnsi" w:cstheme="majorHAnsi"/>
          <w:color w:val="000000" w:themeColor="text1"/>
          <w:sz w:val="24"/>
          <w:szCs w:val="24"/>
          <w:lang w:val="ro-MD"/>
        </w:rPr>
      </w:pPr>
      <w:r w:rsidRPr="00653E85">
        <w:rPr>
          <w:rFonts w:asciiTheme="majorHAnsi" w:hAnsiTheme="majorHAnsi" w:cstheme="majorHAnsi"/>
          <w:color w:val="000000" w:themeColor="text1"/>
          <w:sz w:val="24"/>
          <w:szCs w:val="24"/>
          <w:lang w:val="ro-MD"/>
        </w:rPr>
        <w:t xml:space="preserve">Cu privire la  evidența plăților indemnizației de șomaj tehnic, s-a constatat că achitările efectuate de către CNAS sunt conform listelor de plată, în mărimea stabilită în decizie și sunt respectate procedurile de evidență a plăților. Totodată, în 20 </w:t>
      </w:r>
      <w:r w:rsidR="007F4A81" w:rsidRPr="00653E85">
        <w:rPr>
          <w:rFonts w:asciiTheme="majorHAnsi" w:hAnsiTheme="majorHAnsi" w:cstheme="majorHAnsi"/>
          <w:color w:val="000000" w:themeColor="text1"/>
          <w:sz w:val="24"/>
          <w:szCs w:val="24"/>
          <w:lang w:val="ro-MD"/>
        </w:rPr>
        <w:t xml:space="preserve">de </w:t>
      </w:r>
      <w:r w:rsidRPr="00653E85">
        <w:rPr>
          <w:rFonts w:asciiTheme="majorHAnsi" w:hAnsiTheme="majorHAnsi" w:cstheme="majorHAnsi"/>
          <w:color w:val="000000" w:themeColor="text1"/>
          <w:sz w:val="24"/>
          <w:szCs w:val="24"/>
          <w:lang w:val="ro-MD"/>
        </w:rPr>
        <w:t xml:space="preserve">cazuri (1,5%), au fost transferate 16,6 mii lei beneficiarilor cu </w:t>
      </w:r>
      <w:r w:rsidRPr="00B7675F">
        <w:rPr>
          <w:rFonts w:asciiTheme="majorHAnsi" w:hAnsiTheme="majorHAnsi" w:cstheme="majorHAnsi"/>
          <w:color w:val="000000" w:themeColor="text1"/>
          <w:sz w:val="24"/>
          <w:szCs w:val="24"/>
          <w:lang w:val="ro-MD"/>
        </w:rPr>
        <w:t xml:space="preserve">întârziere </w:t>
      </w:r>
      <w:r w:rsidRPr="00653E85">
        <w:rPr>
          <w:rFonts w:asciiTheme="majorHAnsi" w:hAnsiTheme="majorHAnsi" w:cstheme="majorHAnsi"/>
          <w:color w:val="000000" w:themeColor="text1"/>
          <w:sz w:val="24"/>
          <w:szCs w:val="24"/>
          <w:lang w:val="ro-MD"/>
        </w:rPr>
        <w:t xml:space="preserve">de la 2 până la 60 </w:t>
      </w:r>
      <w:r w:rsidR="007F4A81" w:rsidRPr="00653E85">
        <w:rPr>
          <w:rFonts w:asciiTheme="majorHAnsi" w:hAnsiTheme="majorHAnsi" w:cstheme="majorHAnsi"/>
          <w:color w:val="000000" w:themeColor="text1"/>
          <w:sz w:val="24"/>
          <w:szCs w:val="24"/>
          <w:lang w:val="ro-MD"/>
        </w:rPr>
        <w:t xml:space="preserve">de </w:t>
      </w:r>
      <w:r w:rsidRPr="00653E85">
        <w:rPr>
          <w:rFonts w:asciiTheme="majorHAnsi" w:hAnsiTheme="majorHAnsi" w:cstheme="majorHAnsi"/>
          <w:color w:val="000000" w:themeColor="text1"/>
          <w:sz w:val="24"/>
          <w:szCs w:val="24"/>
          <w:lang w:val="ro-MD"/>
        </w:rPr>
        <w:t xml:space="preserve">zile, </w:t>
      </w:r>
      <w:r w:rsidR="007F4A81" w:rsidRPr="00653E85">
        <w:rPr>
          <w:rFonts w:asciiTheme="majorHAnsi" w:hAnsiTheme="majorHAnsi" w:cstheme="majorHAnsi"/>
          <w:color w:val="000000" w:themeColor="text1"/>
          <w:sz w:val="24"/>
          <w:szCs w:val="24"/>
          <w:lang w:val="ro-MD"/>
        </w:rPr>
        <w:t xml:space="preserve">situație </w:t>
      </w:r>
      <w:r w:rsidR="004E42F2" w:rsidRPr="00653E85">
        <w:rPr>
          <w:rFonts w:asciiTheme="majorHAnsi" w:hAnsiTheme="majorHAnsi" w:cstheme="majorHAnsi"/>
          <w:color w:val="000000" w:themeColor="text1"/>
          <w:sz w:val="24"/>
          <w:szCs w:val="24"/>
          <w:lang w:val="ro-MD"/>
        </w:rPr>
        <w:t xml:space="preserve">cauzată de </w:t>
      </w:r>
      <w:r w:rsidR="00137522" w:rsidRPr="00653E85">
        <w:rPr>
          <w:rFonts w:asciiTheme="majorHAnsi" w:hAnsiTheme="majorHAnsi" w:cstheme="majorHAnsi"/>
          <w:color w:val="000000" w:themeColor="text1"/>
          <w:sz w:val="24"/>
          <w:szCs w:val="24"/>
          <w:lang w:val="ro-MD"/>
        </w:rPr>
        <w:t xml:space="preserve">tergiversarea </w:t>
      </w:r>
      <w:r w:rsidR="004E42F2" w:rsidRPr="00653E85">
        <w:rPr>
          <w:rFonts w:asciiTheme="majorHAnsi" w:hAnsiTheme="majorHAnsi" w:cstheme="majorHAnsi"/>
          <w:color w:val="000000" w:themeColor="text1"/>
          <w:sz w:val="24"/>
          <w:szCs w:val="24"/>
          <w:lang w:val="ro-MD"/>
        </w:rPr>
        <w:t>transferul</w:t>
      </w:r>
      <w:r w:rsidR="00137522" w:rsidRPr="00653E85">
        <w:rPr>
          <w:rFonts w:asciiTheme="majorHAnsi" w:hAnsiTheme="majorHAnsi" w:cstheme="majorHAnsi"/>
          <w:color w:val="000000" w:themeColor="text1"/>
          <w:sz w:val="24"/>
          <w:szCs w:val="24"/>
          <w:lang w:val="ro-MD"/>
        </w:rPr>
        <w:t xml:space="preserve">ui de </w:t>
      </w:r>
      <w:r w:rsidR="004E42F2" w:rsidRPr="00653E85">
        <w:rPr>
          <w:rFonts w:asciiTheme="majorHAnsi" w:hAnsiTheme="majorHAnsi" w:cstheme="majorHAnsi"/>
          <w:color w:val="000000" w:themeColor="text1"/>
          <w:sz w:val="24"/>
          <w:szCs w:val="24"/>
          <w:lang w:val="ro-MD"/>
        </w:rPr>
        <w:t xml:space="preserve">mijloace de la BS, </w:t>
      </w:r>
      <w:r w:rsidR="007F4A81" w:rsidRPr="00653E85">
        <w:rPr>
          <w:rFonts w:asciiTheme="majorHAnsi" w:hAnsiTheme="majorHAnsi" w:cstheme="majorHAnsi"/>
          <w:color w:val="000000" w:themeColor="text1"/>
          <w:sz w:val="24"/>
          <w:szCs w:val="24"/>
          <w:lang w:val="ro-MD"/>
        </w:rPr>
        <w:t xml:space="preserve">ceea </w:t>
      </w:r>
      <w:r w:rsidRPr="00653E85">
        <w:rPr>
          <w:rFonts w:asciiTheme="majorHAnsi" w:hAnsiTheme="majorHAnsi" w:cstheme="majorHAnsi"/>
          <w:color w:val="000000" w:themeColor="text1"/>
          <w:sz w:val="24"/>
          <w:szCs w:val="24"/>
          <w:lang w:val="ro-MD"/>
        </w:rPr>
        <w:t>ce a determinat privarea benefici</w:t>
      </w:r>
      <w:r w:rsidR="00537BD4" w:rsidRPr="00653E85">
        <w:rPr>
          <w:rFonts w:asciiTheme="majorHAnsi" w:hAnsiTheme="majorHAnsi" w:cstheme="majorHAnsi"/>
          <w:color w:val="000000" w:themeColor="text1"/>
          <w:sz w:val="24"/>
          <w:szCs w:val="24"/>
          <w:lang w:val="ro-MD"/>
        </w:rPr>
        <w:t xml:space="preserve">arului de a primi indemnizația </w:t>
      </w:r>
      <w:r w:rsidR="007F4A81" w:rsidRPr="00653E85">
        <w:rPr>
          <w:rFonts w:asciiTheme="majorHAnsi" w:hAnsiTheme="majorHAnsi" w:cstheme="majorHAnsi"/>
          <w:color w:val="000000" w:themeColor="text1"/>
          <w:sz w:val="24"/>
          <w:szCs w:val="24"/>
          <w:lang w:val="ro-MD"/>
        </w:rPr>
        <w:t xml:space="preserve">de </w:t>
      </w:r>
      <w:r w:rsidRPr="00653E85">
        <w:rPr>
          <w:rFonts w:asciiTheme="majorHAnsi" w:hAnsiTheme="majorHAnsi" w:cstheme="majorHAnsi"/>
          <w:color w:val="000000" w:themeColor="text1"/>
          <w:sz w:val="24"/>
          <w:szCs w:val="24"/>
          <w:lang w:val="ro-MD"/>
        </w:rPr>
        <w:t xml:space="preserve">șomaj tehnic în perioada corespunzătoare. </w:t>
      </w:r>
    </w:p>
    <w:p w14:paraId="6EC365F0" w14:textId="53E7FFE9" w:rsidR="00504EDB" w:rsidRPr="00653E85" w:rsidRDefault="00504EDB" w:rsidP="00DA562C">
      <w:pPr>
        <w:pStyle w:val="Default"/>
        <w:numPr>
          <w:ilvl w:val="1"/>
          <w:numId w:val="2"/>
        </w:numPr>
        <w:spacing w:after="240" w:line="276" w:lineRule="auto"/>
        <w:ind w:left="0" w:firstLine="0"/>
        <w:jc w:val="both"/>
        <w:outlineLvl w:val="1"/>
        <w:rPr>
          <w:rFonts w:asciiTheme="majorHAnsi" w:hAnsiTheme="majorHAnsi" w:cstheme="majorHAnsi"/>
          <w:b/>
          <w:lang w:val="ro-MD"/>
        </w:rPr>
      </w:pPr>
      <w:r w:rsidRPr="00653E85">
        <w:rPr>
          <w:rFonts w:asciiTheme="majorHAnsi" w:hAnsiTheme="majorHAnsi" w:cstheme="majorHAnsi"/>
          <w:b/>
          <w:lang w:val="ro-MD"/>
        </w:rPr>
        <w:t>Susținerea secto</w:t>
      </w:r>
      <w:r w:rsidR="00C457E3" w:rsidRPr="00653E85">
        <w:rPr>
          <w:rFonts w:asciiTheme="majorHAnsi" w:hAnsiTheme="majorHAnsi" w:cstheme="majorHAnsi"/>
          <w:b/>
          <w:lang w:val="ro-MD"/>
        </w:rPr>
        <w:t xml:space="preserve">rului </w:t>
      </w:r>
      <w:r w:rsidRPr="00653E85">
        <w:rPr>
          <w:rFonts w:asciiTheme="majorHAnsi" w:hAnsiTheme="majorHAnsi" w:cstheme="majorHAnsi"/>
          <w:b/>
          <w:lang w:val="ro-MD"/>
        </w:rPr>
        <w:t>T</w:t>
      </w:r>
      <w:r w:rsidR="007F4A81" w:rsidRPr="00653E85">
        <w:rPr>
          <w:rFonts w:asciiTheme="majorHAnsi" w:hAnsiTheme="majorHAnsi" w:cstheme="majorHAnsi"/>
          <w:b/>
          <w:lang w:val="ro-MD"/>
        </w:rPr>
        <w:t>I</w:t>
      </w:r>
      <w:r w:rsidRPr="00653E85">
        <w:rPr>
          <w:rFonts w:asciiTheme="majorHAnsi" w:hAnsiTheme="majorHAnsi" w:cstheme="majorHAnsi"/>
          <w:b/>
          <w:lang w:val="ro-MD"/>
        </w:rPr>
        <w:t xml:space="preserve"> prin excluderea din sistemul unic de calculare a contribuțiilor</w:t>
      </w:r>
      <w:r w:rsidR="00C457E3" w:rsidRPr="00653E85">
        <w:rPr>
          <w:rFonts w:asciiTheme="majorHAnsi" w:hAnsiTheme="majorHAnsi" w:cstheme="majorHAnsi"/>
          <w:b/>
          <w:lang w:val="ro-MD"/>
        </w:rPr>
        <w:t>,</w:t>
      </w:r>
      <w:r w:rsidRPr="00653E85">
        <w:rPr>
          <w:rFonts w:asciiTheme="majorHAnsi" w:hAnsiTheme="majorHAnsi" w:cstheme="majorHAnsi"/>
          <w:b/>
          <w:lang w:val="ro-MD"/>
        </w:rPr>
        <w:t xml:space="preserve"> limitează</w:t>
      </w:r>
      <w:r w:rsidR="00886613" w:rsidRPr="00653E85">
        <w:rPr>
          <w:rFonts w:asciiTheme="majorHAnsi" w:hAnsiTheme="majorHAnsi" w:cstheme="majorHAnsi"/>
          <w:b/>
          <w:lang w:val="ro-MD"/>
        </w:rPr>
        <w:t xml:space="preserve"> cuantumul </w:t>
      </w:r>
      <w:r w:rsidRPr="00653E85">
        <w:rPr>
          <w:rFonts w:asciiTheme="majorHAnsi" w:hAnsiTheme="majorHAnsi" w:cstheme="majorHAnsi"/>
          <w:b/>
          <w:lang w:val="ro-MD"/>
        </w:rPr>
        <w:t>drepturilor sociale</w:t>
      </w:r>
      <w:r w:rsidR="006B497E" w:rsidRPr="00653E85">
        <w:rPr>
          <w:rFonts w:asciiTheme="majorHAnsi" w:hAnsiTheme="majorHAnsi" w:cstheme="majorHAnsi"/>
          <w:b/>
          <w:lang w:val="ro-MD"/>
        </w:rPr>
        <w:t>,</w:t>
      </w:r>
      <w:r w:rsidRPr="00653E85">
        <w:rPr>
          <w:rFonts w:asciiTheme="majorHAnsi" w:hAnsiTheme="majorHAnsi" w:cstheme="majorHAnsi"/>
          <w:b/>
          <w:lang w:val="ro-MD"/>
        </w:rPr>
        <w:t xml:space="preserve"> precum și afectează veniturile BASS</w:t>
      </w:r>
      <w:r w:rsidR="00137522" w:rsidRPr="00653E85">
        <w:rPr>
          <w:rFonts w:asciiTheme="majorHAnsi" w:hAnsiTheme="majorHAnsi" w:cstheme="majorHAnsi"/>
          <w:b/>
          <w:lang w:val="ro-MD"/>
        </w:rPr>
        <w:t>.</w:t>
      </w:r>
      <w:r w:rsidRPr="00653E85">
        <w:rPr>
          <w:rFonts w:asciiTheme="majorHAnsi" w:hAnsiTheme="majorHAnsi" w:cstheme="majorHAnsi"/>
          <w:b/>
          <w:lang w:val="ro-MD"/>
        </w:rPr>
        <w:t xml:space="preserve"> </w:t>
      </w:r>
    </w:p>
    <w:p w14:paraId="3F6270D3" w14:textId="4A3871AD" w:rsidR="00504EDB" w:rsidRPr="00653E85" w:rsidRDefault="00504EDB" w:rsidP="00504EDB">
      <w:pPr>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La data de 1 ianuarie 2018 și-a început activitatea primul Parc T</w:t>
      </w:r>
      <w:r w:rsidR="00137522" w:rsidRPr="00653E85">
        <w:rPr>
          <w:rFonts w:asciiTheme="majorHAnsi" w:eastAsia="Times New Roman" w:hAnsiTheme="majorHAnsi" w:cstheme="majorHAnsi"/>
          <w:sz w:val="24"/>
          <w:szCs w:val="24"/>
          <w:shd w:val="clear" w:color="auto" w:fill="FFFFFF"/>
          <w:lang w:val="ro-MD"/>
        </w:rPr>
        <w:t>I</w:t>
      </w:r>
      <w:r w:rsidRPr="00653E85">
        <w:rPr>
          <w:rFonts w:asciiTheme="majorHAnsi" w:eastAsia="Times New Roman" w:hAnsiTheme="majorHAnsi" w:cstheme="majorHAnsi"/>
          <w:sz w:val="24"/>
          <w:szCs w:val="24"/>
          <w:shd w:val="clear" w:color="auto" w:fill="FFFFFF"/>
          <w:lang w:val="ro-MD"/>
        </w:rPr>
        <w:t xml:space="preserve"> în Republica Moldova</w:t>
      </w:r>
      <w:r w:rsidRPr="00653E85">
        <w:rPr>
          <w:vertAlign w:val="superscript"/>
          <w:lang w:val="ro-MD"/>
        </w:rPr>
        <w:footnoteReference w:id="67"/>
      </w:r>
      <w:r w:rsidRPr="00653E85">
        <w:rPr>
          <w:rFonts w:asciiTheme="majorHAnsi" w:eastAsia="Times New Roman" w:hAnsiTheme="majorHAnsi" w:cstheme="majorHAnsi"/>
          <w:sz w:val="24"/>
          <w:szCs w:val="24"/>
          <w:shd w:val="clear" w:color="auto" w:fill="FFFFFF"/>
          <w:lang w:val="ro-MD"/>
        </w:rPr>
        <w:t>, o platformă creată de Guvern pentru stimularea investițiilor și dezvoltarea afacerilor T</w:t>
      </w:r>
      <w:r w:rsidR="00137522" w:rsidRPr="00653E85">
        <w:rPr>
          <w:rFonts w:asciiTheme="majorHAnsi" w:eastAsia="Times New Roman" w:hAnsiTheme="majorHAnsi" w:cstheme="majorHAnsi"/>
          <w:sz w:val="24"/>
          <w:szCs w:val="24"/>
          <w:shd w:val="clear" w:color="auto" w:fill="FFFFFF"/>
          <w:lang w:val="ro-MD"/>
        </w:rPr>
        <w:t>I</w:t>
      </w:r>
      <w:r w:rsidRPr="00653E85">
        <w:rPr>
          <w:rFonts w:asciiTheme="majorHAnsi" w:eastAsia="Times New Roman" w:hAnsiTheme="majorHAnsi" w:cstheme="majorHAnsi"/>
          <w:sz w:val="24"/>
          <w:szCs w:val="24"/>
          <w:shd w:val="clear" w:color="auto" w:fill="FFFFFF"/>
          <w:lang w:val="ro-MD"/>
        </w:rPr>
        <w:t>, cercetare, dezvoltare și inovare digitală.</w:t>
      </w:r>
    </w:p>
    <w:p w14:paraId="3E8F2498" w14:textId="11BF953B" w:rsidR="00504EDB" w:rsidRPr="00653E85" w:rsidRDefault="00504EDB" w:rsidP="00504EDB">
      <w:pPr>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Termenul de funcționare a Parcului este de 10 ani, timp în care se prognozează a fi atrase companii T</w:t>
      </w:r>
      <w:r w:rsidR="00581109" w:rsidRPr="00653E85">
        <w:rPr>
          <w:rFonts w:asciiTheme="majorHAnsi" w:eastAsia="Times New Roman" w:hAnsiTheme="majorHAnsi" w:cstheme="majorHAnsi"/>
          <w:sz w:val="24"/>
          <w:szCs w:val="24"/>
          <w:shd w:val="clear" w:color="auto" w:fill="FFFFFF"/>
          <w:lang w:val="ro-MD"/>
        </w:rPr>
        <w:t>I rezidente</w:t>
      </w:r>
      <w:r w:rsidRPr="00653E85">
        <w:rPr>
          <w:rFonts w:asciiTheme="majorHAnsi" w:eastAsia="Times New Roman" w:hAnsiTheme="majorHAnsi" w:cstheme="majorHAnsi"/>
          <w:sz w:val="24"/>
          <w:szCs w:val="24"/>
          <w:shd w:val="clear" w:color="auto" w:fill="FFFFFF"/>
          <w:lang w:val="ro-MD"/>
        </w:rPr>
        <w:t>, care să desfășoare activități de bază menționate în legislație</w:t>
      </w:r>
      <w:r w:rsidRPr="00653E85">
        <w:rPr>
          <w:vertAlign w:val="superscript"/>
          <w:lang w:val="ro-MD"/>
        </w:rPr>
        <w:footnoteReference w:id="68"/>
      </w:r>
      <w:r w:rsidR="00AB40C5" w:rsidRPr="00653E85">
        <w:rPr>
          <w:rFonts w:asciiTheme="majorHAnsi" w:eastAsia="Times New Roman" w:hAnsiTheme="majorHAnsi" w:cstheme="majorHAnsi"/>
          <w:sz w:val="24"/>
          <w:szCs w:val="24"/>
          <w:shd w:val="clear" w:color="auto" w:fill="FFFFFF"/>
          <w:lang w:val="ro-MD"/>
        </w:rPr>
        <w:t>.</w:t>
      </w:r>
    </w:p>
    <w:p w14:paraId="147BC22C" w14:textId="07F467DD" w:rsidR="00504EDB" w:rsidRPr="00B7675F" w:rsidRDefault="00504EDB" w:rsidP="00DA562C">
      <w:pPr>
        <w:shd w:val="clear" w:color="auto" w:fill="FFFFFF"/>
        <w:spacing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În anul 2022 în registrul rezidenților erau înregistrate 3 152 de întreprinderi, dintre care 1 621 de întreprinderi sunt cu statutul de activ</w:t>
      </w:r>
      <w:r w:rsidR="00581109" w:rsidRPr="00653E85">
        <w:rPr>
          <w:rFonts w:asciiTheme="majorHAnsi" w:eastAsia="Times New Roman" w:hAnsiTheme="majorHAnsi" w:cstheme="majorHAnsi"/>
          <w:sz w:val="24"/>
          <w:szCs w:val="24"/>
          <w:shd w:val="clear" w:color="auto" w:fill="FFFFFF"/>
          <w:lang w:val="ro-MD"/>
        </w:rPr>
        <w:t>e</w:t>
      </w:r>
      <w:r w:rsidRPr="00653E85">
        <w:rPr>
          <w:rFonts w:asciiTheme="majorHAnsi" w:eastAsia="Times New Roman" w:hAnsiTheme="majorHAnsi" w:cstheme="majorHAnsi"/>
          <w:sz w:val="24"/>
          <w:szCs w:val="24"/>
          <w:shd w:val="clear" w:color="auto" w:fill="FFFFFF"/>
          <w:lang w:val="ro-MD"/>
        </w:rPr>
        <w:t xml:space="preserve"> și 1 531 întreprinderi cu statut inactiv</w:t>
      </w:r>
      <w:r w:rsidR="00581109" w:rsidRPr="00653E85">
        <w:rPr>
          <w:rFonts w:asciiTheme="majorHAnsi" w:eastAsia="Times New Roman" w:hAnsiTheme="majorHAnsi" w:cstheme="majorHAnsi"/>
          <w:sz w:val="24"/>
          <w:szCs w:val="24"/>
          <w:shd w:val="clear" w:color="auto" w:fill="FFFFFF"/>
          <w:lang w:val="ro-MD"/>
        </w:rPr>
        <w:t>e</w:t>
      </w:r>
      <w:r w:rsidRPr="00653E85">
        <w:rPr>
          <w:rFonts w:asciiTheme="majorHAnsi" w:eastAsia="Times New Roman" w:hAnsiTheme="majorHAnsi" w:cstheme="majorHAnsi"/>
          <w:sz w:val="24"/>
          <w:szCs w:val="24"/>
          <w:shd w:val="clear" w:color="auto" w:fill="FFFFFF"/>
          <w:lang w:val="ro-MD"/>
        </w:rPr>
        <w:t>.</w:t>
      </w:r>
      <w:r w:rsidR="008F5C77" w:rsidRPr="00653E85">
        <w:rPr>
          <w:rFonts w:asciiTheme="majorHAnsi" w:eastAsia="Times New Roman" w:hAnsiTheme="majorHAnsi" w:cstheme="majorHAnsi"/>
          <w:sz w:val="24"/>
          <w:szCs w:val="24"/>
          <w:shd w:val="clear" w:color="auto" w:fill="FFFFFF"/>
          <w:lang w:val="ro-MD"/>
        </w:rPr>
        <w:t xml:space="preserve"> Auditarea veniturilor generate de la această categorie de contribuabili a </w:t>
      </w:r>
      <w:r w:rsidR="00581109" w:rsidRPr="00653E85">
        <w:rPr>
          <w:rFonts w:asciiTheme="majorHAnsi" w:eastAsia="Times New Roman" w:hAnsiTheme="majorHAnsi" w:cstheme="majorHAnsi"/>
          <w:sz w:val="24"/>
          <w:szCs w:val="24"/>
          <w:shd w:val="clear" w:color="auto" w:fill="FFFFFF"/>
          <w:lang w:val="ro-MD"/>
        </w:rPr>
        <w:t>stabilit</w:t>
      </w:r>
      <w:r w:rsidR="008F5C77" w:rsidRPr="00653E85">
        <w:rPr>
          <w:rFonts w:asciiTheme="majorHAnsi" w:eastAsia="Times New Roman" w:hAnsiTheme="majorHAnsi" w:cstheme="majorHAnsi"/>
          <w:sz w:val="24"/>
          <w:szCs w:val="24"/>
          <w:shd w:val="clear" w:color="auto" w:fill="FFFFFF"/>
          <w:lang w:val="ro-MD"/>
        </w:rPr>
        <w:t xml:space="preserve"> următoarele</w:t>
      </w:r>
      <w:r w:rsidR="00581109" w:rsidRPr="00653E85">
        <w:rPr>
          <w:rFonts w:asciiTheme="majorHAnsi" w:eastAsia="Times New Roman" w:hAnsiTheme="majorHAnsi" w:cstheme="majorHAnsi"/>
          <w:sz w:val="24"/>
          <w:szCs w:val="24"/>
          <w:shd w:val="clear" w:color="auto" w:fill="FFFFFF"/>
          <w:lang w:val="ro-MD"/>
        </w:rPr>
        <w:t>.</w:t>
      </w:r>
    </w:p>
    <w:p w14:paraId="05F6DB6D" w14:textId="759A6D79" w:rsidR="00DA562C" w:rsidRPr="00653E85" w:rsidRDefault="00DA562C" w:rsidP="0037711E">
      <w:pPr>
        <w:pStyle w:val="aa"/>
        <w:numPr>
          <w:ilvl w:val="0"/>
          <w:numId w:val="19"/>
        </w:numPr>
        <w:shd w:val="clear" w:color="auto" w:fill="FFFFFF"/>
        <w:spacing w:after="0" w:line="276" w:lineRule="auto"/>
        <w:ind w:left="0" w:firstLine="0"/>
        <w:jc w:val="both"/>
        <w:rPr>
          <w:rFonts w:asciiTheme="majorHAnsi" w:eastAsia="Times New Roman" w:hAnsiTheme="majorHAnsi" w:cstheme="majorHAnsi"/>
          <w:b/>
          <w:bCs/>
          <w:i/>
          <w:iCs/>
          <w:sz w:val="24"/>
          <w:szCs w:val="24"/>
          <w:shd w:val="clear" w:color="auto" w:fill="FFFFFF"/>
          <w:lang w:val="ro-MD"/>
        </w:rPr>
      </w:pPr>
      <w:r w:rsidRPr="00653E85">
        <w:rPr>
          <w:rFonts w:asciiTheme="majorHAnsi" w:eastAsia="Times New Roman" w:hAnsiTheme="majorHAnsi" w:cstheme="majorHAnsi"/>
          <w:b/>
          <w:bCs/>
          <w:i/>
          <w:iCs/>
          <w:sz w:val="24"/>
          <w:szCs w:val="24"/>
          <w:shd w:val="clear" w:color="auto" w:fill="FFFFFF"/>
          <w:lang w:val="ro-MD"/>
        </w:rPr>
        <w:t>Suma contribuțiilor de asigurări sociale obligatorii achitate în unele cazuri nu acoperă integral cuantumul contribuțiilor calculate</w:t>
      </w:r>
      <w:r w:rsidR="00581109" w:rsidRPr="00653E85">
        <w:rPr>
          <w:rFonts w:asciiTheme="majorHAnsi" w:eastAsia="Times New Roman" w:hAnsiTheme="majorHAnsi" w:cstheme="majorHAnsi"/>
          <w:b/>
          <w:bCs/>
          <w:i/>
          <w:iCs/>
          <w:sz w:val="24"/>
          <w:szCs w:val="24"/>
          <w:shd w:val="clear" w:color="auto" w:fill="FFFFFF"/>
          <w:lang w:val="ro-MD"/>
        </w:rPr>
        <w:t>.</w:t>
      </w:r>
    </w:p>
    <w:p w14:paraId="18C33372" w14:textId="52AD5504" w:rsidR="00DA562C" w:rsidRPr="00653E85" w:rsidRDefault="008F5C77" w:rsidP="00DA562C">
      <w:pPr>
        <w:shd w:val="clear" w:color="auto" w:fill="FFFFFF"/>
        <w:spacing w:after="0" w:line="276" w:lineRule="auto"/>
        <w:jc w:val="both"/>
        <w:rPr>
          <w:rFonts w:asciiTheme="majorHAnsi" w:hAnsiTheme="majorHAnsi" w:cstheme="majorHAnsi"/>
          <w:sz w:val="24"/>
          <w:szCs w:val="24"/>
          <w:shd w:val="clear" w:color="auto" w:fill="FFFFFF"/>
          <w:lang w:val="ro-MD"/>
        </w:rPr>
      </w:pPr>
      <w:r w:rsidRPr="00653E85">
        <w:rPr>
          <w:rFonts w:asciiTheme="majorHAnsi" w:hAnsiTheme="majorHAnsi" w:cstheme="majorHAnsi"/>
          <w:sz w:val="24"/>
          <w:szCs w:val="24"/>
          <w:shd w:val="clear" w:color="auto" w:fill="FFFFFF"/>
          <w:lang w:val="ro-MD"/>
        </w:rPr>
        <w:t xml:space="preserve">Impozitul unic perceput de la rezidenții parcurilor pentru tehnologia informației este în mărime de 7% din venitul din </w:t>
      </w:r>
      <w:r w:rsidR="00490517" w:rsidRPr="00653E85">
        <w:rPr>
          <w:rFonts w:asciiTheme="majorHAnsi" w:hAnsiTheme="majorHAnsi" w:cstheme="majorHAnsi"/>
          <w:sz w:val="24"/>
          <w:szCs w:val="24"/>
          <w:shd w:val="clear" w:color="auto" w:fill="FFFFFF"/>
          <w:lang w:val="ro-MD"/>
        </w:rPr>
        <w:t>vânzări</w:t>
      </w:r>
      <w:r w:rsidRPr="00653E85">
        <w:rPr>
          <w:rFonts w:asciiTheme="majorHAnsi" w:hAnsiTheme="majorHAnsi" w:cstheme="majorHAnsi"/>
          <w:sz w:val="24"/>
          <w:szCs w:val="24"/>
          <w:shd w:val="clear" w:color="auto" w:fill="FFFFFF"/>
          <w:lang w:val="ro-MD"/>
        </w:rPr>
        <w:t>.</w:t>
      </w:r>
      <w:r w:rsidRPr="00653E85">
        <w:rPr>
          <w:rFonts w:ascii="Georgia" w:hAnsi="Georgia"/>
          <w:color w:val="000000"/>
          <w:shd w:val="clear" w:color="auto" w:fill="FFFFFF"/>
          <w:lang w:val="ro-MD"/>
        </w:rPr>
        <w:t xml:space="preserve"> </w:t>
      </w:r>
      <w:r w:rsidR="00DA562C" w:rsidRPr="00653E85">
        <w:rPr>
          <w:rFonts w:asciiTheme="majorHAnsi" w:hAnsiTheme="majorHAnsi" w:cstheme="majorHAnsi"/>
          <w:sz w:val="24"/>
          <w:szCs w:val="24"/>
          <w:shd w:val="clear" w:color="auto" w:fill="FFFFFF"/>
          <w:lang w:val="ro-MD"/>
        </w:rPr>
        <w:t>Totodată, suma minimă a impozitului unic perceput de la rezidenții parcurilor pentru tehnologia informației se determină lunar per angajat şi constituie 30% din cuantumul salariului mediu lunar pe economie, prognozat pentru anul aferent perioadei fiscale a impozitului respectiv</w:t>
      </w:r>
      <w:r w:rsidRPr="00653E85">
        <w:rPr>
          <w:rStyle w:val="a5"/>
          <w:rFonts w:asciiTheme="majorHAnsi" w:hAnsiTheme="majorHAnsi" w:cstheme="majorHAnsi"/>
          <w:sz w:val="24"/>
          <w:szCs w:val="24"/>
          <w:shd w:val="clear" w:color="auto" w:fill="FFFFFF"/>
          <w:lang w:val="ro-MD"/>
        </w:rPr>
        <w:footnoteReference w:id="69"/>
      </w:r>
      <w:r w:rsidR="00DA562C" w:rsidRPr="00653E85">
        <w:rPr>
          <w:rFonts w:asciiTheme="majorHAnsi" w:hAnsiTheme="majorHAnsi" w:cstheme="majorHAnsi"/>
          <w:sz w:val="24"/>
          <w:szCs w:val="24"/>
          <w:shd w:val="clear" w:color="auto" w:fill="FFFFFF"/>
          <w:lang w:val="ro-MD"/>
        </w:rPr>
        <w:t>.</w:t>
      </w:r>
      <w:r w:rsidR="009973AF" w:rsidRPr="00653E85">
        <w:rPr>
          <w:rFonts w:asciiTheme="majorHAnsi" w:eastAsia="Times New Roman" w:hAnsiTheme="majorHAnsi" w:cstheme="majorHAnsi"/>
          <w:sz w:val="24"/>
          <w:szCs w:val="24"/>
          <w:shd w:val="clear" w:color="auto" w:fill="FFFFFF"/>
          <w:lang w:val="ro-MD"/>
        </w:rPr>
        <w:t xml:space="preserve"> Se menționează că încasările de la impozitul unic perceput de la </w:t>
      </w:r>
      <w:r w:rsidR="00490517" w:rsidRPr="00653E85">
        <w:rPr>
          <w:rFonts w:asciiTheme="majorHAnsi" w:eastAsia="Times New Roman" w:hAnsiTheme="majorHAnsi" w:cstheme="majorHAnsi"/>
          <w:sz w:val="24"/>
          <w:szCs w:val="24"/>
          <w:shd w:val="clear" w:color="auto" w:fill="FFFFFF"/>
          <w:lang w:val="ro-MD"/>
        </w:rPr>
        <w:t>rezidenții</w:t>
      </w:r>
      <w:r w:rsidR="009973AF" w:rsidRPr="00653E85">
        <w:rPr>
          <w:rFonts w:asciiTheme="majorHAnsi" w:eastAsia="Times New Roman" w:hAnsiTheme="majorHAnsi" w:cstheme="majorHAnsi"/>
          <w:sz w:val="24"/>
          <w:szCs w:val="24"/>
          <w:shd w:val="clear" w:color="auto" w:fill="FFFFFF"/>
          <w:lang w:val="ro-MD"/>
        </w:rPr>
        <w:t xml:space="preserve"> parcurilor pentru tehnologia </w:t>
      </w:r>
      <w:r w:rsidR="00490517" w:rsidRPr="00653E85">
        <w:rPr>
          <w:rFonts w:asciiTheme="majorHAnsi" w:eastAsia="Times New Roman" w:hAnsiTheme="majorHAnsi" w:cstheme="majorHAnsi"/>
          <w:sz w:val="24"/>
          <w:szCs w:val="24"/>
          <w:shd w:val="clear" w:color="auto" w:fill="FFFFFF"/>
          <w:lang w:val="ro-MD"/>
        </w:rPr>
        <w:t>informației</w:t>
      </w:r>
      <w:r w:rsidR="009973AF" w:rsidRPr="00653E85">
        <w:rPr>
          <w:rFonts w:asciiTheme="majorHAnsi" w:eastAsia="Times New Roman" w:hAnsiTheme="majorHAnsi" w:cstheme="majorHAnsi"/>
          <w:sz w:val="24"/>
          <w:szCs w:val="24"/>
          <w:shd w:val="clear" w:color="auto" w:fill="FFFFFF"/>
          <w:lang w:val="ro-MD"/>
        </w:rPr>
        <w:t xml:space="preserve"> se efectuează la bugetul de stat cu defalcarea ulterioară a cotei</w:t>
      </w:r>
      <w:r w:rsidR="00581109" w:rsidRPr="00653E85">
        <w:rPr>
          <w:rFonts w:asciiTheme="majorHAnsi" w:eastAsia="Times New Roman" w:hAnsiTheme="majorHAnsi" w:cstheme="majorHAnsi"/>
          <w:sz w:val="24"/>
          <w:szCs w:val="24"/>
          <w:shd w:val="clear" w:color="auto" w:fill="FFFFFF"/>
          <w:lang w:val="ro-MD"/>
        </w:rPr>
        <w:t>-</w:t>
      </w:r>
      <w:r w:rsidR="00490517" w:rsidRPr="00653E85">
        <w:rPr>
          <w:rFonts w:asciiTheme="majorHAnsi" w:eastAsia="Times New Roman" w:hAnsiTheme="majorHAnsi" w:cstheme="majorHAnsi"/>
          <w:sz w:val="24"/>
          <w:szCs w:val="24"/>
          <w:shd w:val="clear" w:color="auto" w:fill="FFFFFF"/>
          <w:lang w:val="ro-MD"/>
        </w:rPr>
        <w:t>părți</w:t>
      </w:r>
      <w:r w:rsidR="009973AF" w:rsidRPr="00653E85">
        <w:rPr>
          <w:rFonts w:asciiTheme="majorHAnsi" w:eastAsia="Times New Roman" w:hAnsiTheme="majorHAnsi" w:cstheme="majorHAnsi"/>
          <w:sz w:val="24"/>
          <w:szCs w:val="24"/>
          <w:shd w:val="clear" w:color="auto" w:fill="FFFFFF"/>
          <w:lang w:val="ro-MD"/>
        </w:rPr>
        <w:t xml:space="preserve"> în mărime de 54,7% la bugetul asigurărilor sociale de stat.</w:t>
      </w:r>
    </w:p>
    <w:p w14:paraId="17BBCF86" w14:textId="4DAF2233" w:rsidR="00EC7995" w:rsidRPr="00653E85" w:rsidRDefault="008F5C77" w:rsidP="004042BC">
      <w:pPr>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hAnsiTheme="majorHAnsi" w:cstheme="majorHAnsi"/>
          <w:sz w:val="24"/>
          <w:szCs w:val="24"/>
          <w:lang w:val="ro-MD"/>
        </w:rPr>
        <w:t xml:space="preserve">Venitul lunar asigurat al acestor </w:t>
      </w:r>
      <w:r w:rsidR="00490517" w:rsidRPr="00653E85">
        <w:rPr>
          <w:rFonts w:asciiTheme="majorHAnsi" w:hAnsiTheme="majorHAnsi" w:cstheme="majorHAnsi"/>
          <w:sz w:val="24"/>
          <w:szCs w:val="24"/>
          <w:lang w:val="ro-MD"/>
        </w:rPr>
        <w:t>salariați</w:t>
      </w:r>
      <w:r w:rsidRPr="00653E85">
        <w:rPr>
          <w:rFonts w:asciiTheme="majorHAnsi" w:hAnsiTheme="majorHAnsi" w:cstheme="majorHAnsi"/>
          <w:sz w:val="24"/>
          <w:szCs w:val="24"/>
          <w:lang w:val="ro-MD"/>
        </w:rPr>
        <w:t xml:space="preserve"> constituie 68% din cuantumul salariului mediu lunar pe economie</w:t>
      </w:r>
      <w:r w:rsidRPr="00653E85">
        <w:rPr>
          <w:rStyle w:val="a5"/>
          <w:rFonts w:asciiTheme="majorHAnsi" w:hAnsiTheme="majorHAnsi" w:cstheme="majorHAnsi"/>
          <w:sz w:val="24"/>
          <w:szCs w:val="24"/>
          <w:lang w:val="ro-MD"/>
        </w:rPr>
        <w:footnoteReference w:id="70"/>
      </w:r>
      <w:r w:rsidRPr="00653E85">
        <w:rPr>
          <w:rFonts w:asciiTheme="majorHAnsi" w:hAnsiTheme="majorHAnsi" w:cstheme="majorHAnsi"/>
          <w:sz w:val="24"/>
          <w:szCs w:val="24"/>
          <w:lang w:val="ro-MD"/>
        </w:rPr>
        <w:t>, pr</w:t>
      </w:r>
      <w:r w:rsidR="009973AF" w:rsidRPr="00653E85">
        <w:rPr>
          <w:rFonts w:asciiTheme="majorHAnsi" w:hAnsiTheme="majorHAnsi" w:cstheme="majorHAnsi"/>
          <w:sz w:val="24"/>
          <w:szCs w:val="24"/>
          <w:lang w:val="ro-MD"/>
        </w:rPr>
        <w:t xml:space="preserve">ognozat pentru anul respectiv. </w:t>
      </w:r>
      <w:r w:rsidR="00DA562C" w:rsidRPr="00653E85">
        <w:rPr>
          <w:rFonts w:asciiTheme="majorHAnsi" w:eastAsia="Times New Roman" w:hAnsiTheme="majorHAnsi" w:cstheme="majorHAnsi"/>
          <w:sz w:val="24"/>
          <w:szCs w:val="24"/>
          <w:shd w:val="clear" w:color="auto" w:fill="FFFFFF"/>
          <w:lang w:val="ro-MD"/>
        </w:rPr>
        <w:t>Pentru anul 2022 venitul lunar asigurat al acestei categorii de plătitori este de 6</w:t>
      </w:r>
      <w:r w:rsidR="00490517" w:rsidRPr="00653E85">
        <w:rPr>
          <w:rFonts w:asciiTheme="majorHAnsi" w:eastAsia="Times New Roman" w:hAnsiTheme="majorHAnsi" w:cstheme="majorHAnsi"/>
          <w:sz w:val="24"/>
          <w:szCs w:val="24"/>
          <w:shd w:val="clear" w:color="auto" w:fill="FFFFFF"/>
          <w:lang w:val="ro-MD"/>
        </w:rPr>
        <w:t xml:space="preserve"> </w:t>
      </w:r>
      <w:r w:rsidR="00DA562C" w:rsidRPr="00653E85">
        <w:rPr>
          <w:rFonts w:asciiTheme="majorHAnsi" w:eastAsia="Times New Roman" w:hAnsiTheme="majorHAnsi" w:cstheme="majorHAnsi"/>
          <w:sz w:val="24"/>
          <w:szCs w:val="24"/>
          <w:shd w:val="clear" w:color="auto" w:fill="FFFFFF"/>
          <w:lang w:val="ro-MD"/>
        </w:rPr>
        <w:t>732 lei</w:t>
      </w:r>
      <w:r w:rsidR="00EC7995" w:rsidRPr="00653E85">
        <w:rPr>
          <w:rFonts w:asciiTheme="majorHAnsi" w:eastAsia="Times New Roman" w:hAnsiTheme="majorHAnsi" w:cstheme="majorHAnsi"/>
          <w:sz w:val="24"/>
          <w:szCs w:val="24"/>
          <w:shd w:val="clear" w:color="auto" w:fill="FFFFFF"/>
          <w:lang w:val="ro-MD"/>
        </w:rPr>
        <w:t xml:space="preserve">. </w:t>
      </w:r>
    </w:p>
    <w:p w14:paraId="1BC01328" w14:textId="04DDCF4C" w:rsidR="00EC7995" w:rsidRPr="00653E85" w:rsidRDefault="00490517" w:rsidP="004042BC">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Analizând</w:t>
      </w:r>
      <w:r w:rsidR="00EC7995" w:rsidRPr="00653E85">
        <w:rPr>
          <w:rFonts w:asciiTheme="majorHAnsi" w:hAnsiTheme="majorHAnsi" w:cstheme="majorHAnsi"/>
          <w:sz w:val="24"/>
          <w:szCs w:val="24"/>
          <w:lang w:val="ro-MD"/>
        </w:rPr>
        <w:t xml:space="preserve"> extrasele individuale ale salariaților parcurilor T</w:t>
      </w:r>
      <w:r w:rsidR="00581109" w:rsidRPr="00653E85">
        <w:rPr>
          <w:rFonts w:asciiTheme="majorHAnsi" w:hAnsiTheme="majorHAnsi" w:cstheme="majorHAnsi"/>
          <w:sz w:val="24"/>
          <w:szCs w:val="24"/>
          <w:lang w:val="ro-MD"/>
        </w:rPr>
        <w:t>I</w:t>
      </w:r>
      <w:r w:rsidR="00EC7995" w:rsidRPr="00653E85">
        <w:rPr>
          <w:rFonts w:asciiTheme="majorHAnsi" w:hAnsiTheme="majorHAnsi" w:cstheme="majorHAnsi"/>
          <w:sz w:val="24"/>
          <w:szCs w:val="24"/>
          <w:lang w:val="ro-MD"/>
        </w:rPr>
        <w:t>, auditul a constat</w:t>
      </w:r>
      <w:r w:rsidR="003A57A7" w:rsidRPr="00653E85">
        <w:rPr>
          <w:rFonts w:asciiTheme="majorHAnsi" w:hAnsiTheme="majorHAnsi" w:cstheme="majorHAnsi"/>
          <w:sz w:val="24"/>
          <w:szCs w:val="24"/>
          <w:lang w:val="ro-MD"/>
        </w:rPr>
        <w:t>at</w:t>
      </w:r>
      <w:r w:rsidR="00EC7995" w:rsidRPr="00653E85">
        <w:rPr>
          <w:rFonts w:asciiTheme="majorHAnsi" w:hAnsiTheme="majorHAnsi" w:cstheme="majorHAnsi"/>
          <w:sz w:val="24"/>
          <w:szCs w:val="24"/>
          <w:lang w:val="ro-MD"/>
        </w:rPr>
        <w:t xml:space="preserve"> că suma contribuțiilor de asigurări sociale calculate</w:t>
      </w:r>
      <w:r w:rsidR="00626B68" w:rsidRPr="00653E85">
        <w:rPr>
          <w:rFonts w:asciiTheme="majorHAnsi" w:hAnsiTheme="majorHAnsi" w:cstheme="majorHAnsi"/>
          <w:sz w:val="24"/>
          <w:szCs w:val="24"/>
          <w:lang w:val="ro-MD"/>
        </w:rPr>
        <w:t xml:space="preserve"> în dările de seamă IPC21</w:t>
      </w:r>
      <w:r w:rsidR="00EC7995" w:rsidRPr="00653E85">
        <w:rPr>
          <w:rFonts w:asciiTheme="majorHAnsi" w:hAnsiTheme="majorHAnsi" w:cstheme="majorHAnsi"/>
          <w:sz w:val="24"/>
          <w:szCs w:val="24"/>
          <w:lang w:val="ro-MD"/>
        </w:rPr>
        <w:t xml:space="preserve"> reprezintă 29%</w:t>
      </w:r>
      <w:r w:rsidR="00581109" w:rsidRPr="00653E85">
        <w:rPr>
          <w:rFonts w:asciiTheme="majorHAnsi" w:hAnsiTheme="majorHAnsi" w:cstheme="majorHAnsi"/>
          <w:sz w:val="24"/>
          <w:szCs w:val="24"/>
          <w:lang w:val="ro-MD"/>
        </w:rPr>
        <w:t>, sau</w:t>
      </w:r>
      <w:r w:rsidR="00EC7995" w:rsidRPr="00653E85">
        <w:rPr>
          <w:rFonts w:asciiTheme="majorHAnsi" w:hAnsiTheme="majorHAnsi" w:cstheme="majorHAnsi"/>
          <w:sz w:val="24"/>
          <w:szCs w:val="24"/>
          <w:lang w:val="ro-MD"/>
        </w:rPr>
        <w:t xml:space="preserve"> </w:t>
      </w:r>
      <w:r w:rsidR="00DA562C" w:rsidRPr="00653E85">
        <w:rPr>
          <w:rFonts w:asciiTheme="majorHAnsi" w:hAnsiTheme="majorHAnsi" w:cstheme="majorHAnsi"/>
          <w:sz w:val="24"/>
          <w:szCs w:val="24"/>
          <w:lang w:val="ro-MD"/>
        </w:rPr>
        <w:t>1</w:t>
      </w:r>
      <w:r w:rsidRPr="00653E85">
        <w:rPr>
          <w:rFonts w:asciiTheme="majorHAnsi" w:hAnsiTheme="majorHAnsi" w:cstheme="majorHAnsi"/>
          <w:sz w:val="24"/>
          <w:szCs w:val="24"/>
          <w:lang w:val="ro-MD"/>
        </w:rPr>
        <w:t xml:space="preserve"> </w:t>
      </w:r>
      <w:r w:rsidR="00DA562C" w:rsidRPr="00653E85">
        <w:rPr>
          <w:rFonts w:asciiTheme="majorHAnsi" w:hAnsiTheme="majorHAnsi" w:cstheme="majorHAnsi"/>
          <w:sz w:val="24"/>
          <w:szCs w:val="24"/>
          <w:lang w:val="ro-MD"/>
        </w:rPr>
        <w:t>952,28 lei</w:t>
      </w:r>
      <w:r w:rsidR="001B2798" w:rsidRPr="00653E85">
        <w:rPr>
          <w:rFonts w:asciiTheme="majorHAnsi" w:hAnsiTheme="majorHAnsi" w:cstheme="majorHAnsi"/>
          <w:sz w:val="24"/>
          <w:szCs w:val="24"/>
          <w:lang w:val="ro-MD"/>
        </w:rPr>
        <w:t>. Totodată</w:t>
      </w:r>
      <w:r w:rsidR="00EC7995" w:rsidRPr="00653E85">
        <w:rPr>
          <w:rFonts w:asciiTheme="majorHAnsi" w:hAnsiTheme="majorHAnsi" w:cstheme="majorHAnsi"/>
          <w:sz w:val="24"/>
          <w:szCs w:val="24"/>
          <w:lang w:val="ro-MD"/>
        </w:rPr>
        <w:t>, auditul menționează că normele legale nu prev</w:t>
      </w:r>
      <w:r w:rsidR="00581109" w:rsidRPr="00653E85">
        <w:rPr>
          <w:rFonts w:asciiTheme="majorHAnsi" w:hAnsiTheme="majorHAnsi" w:cstheme="majorHAnsi"/>
          <w:sz w:val="24"/>
          <w:szCs w:val="24"/>
          <w:lang w:val="ro-MD"/>
        </w:rPr>
        <w:t>ăd</w:t>
      </w:r>
      <w:r w:rsidR="00EC7995" w:rsidRPr="00653E85">
        <w:rPr>
          <w:rFonts w:asciiTheme="majorHAnsi" w:hAnsiTheme="majorHAnsi" w:cstheme="majorHAnsi"/>
          <w:sz w:val="24"/>
          <w:szCs w:val="24"/>
          <w:lang w:val="ro-MD"/>
        </w:rPr>
        <w:t xml:space="preserve"> cota pentru salariații T</w:t>
      </w:r>
      <w:r w:rsidR="00581109" w:rsidRPr="00653E85">
        <w:rPr>
          <w:rFonts w:asciiTheme="majorHAnsi" w:hAnsiTheme="majorHAnsi" w:cstheme="majorHAnsi"/>
          <w:sz w:val="24"/>
          <w:szCs w:val="24"/>
          <w:lang w:val="ro-MD"/>
        </w:rPr>
        <w:t>I</w:t>
      </w:r>
      <w:r w:rsidR="00EC7995" w:rsidRPr="00653E85">
        <w:rPr>
          <w:rFonts w:asciiTheme="majorHAnsi" w:hAnsiTheme="majorHAnsi" w:cstheme="majorHAnsi"/>
          <w:sz w:val="24"/>
          <w:szCs w:val="24"/>
          <w:lang w:val="ro-MD"/>
        </w:rPr>
        <w:t xml:space="preserve">, ci doar baza de calcul. </w:t>
      </w:r>
    </w:p>
    <w:p w14:paraId="5AD45C00" w14:textId="3BCD5C69" w:rsidR="00634388" w:rsidRPr="00B7675F" w:rsidRDefault="00EC7995" w:rsidP="004042BC">
      <w:pPr>
        <w:spacing w:after="0" w:line="276" w:lineRule="auto"/>
        <w:jc w:val="both"/>
        <w:rPr>
          <w:rFonts w:asciiTheme="majorHAnsi" w:eastAsia="Times New Roman" w:hAnsiTheme="majorHAnsi" w:cstheme="majorHAnsi"/>
          <w:sz w:val="24"/>
          <w:szCs w:val="24"/>
          <w:shd w:val="clear" w:color="auto" w:fill="FFFFFF"/>
          <w:lang w:val="ro-MD"/>
        </w:rPr>
      </w:pPr>
      <w:r w:rsidRPr="00B7675F">
        <w:rPr>
          <w:rFonts w:asciiTheme="majorHAnsi" w:eastAsia="Times New Roman" w:hAnsiTheme="majorHAnsi" w:cstheme="majorHAnsi"/>
          <w:sz w:val="24"/>
          <w:szCs w:val="24"/>
          <w:shd w:val="clear" w:color="auto" w:fill="FFFFFF"/>
          <w:lang w:val="ro-MD"/>
        </w:rPr>
        <w:t>Subsecvent, auditul menționează că</w:t>
      </w:r>
      <w:r w:rsidR="00DA562C" w:rsidRPr="00653E85">
        <w:rPr>
          <w:rFonts w:asciiTheme="majorHAnsi" w:eastAsia="Times New Roman" w:hAnsiTheme="majorHAnsi" w:cstheme="majorHAnsi"/>
          <w:sz w:val="24"/>
          <w:szCs w:val="24"/>
          <w:shd w:val="clear" w:color="auto" w:fill="FFFFFF"/>
          <w:lang w:val="ro-MD"/>
        </w:rPr>
        <w:t xml:space="preserve"> contribuția estimată în dările de seamă IU17 și datorată la BASS, în cazul </w:t>
      </w:r>
      <w:r w:rsidR="00581109" w:rsidRPr="00653E85">
        <w:rPr>
          <w:rFonts w:asciiTheme="majorHAnsi" w:eastAsia="Times New Roman" w:hAnsiTheme="majorHAnsi" w:cstheme="majorHAnsi"/>
          <w:sz w:val="24"/>
          <w:szCs w:val="24"/>
          <w:shd w:val="clear" w:color="auto" w:fill="FFFFFF"/>
          <w:lang w:val="ro-MD"/>
        </w:rPr>
        <w:t>în care</w:t>
      </w:r>
      <w:r w:rsidR="00DA562C" w:rsidRPr="00653E85">
        <w:rPr>
          <w:rFonts w:asciiTheme="majorHAnsi" w:eastAsia="Times New Roman" w:hAnsiTheme="majorHAnsi" w:cstheme="majorHAnsi"/>
          <w:sz w:val="24"/>
          <w:szCs w:val="24"/>
          <w:shd w:val="clear" w:color="auto" w:fill="FFFFFF"/>
          <w:lang w:val="ro-MD"/>
        </w:rPr>
        <w:t xml:space="preserve"> rezidentul Parcului se conformează opțiunii </w:t>
      </w:r>
      <w:r w:rsidR="00392D85" w:rsidRPr="00653E85">
        <w:rPr>
          <w:rFonts w:asciiTheme="majorHAnsi" w:eastAsia="Times New Roman" w:hAnsiTheme="majorHAnsi" w:cstheme="majorHAnsi"/>
          <w:sz w:val="24"/>
          <w:szCs w:val="24"/>
          <w:shd w:val="clear" w:color="auto" w:fill="FFFFFF"/>
          <w:lang w:val="ro-MD"/>
        </w:rPr>
        <w:t xml:space="preserve">de </w:t>
      </w:r>
      <w:r w:rsidR="00DA562C" w:rsidRPr="00653E85">
        <w:rPr>
          <w:rFonts w:asciiTheme="majorHAnsi" w:eastAsia="Times New Roman" w:hAnsiTheme="majorHAnsi" w:cstheme="majorHAnsi"/>
          <w:sz w:val="24"/>
          <w:szCs w:val="24"/>
          <w:shd w:val="clear" w:color="auto" w:fill="FFFFFF"/>
          <w:lang w:val="ro-MD"/>
        </w:rPr>
        <w:t>calcul</w:t>
      </w:r>
      <w:r w:rsidR="00392D85" w:rsidRPr="00653E85">
        <w:rPr>
          <w:rFonts w:asciiTheme="majorHAnsi" w:eastAsia="Times New Roman" w:hAnsiTheme="majorHAnsi" w:cstheme="majorHAnsi"/>
          <w:sz w:val="24"/>
          <w:szCs w:val="24"/>
          <w:shd w:val="clear" w:color="auto" w:fill="FFFFFF"/>
          <w:lang w:val="ro-MD"/>
        </w:rPr>
        <w:t>are a</w:t>
      </w:r>
      <w:r w:rsidR="00DA562C" w:rsidRPr="00653E85">
        <w:rPr>
          <w:rFonts w:asciiTheme="majorHAnsi" w:eastAsia="Times New Roman" w:hAnsiTheme="majorHAnsi" w:cstheme="majorHAnsi"/>
          <w:sz w:val="24"/>
          <w:szCs w:val="24"/>
          <w:shd w:val="clear" w:color="auto" w:fill="FFFFFF"/>
          <w:lang w:val="ro-MD"/>
        </w:rPr>
        <w:t xml:space="preserve"> contribuției lunare minime datorate în mărime de 30% din cuantumul salariului mediu lunar pe economie, este de 1</w:t>
      </w:r>
      <w:r w:rsidR="00490517" w:rsidRPr="00653E85">
        <w:rPr>
          <w:rFonts w:asciiTheme="majorHAnsi" w:eastAsia="Times New Roman" w:hAnsiTheme="majorHAnsi" w:cstheme="majorHAnsi"/>
          <w:sz w:val="24"/>
          <w:szCs w:val="24"/>
          <w:shd w:val="clear" w:color="auto" w:fill="FFFFFF"/>
          <w:lang w:val="ro-MD"/>
        </w:rPr>
        <w:t xml:space="preserve"> </w:t>
      </w:r>
      <w:r w:rsidR="00DA562C" w:rsidRPr="00653E85">
        <w:rPr>
          <w:rFonts w:asciiTheme="majorHAnsi" w:eastAsia="Times New Roman" w:hAnsiTheme="majorHAnsi" w:cstheme="majorHAnsi"/>
          <w:sz w:val="24"/>
          <w:szCs w:val="24"/>
          <w:shd w:val="clear" w:color="auto" w:fill="FFFFFF"/>
          <w:lang w:val="ro-MD"/>
        </w:rPr>
        <w:t>624,59 lei.</w:t>
      </w:r>
      <w:r w:rsidR="00504985" w:rsidRPr="00653E85">
        <w:rPr>
          <w:rFonts w:asciiTheme="majorHAnsi" w:eastAsia="Times New Roman" w:hAnsiTheme="majorHAnsi" w:cstheme="majorHAnsi"/>
          <w:sz w:val="24"/>
          <w:szCs w:val="24"/>
          <w:shd w:val="clear" w:color="auto" w:fill="FFFFFF"/>
          <w:lang w:val="ro-MD"/>
        </w:rPr>
        <w:t xml:space="preserve"> Astfel, contribuțiile achitate sunt mai mici cu 327,69 lei per salariat</w:t>
      </w:r>
      <w:r w:rsidR="00581109" w:rsidRPr="00653E85">
        <w:rPr>
          <w:rFonts w:asciiTheme="majorHAnsi" w:eastAsia="Times New Roman" w:hAnsiTheme="majorHAnsi" w:cstheme="majorHAnsi"/>
          <w:sz w:val="24"/>
          <w:szCs w:val="24"/>
          <w:shd w:val="clear" w:color="auto" w:fill="FFFFFF"/>
          <w:lang w:val="ro-MD"/>
        </w:rPr>
        <w:t>,</w:t>
      </w:r>
      <w:r w:rsidR="00504985" w:rsidRPr="00653E85">
        <w:rPr>
          <w:rFonts w:asciiTheme="majorHAnsi" w:eastAsia="Times New Roman" w:hAnsiTheme="majorHAnsi" w:cstheme="majorHAnsi"/>
          <w:sz w:val="24"/>
          <w:szCs w:val="24"/>
          <w:shd w:val="clear" w:color="auto" w:fill="FFFFFF"/>
          <w:lang w:val="ro-MD"/>
        </w:rPr>
        <w:t xml:space="preserve"> față de cele achitate.</w:t>
      </w:r>
    </w:p>
    <w:p w14:paraId="491F87FD" w14:textId="77777777" w:rsidR="00FE54EB" w:rsidRDefault="00FE54EB" w:rsidP="00490517">
      <w:pPr>
        <w:pStyle w:val="aa"/>
        <w:shd w:val="clear" w:color="auto" w:fill="FFFFFF"/>
        <w:spacing w:after="0" w:line="276" w:lineRule="auto"/>
        <w:ind w:left="0"/>
        <w:jc w:val="right"/>
        <w:rPr>
          <w:rFonts w:asciiTheme="majorHAnsi" w:eastAsia="Times New Roman" w:hAnsiTheme="majorHAnsi" w:cstheme="majorHAnsi"/>
          <w:b/>
          <w:sz w:val="24"/>
          <w:szCs w:val="24"/>
          <w:shd w:val="clear" w:color="auto" w:fill="FFFFFF"/>
          <w:lang w:val="ro-MD"/>
        </w:rPr>
      </w:pPr>
    </w:p>
    <w:p w14:paraId="03FAC9EF" w14:textId="77777777" w:rsidR="00FE54EB" w:rsidRDefault="00FE54EB" w:rsidP="00490517">
      <w:pPr>
        <w:pStyle w:val="aa"/>
        <w:shd w:val="clear" w:color="auto" w:fill="FFFFFF"/>
        <w:spacing w:after="0" w:line="276" w:lineRule="auto"/>
        <w:ind w:left="0"/>
        <w:jc w:val="right"/>
        <w:rPr>
          <w:rFonts w:asciiTheme="majorHAnsi" w:eastAsia="Times New Roman" w:hAnsiTheme="majorHAnsi" w:cstheme="majorHAnsi"/>
          <w:b/>
          <w:sz w:val="24"/>
          <w:szCs w:val="24"/>
          <w:shd w:val="clear" w:color="auto" w:fill="FFFFFF"/>
          <w:lang w:val="ro-MD"/>
        </w:rPr>
      </w:pPr>
    </w:p>
    <w:p w14:paraId="27D6AA87" w14:textId="77777777" w:rsidR="00FE54EB" w:rsidRDefault="00FE54EB" w:rsidP="00490517">
      <w:pPr>
        <w:pStyle w:val="aa"/>
        <w:shd w:val="clear" w:color="auto" w:fill="FFFFFF"/>
        <w:spacing w:after="0" w:line="276" w:lineRule="auto"/>
        <w:ind w:left="0"/>
        <w:jc w:val="right"/>
        <w:rPr>
          <w:rFonts w:asciiTheme="majorHAnsi" w:eastAsia="Times New Roman" w:hAnsiTheme="majorHAnsi" w:cstheme="majorHAnsi"/>
          <w:b/>
          <w:sz w:val="24"/>
          <w:szCs w:val="24"/>
          <w:shd w:val="clear" w:color="auto" w:fill="FFFFFF"/>
          <w:lang w:val="ro-MD"/>
        </w:rPr>
      </w:pPr>
    </w:p>
    <w:p w14:paraId="5255E6A1" w14:textId="46F45E69" w:rsidR="009973AF" w:rsidRPr="00653E85" w:rsidRDefault="00490517" w:rsidP="00490517">
      <w:pPr>
        <w:pStyle w:val="aa"/>
        <w:shd w:val="clear" w:color="auto" w:fill="FFFFFF"/>
        <w:spacing w:after="0" w:line="276" w:lineRule="auto"/>
        <w:ind w:left="0"/>
        <w:jc w:val="right"/>
        <w:rPr>
          <w:rFonts w:asciiTheme="majorHAnsi" w:eastAsia="Times New Roman" w:hAnsiTheme="majorHAnsi" w:cstheme="majorHAnsi"/>
          <w:b/>
          <w:sz w:val="24"/>
          <w:szCs w:val="24"/>
          <w:shd w:val="clear" w:color="auto" w:fill="FFFFFF"/>
          <w:lang w:val="ro-MD"/>
        </w:rPr>
      </w:pPr>
      <w:r w:rsidRPr="00653E85">
        <w:rPr>
          <w:rFonts w:asciiTheme="majorHAnsi" w:eastAsia="Times New Roman" w:hAnsiTheme="majorHAnsi" w:cstheme="majorHAnsi"/>
          <w:b/>
          <w:sz w:val="24"/>
          <w:szCs w:val="24"/>
          <w:shd w:val="clear" w:color="auto" w:fill="FFFFFF"/>
          <w:lang w:val="ro-MD"/>
        </w:rPr>
        <w:t>Tabel</w:t>
      </w:r>
      <w:r w:rsidR="00581109" w:rsidRPr="00653E85">
        <w:rPr>
          <w:rFonts w:asciiTheme="majorHAnsi" w:eastAsia="Times New Roman" w:hAnsiTheme="majorHAnsi" w:cstheme="majorHAnsi"/>
          <w:b/>
          <w:sz w:val="24"/>
          <w:szCs w:val="24"/>
          <w:shd w:val="clear" w:color="auto" w:fill="FFFFFF"/>
          <w:lang w:val="ro-MD"/>
        </w:rPr>
        <w:t>ul</w:t>
      </w:r>
      <w:r w:rsidRPr="00653E85">
        <w:rPr>
          <w:rFonts w:asciiTheme="majorHAnsi" w:eastAsia="Times New Roman" w:hAnsiTheme="majorHAnsi" w:cstheme="majorHAnsi"/>
          <w:b/>
          <w:sz w:val="24"/>
          <w:szCs w:val="24"/>
          <w:shd w:val="clear" w:color="auto" w:fill="FFFFFF"/>
          <w:lang w:val="ro-MD"/>
        </w:rPr>
        <w:t xml:space="preserve"> nr.1</w:t>
      </w:r>
      <w:r w:rsidR="008D1DF2" w:rsidRPr="00653E85">
        <w:rPr>
          <w:rFonts w:asciiTheme="majorHAnsi" w:eastAsia="Times New Roman" w:hAnsiTheme="majorHAnsi" w:cstheme="majorHAnsi"/>
          <w:b/>
          <w:sz w:val="24"/>
          <w:szCs w:val="24"/>
          <w:shd w:val="clear" w:color="auto" w:fill="FFFFFF"/>
          <w:lang w:val="ro-MD"/>
        </w:rPr>
        <w:t>3</w:t>
      </w:r>
    </w:p>
    <w:p w14:paraId="54E01B73" w14:textId="75BE5371" w:rsidR="00B13C6C" w:rsidRPr="00653E85" w:rsidRDefault="00981AF2" w:rsidP="00981AF2">
      <w:pPr>
        <w:pStyle w:val="aa"/>
        <w:shd w:val="clear" w:color="auto" w:fill="FFFFFF"/>
        <w:spacing w:after="0" w:line="276" w:lineRule="auto"/>
        <w:ind w:left="0"/>
        <w:jc w:val="center"/>
        <w:rPr>
          <w:rFonts w:asciiTheme="majorHAnsi" w:eastAsia="Times New Roman" w:hAnsiTheme="majorHAnsi" w:cstheme="majorHAnsi"/>
          <w:b/>
          <w:sz w:val="24"/>
          <w:szCs w:val="24"/>
          <w:shd w:val="clear" w:color="auto" w:fill="FFFFFF"/>
          <w:lang w:val="ro-MD"/>
        </w:rPr>
      </w:pPr>
      <w:r w:rsidRPr="00653E85">
        <w:rPr>
          <w:rFonts w:asciiTheme="majorHAnsi" w:eastAsia="Times New Roman" w:hAnsiTheme="majorHAnsi" w:cstheme="majorHAnsi"/>
          <w:b/>
          <w:sz w:val="24"/>
          <w:szCs w:val="24"/>
          <w:shd w:val="clear" w:color="auto" w:fill="FFFFFF"/>
          <w:lang w:val="ro-MD"/>
        </w:rPr>
        <w:t xml:space="preserve">Analiza de audit privind acoperirea </w:t>
      </w:r>
      <w:r w:rsidRPr="00FE54EB">
        <w:rPr>
          <w:rFonts w:asciiTheme="majorHAnsi" w:eastAsia="Times New Roman" w:hAnsiTheme="majorHAnsi" w:cstheme="majorHAnsi"/>
          <w:b/>
          <w:sz w:val="24"/>
          <w:szCs w:val="24"/>
          <w:shd w:val="clear" w:color="auto" w:fill="FFFFFF"/>
          <w:lang w:val="ro-MD"/>
        </w:rPr>
        <w:t>contribuțiilor de asigurări sociale virate de</w:t>
      </w:r>
      <w:r w:rsidR="00C10267" w:rsidRPr="00FE54EB">
        <w:rPr>
          <w:rFonts w:asciiTheme="majorHAnsi" w:eastAsia="Times New Roman" w:hAnsiTheme="majorHAnsi" w:cstheme="majorHAnsi"/>
          <w:b/>
          <w:sz w:val="24"/>
          <w:szCs w:val="24"/>
          <w:shd w:val="clear" w:color="auto" w:fill="FFFFFF"/>
          <w:lang w:val="ro-MD"/>
        </w:rPr>
        <w:t xml:space="preserve"> parcurile</w:t>
      </w:r>
      <w:r w:rsidR="00387E6D" w:rsidRPr="00FE54EB">
        <w:rPr>
          <w:rFonts w:asciiTheme="majorHAnsi" w:eastAsia="Times New Roman" w:hAnsiTheme="majorHAnsi" w:cstheme="majorHAnsi"/>
          <w:b/>
          <w:sz w:val="24"/>
          <w:szCs w:val="24"/>
          <w:shd w:val="clear" w:color="auto" w:fill="FFFFFF"/>
          <w:lang w:val="ro-MD"/>
        </w:rPr>
        <w:t xml:space="preserve"> </w:t>
      </w:r>
      <w:r w:rsidR="00A52C8C" w:rsidRPr="00FE54EB">
        <w:rPr>
          <w:rFonts w:asciiTheme="majorHAnsi" w:eastAsia="Times New Roman" w:hAnsiTheme="majorHAnsi" w:cstheme="majorHAnsi"/>
          <w:b/>
          <w:sz w:val="24"/>
          <w:szCs w:val="24"/>
          <w:shd w:val="clear" w:color="auto" w:fill="FFFFFF"/>
          <w:lang w:val="ro-MD"/>
        </w:rPr>
        <w:t>TI</w:t>
      </w:r>
    </w:p>
    <w:tbl>
      <w:tblPr>
        <w:tblStyle w:val="af1"/>
        <w:tblW w:w="10097" w:type="dxa"/>
        <w:tblLook w:val="04A0" w:firstRow="1" w:lastRow="0" w:firstColumn="1" w:lastColumn="0" w:noHBand="0" w:noVBand="1"/>
      </w:tblPr>
      <w:tblGrid>
        <w:gridCol w:w="5221"/>
        <w:gridCol w:w="3154"/>
        <w:gridCol w:w="1722"/>
      </w:tblGrid>
      <w:tr w:rsidR="00787F4E" w:rsidRPr="007568BB" w14:paraId="3E1B5AFB" w14:textId="77777777" w:rsidTr="00787F4E">
        <w:trPr>
          <w:trHeight w:val="563"/>
        </w:trPr>
        <w:tc>
          <w:tcPr>
            <w:tcW w:w="5221" w:type="dxa"/>
            <w:vAlign w:val="center"/>
          </w:tcPr>
          <w:p w14:paraId="0553CB71" w14:textId="05AC33A3" w:rsidR="00787F4E" w:rsidRPr="007568BB" w:rsidRDefault="00787F4E" w:rsidP="007568BB">
            <w:pPr>
              <w:pStyle w:val="aa"/>
              <w:ind w:left="0"/>
              <w:contextualSpacing w:val="0"/>
              <w:jc w:val="center"/>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Indicator</w:t>
            </w:r>
          </w:p>
        </w:tc>
        <w:tc>
          <w:tcPr>
            <w:tcW w:w="3154" w:type="dxa"/>
            <w:vAlign w:val="center"/>
          </w:tcPr>
          <w:p w14:paraId="7AB06186" w14:textId="4159276C" w:rsidR="00787F4E" w:rsidRPr="007568BB" w:rsidRDefault="00787F4E" w:rsidP="007568BB">
            <w:pPr>
              <w:pStyle w:val="aa"/>
              <w:ind w:left="0"/>
              <w:contextualSpacing w:val="0"/>
              <w:jc w:val="center"/>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Formula de calcul</w:t>
            </w:r>
          </w:p>
        </w:tc>
        <w:tc>
          <w:tcPr>
            <w:tcW w:w="1722" w:type="dxa"/>
            <w:vAlign w:val="center"/>
          </w:tcPr>
          <w:p w14:paraId="5B9A49B7" w14:textId="537BBCBE" w:rsidR="00787F4E" w:rsidRPr="007568BB" w:rsidRDefault="00787F4E" w:rsidP="007568BB">
            <w:pPr>
              <w:pStyle w:val="aa"/>
              <w:ind w:left="0"/>
              <w:contextualSpacing w:val="0"/>
              <w:jc w:val="center"/>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Suma</w:t>
            </w:r>
          </w:p>
        </w:tc>
      </w:tr>
      <w:tr w:rsidR="00787F4E" w:rsidRPr="007568BB" w14:paraId="205A82A3" w14:textId="77777777" w:rsidTr="00787F4E">
        <w:trPr>
          <w:trHeight w:val="302"/>
        </w:trPr>
        <w:tc>
          <w:tcPr>
            <w:tcW w:w="5221" w:type="dxa"/>
          </w:tcPr>
          <w:p w14:paraId="3A7E12B2" w14:textId="7B327FAE" w:rsidR="00787F4E" w:rsidRPr="007568BB" w:rsidRDefault="00787F4E" w:rsidP="007568BB">
            <w:pPr>
              <w:pStyle w:val="aa"/>
              <w:ind w:left="0"/>
              <w:contextualSpacing w:val="0"/>
              <w:jc w:val="both"/>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Salariul mediu pe economie în anul 2022</w:t>
            </w:r>
            <w:r w:rsidR="00490517" w:rsidRPr="007568BB">
              <w:rPr>
                <w:rFonts w:asciiTheme="majorHAnsi" w:eastAsia="Times New Roman" w:hAnsiTheme="majorHAnsi" w:cstheme="majorHAnsi"/>
                <w:b/>
                <w:szCs w:val="24"/>
                <w:shd w:val="clear" w:color="auto" w:fill="FFFFFF"/>
                <w:lang w:val="ro-MD"/>
              </w:rPr>
              <w:t>, lei</w:t>
            </w:r>
          </w:p>
        </w:tc>
        <w:tc>
          <w:tcPr>
            <w:tcW w:w="3154" w:type="dxa"/>
          </w:tcPr>
          <w:p w14:paraId="11A00365" w14:textId="05D0222F"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x</w:t>
            </w:r>
          </w:p>
        </w:tc>
        <w:tc>
          <w:tcPr>
            <w:tcW w:w="1722" w:type="dxa"/>
          </w:tcPr>
          <w:p w14:paraId="42AEED2B" w14:textId="41BF5204"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9</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900</w:t>
            </w:r>
          </w:p>
        </w:tc>
      </w:tr>
      <w:tr w:rsidR="00787F4E" w:rsidRPr="007568BB" w14:paraId="45F9E6EF" w14:textId="77777777" w:rsidTr="00787F4E">
        <w:trPr>
          <w:trHeight w:val="302"/>
        </w:trPr>
        <w:tc>
          <w:tcPr>
            <w:tcW w:w="5221" w:type="dxa"/>
          </w:tcPr>
          <w:p w14:paraId="4B527571" w14:textId="7DE400A1" w:rsidR="00787F4E" w:rsidRPr="007568BB" w:rsidRDefault="00787F4E" w:rsidP="007568BB">
            <w:pPr>
              <w:pStyle w:val="aa"/>
              <w:ind w:left="0"/>
              <w:contextualSpacing w:val="0"/>
              <w:jc w:val="both"/>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Venitul lunar asigurat</w:t>
            </w:r>
            <w:r w:rsidR="00490517" w:rsidRPr="007568BB">
              <w:rPr>
                <w:rFonts w:asciiTheme="majorHAnsi" w:eastAsia="Times New Roman" w:hAnsiTheme="majorHAnsi" w:cstheme="majorHAnsi"/>
                <w:b/>
                <w:szCs w:val="24"/>
                <w:shd w:val="clear" w:color="auto" w:fill="FFFFFF"/>
                <w:lang w:val="ro-MD"/>
              </w:rPr>
              <w:t>, lei</w:t>
            </w:r>
          </w:p>
        </w:tc>
        <w:tc>
          <w:tcPr>
            <w:tcW w:w="3154" w:type="dxa"/>
          </w:tcPr>
          <w:p w14:paraId="35703BCE" w14:textId="3F912D95"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9</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900*68%</w:t>
            </w:r>
          </w:p>
        </w:tc>
        <w:tc>
          <w:tcPr>
            <w:tcW w:w="1722" w:type="dxa"/>
          </w:tcPr>
          <w:p w14:paraId="2DB319D1" w14:textId="6A64F7B7"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6</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732</w:t>
            </w:r>
          </w:p>
        </w:tc>
      </w:tr>
      <w:tr w:rsidR="00787F4E" w:rsidRPr="007568BB" w14:paraId="300CDAD3" w14:textId="77777777" w:rsidTr="00787F4E">
        <w:trPr>
          <w:trHeight w:val="302"/>
        </w:trPr>
        <w:tc>
          <w:tcPr>
            <w:tcW w:w="5221" w:type="dxa"/>
          </w:tcPr>
          <w:p w14:paraId="1F1D3478" w14:textId="3DD54105" w:rsidR="00787F4E" w:rsidRPr="007568BB" w:rsidRDefault="00787F4E" w:rsidP="007568BB">
            <w:pPr>
              <w:pStyle w:val="aa"/>
              <w:ind w:left="0"/>
              <w:contextualSpacing w:val="0"/>
              <w:jc w:val="both"/>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Contribuții BASS declarate</w:t>
            </w:r>
            <w:r w:rsidR="00490517" w:rsidRPr="007568BB">
              <w:rPr>
                <w:rFonts w:asciiTheme="majorHAnsi" w:eastAsia="Times New Roman" w:hAnsiTheme="majorHAnsi" w:cstheme="majorHAnsi"/>
                <w:b/>
                <w:szCs w:val="24"/>
                <w:shd w:val="clear" w:color="auto" w:fill="FFFFFF"/>
                <w:lang w:val="ro-MD"/>
              </w:rPr>
              <w:t xml:space="preserve"> conform extrasului individual, lei</w:t>
            </w:r>
          </w:p>
        </w:tc>
        <w:tc>
          <w:tcPr>
            <w:tcW w:w="3154" w:type="dxa"/>
          </w:tcPr>
          <w:p w14:paraId="3E72AAAC" w14:textId="250516F5"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6</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732*29%</w:t>
            </w:r>
          </w:p>
        </w:tc>
        <w:tc>
          <w:tcPr>
            <w:tcW w:w="1722" w:type="dxa"/>
          </w:tcPr>
          <w:p w14:paraId="500A6279" w14:textId="4AB5C6C0"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1</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952,28</w:t>
            </w:r>
          </w:p>
        </w:tc>
      </w:tr>
      <w:tr w:rsidR="00787F4E" w:rsidRPr="007568BB" w14:paraId="7929C508" w14:textId="77777777" w:rsidTr="00787F4E">
        <w:trPr>
          <w:trHeight w:val="594"/>
        </w:trPr>
        <w:tc>
          <w:tcPr>
            <w:tcW w:w="5221" w:type="dxa"/>
          </w:tcPr>
          <w:p w14:paraId="3D3CC45F" w14:textId="63EF4160" w:rsidR="00787F4E" w:rsidRPr="007568BB" w:rsidRDefault="00787F4E" w:rsidP="007568BB">
            <w:pPr>
              <w:pStyle w:val="aa"/>
              <w:ind w:left="0"/>
              <w:contextualSpacing w:val="0"/>
              <w:jc w:val="both"/>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Contribuții BASS achitate în cazul aplicării tarifului minim</w:t>
            </w:r>
            <w:r w:rsidR="0001097D" w:rsidRPr="007568BB">
              <w:rPr>
                <w:rFonts w:asciiTheme="majorHAnsi" w:eastAsia="Times New Roman" w:hAnsiTheme="majorHAnsi" w:cstheme="majorHAnsi"/>
                <w:b/>
                <w:szCs w:val="24"/>
                <w:shd w:val="clear" w:color="auto" w:fill="FFFFFF"/>
                <w:lang w:val="ro-MD"/>
              </w:rPr>
              <w:t xml:space="preserve"> conform dărilor de seamă IU</w:t>
            </w:r>
            <w:r w:rsidR="00490517" w:rsidRPr="007568BB">
              <w:rPr>
                <w:rFonts w:asciiTheme="majorHAnsi" w:eastAsia="Times New Roman" w:hAnsiTheme="majorHAnsi" w:cstheme="majorHAnsi"/>
                <w:b/>
                <w:szCs w:val="24"/>
                <w:shd w:val="clear" w:color="auto" w:fill="FFFFFF"/>
                <w:lang w:val="ro-MD"/>
              </w:rPr>
              <w:t>, lei</w:t>
            </w:r>
          </w:p>
        </w:tc>
        <w:tc>
          <w:tcPr>
            <w:tcW w:w="3154" w:type="dxa"/>
          </w:tcPr>
          <w:p w14:paraId="5F464C72" w14:textId="18D07D24"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9</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900*30%*54,7%</w:t>
            </w:r>
          </w:p>
        </w:tc>
        <w:tc>
          <w:tcPr>
            <w:tcW w:w="1722" w:type="dxa"/>
          </w:tcPr>
          <w:p w14:paraId="26EFACBF" w14:textId="7AC97AAF"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1</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624,59</w:t>
            </w:r>
          </w:p>
        </w:tc>
      </w:tr>
      <w:tr w:rsidR="00787F4E" w:rsidRPr="007568BB" w14:paraId="2B1BD1D3" w14:textId="77777777" w:rsidTr="00787F4E">
        <w:trPr>
          <w:trHeight w:val="594"/>
        </w:trPr>
        <w:tc>
          <w:tcPr>
            <w:tcW w:w="5221" w:type="dxa"/>
          </w:tcPr>
          <w:p w14:paraId="30CF0196" w14:textId="7467570E" w:rsidR="00787F4E" w:rsidRPr="007568BB" w:rsidRDefault="00787F4E" w:rsidP="007568BB">
            <w:pPr>
              <w:pStyle w:val="aa"/>
              <w:ind w:left="0"/>
              <w:contextualSpacing w:val="0"/>
              <w:jc w:val="both"/>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Diferența între contribuțiile declarate și cele achitate</w:t>
            </w:r>
            <w:r w:rsidR="00490517" w:rsidRPr="007568BB">
              <w:rPr>
                <w:rFonts w:asciiTheme="majorHAnsi" w:eastAsia="Times New Roman" w:hAnsiTheme="majorHAnsi" w:cstheme="majorHAnsi"/>
                <w:b/>
                <w:szCs w:val="24"/>
                <w:shd w:val="clear" w:color="auto" w:fill="FFFFFF"/>
                <w:lang w:val="ro-MD"/>
              </w:rPr>
              <w:t>, lei</w:t>
            </w:r>
          </w:p>
        </w:tc>
        <w:tc>
          <w:tcPr>
            <w:tcW w:w="3154" w:type="dxa"/>
          </w:tcPr>
          <w:p w14:paraId="107C9E01" w14:textId="5682E1C3" w:rsidR="00787F4E" w:rsidRPr="007568BB" w:rsidRDefault="00787F4E"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1</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952,28-1</w:t>
            </w:r>
            <w:r w:rsidR="00415A0B" w:rsidRPr="007568BB">
              <w:rPr>
                <w:rFonts w:asciiTheme="majorHAnsi" w:eastAsia="Times New Roman" w:hAnsiTheme="majorHAnsi" w:cstheme="majorHAnsi"/>
                <w:szCs w:val="24"/>
                <w:shd w:val="clear" w:color="auto" w:fill="FFFFFF"/>
                <w:lang w:val="ro-MD"/>
              </w:rPr>
              <w:t xml:space="preserve"> </w:t>
            </w:r>
            <w:r w:rsidRPr="007568BB">
              <w:rPr>
                <w:rFonts w:asciiTheme="majorHAnsi" w:eastAsia="Times New Roman" w:hAnsiTheme="majorHAnsi" w:cstheme="majorHAnsi"/>
                <w:szCs w:val="24"/>
                <w:shd w:val="clear" w:color="auto" w:fill="FFFFFF"/>
                <w:lang w:val="ro-MD"/>
              </w:rPr>
              <w:t>624,59</w:t>
            </w:r>
          </w:p>
        </w:tc>
        <w:tc>
          <w:tcPr>
            <w:tcW w:w="1722" w:type="dxa"/>
          </w:tcPr>
          <w:p w14:paraId="17C63CEB" w14:textId="101AADD2" w:rsidR="00787F4E" w:rsidRPr="007568BB" w:rsidRDefault="00787F4E" w:rsidP="007568BB">
            <w:pPr>
              <w:pStyle w:val="aa"/>
              <w:ind w:left="0"/>
              <w:contextualSpacing w:val="0"/>
              <w:jc w:val="right"/>
              <w:rPr>
                <w:rFonts w:asciiTheme="majorHAnsi" w:eastAsia="Times New Roman" w:hAnsiTheme="majorHAnsi" w:cstheme="majorHAnsi"/>
                <w:b/>
                <w:szCs w:val="24"/>
                <w:shd w:val="clear" w:color="auto" w:fill="FFFFFF"/>
                <w:lang w:val="ro-MD"/>
              </w:rPr>
            </w:pPr>
            <w:r w:rsidRPr="007568BB">
              <w:rPr>
                <w:rFonts w:asciiTheme="majorHAnsi" w:eastAsia="Times New Roman" w:hAnsiTheme="majorHAnsi" w:cstheme="majorHAnsi"/>
                <w:b/>
                <w:szCs w:val="24"/>
                <w:shd w:val="clear" w:color="auto" w:fill="FFFFFF"/>
                <w:lang w:val="ro-MD"/>
              </w:rPr>
              <w:t>327,69</w:t>
            </w:r>
          </w:p>
        </w:tc>
      </w:tr>
      <w:tr w:rsidR="00787F4E" w:rsidRPr="007568BB" w14:paraId="35887A2C" w14:textId="77777777" w:rsidTr="005A2FAD">
        <w:trPr>
          <w:trHeight w:val="594"/>
        </w:trPr>
        <w:tc>
          <w:tcPr>
            <w:tcW w:w="5221" w:type="dxa"/>
            <w:shd w:val="clear" w:color="auto" w:fill="FFFFFF" w:themeFill="background1"/>
          </w:tcPr>
          <w:p w14:paraId="76844099" w14:textId="64389C1E" w:rsidR="00787F4E" w:rsidRPr="007568BB" w:rsidRDefault="00787F4E" w:rsidP="007568BB">
            <w:pPr>
              <w:pStyle w:val="aa"/>
              <w:ind w:left="0"/>
              <w:contextualSpacing w:val="0"/>
              <w:jc w:val="both"/>
              <w:rPr>
                <w:rFonts w:asciiTheme="majorHAnsi" w:eastAsia="Times New Roman" w:hAnsiTheme="majorHAnsi" w:cstheme="majorHAnsi"/>
                <w:b/>
                <w:szCs w:val="24"/>
                <w:highlight w:val="yellow"/>
                <w:shd w:val="clear" w:color="auto" w:fill="FFFFFF"/>
                <w:lang w:val="ro-MD"/>
              </w:rPr>
            </w:pPr>
            <w:r w:rsidRPr="007568BB">
              <w:rPr>
                <w:rFonts w:asciiTheme="majorHAnsi" w:eastAsia="Times New Roman" w:hAnsiTheme="majorHAnsi" w:cstheme="majorHAnsi"/>
                <w:b/>
                <w:szCs w:val="24"/>
                <w:shd w:val="clear" w:color="auto" w:fill="FFFFFF"/>
                <w:lang w:val="ro-MD"/>
              </w:rPr>
              <w:t>Numărul de salariați T</w:t>
            </w:r>
            <w:r w:rsidR="00C10267" w:rsidRPr="007568BB">
              <w:rPr>
                <w:rFonts w:asciiTheme="majorHAnsi" w:eastAsia="Times New Roman" w:hAnsiTheme="majorHAnsi" w:cstheme="majorHAnsi"/>
                <w:b/>
                <w:szCs w:val="24"/>
                <w:shd w:val="clear" w:color="auto" w:fill="FFFFFF"/>
                <w:lang w:val="ro-MD"/>
              </w:rPr>
              <w:t>I</w:t>
            </w:r>
            <w:r w:rsidRPr="007568BB">
              <w:rPr>
                <w:rFonts w:asciiTheme="majorHAnsi" w:eastAsia="Times New Roman" w:hAnsiTheme="majorHAnsi" w:cstheme="majorHAnsi"/>
                <w:b/>
                <w:szCs w:val="24"/>
                <w:shd w:val="clear" w:color="auto" w:fill="FFFFFF"/>
                <w:lang w:val="ro-MD"/>
              </w:rPr>
              <w:t xml:space="preserve"> asigurați conform tarifului minim</w:t>
            </w:r>
          </w:p>
        </w:tc>
        <w:tc>
          <w:tcPr>
            <w:tcW w:w="3154" w:type="dxa"/>
          </w:tcPr>
          <w:p w14:paraId="4AAF1402" w14:textId="79CCFECA" w:rsidR="00787F4E" w:rsidRPr="007568BB" w:rsidRDefault="005A2FAD"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Variază lunar de la 1056 până la 8542 salariați</w:t>
            </w:r>
          </w:p>
        </w:tc>
        <w:tc>
          <w:tcPr>
            <w:tcW w:w="1722" w:type="dxa"/>
          </w:tcPr>
          <w:p w14:paraId="399F7641" w14:textId="35A8018E" w:rsidR="00787F4E" w:rsidRPr="007568BB" w:rsidRDefault="005A2FAD"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x</w:t>
            </w:r>
          </w:p>
        </w:tc>
      </w:tr>
      <w:tr w:rsidR="00787F4E" w:rsidRPr="007568BB" w14:paraId="360649E2" w14:textId="77777777" w:rsidTr="005A2FAD">
        <w:trPr>
          <w:trHeight w:val="308"/>
        </w:trPr>
        <w:tc>
          <w:tcPr>
            <w:tcW w:w="5221" w:type="dxa"/>
            <w:shd w:val="clear" w:color="auto" w:fill="auto"/>
          </w:tcPr>
          <w:p w14:paraId="70134FB8" w14:textId="60A3A29E" w:rsidR="00787F4E" w:rsidRPr="007568BB" w:rsidRDefault="00787F4E" w:rsidP="007568BB">
            <w:pPr>
              <w:pStyle w:val="aa"/>
              <w:ind w:left="0"/>
              <w:contextualSpacing w:val="0"/>
              <w:jc w:val="both"/>
              <w:rPr>
                <w:rFonts w:asciiTheme="majorHAnsi" w:eastAsia="Times New Roman" w:hAnsiTheme="majorHAnsi" w:cstheme="majorHAnsi"/>
                <w:b/>
                <w:szCs w:val="24"/>
                <w:highlight w:val="yellow"/>
                <w:shd w:val="clear" w:color="auto" w:fill="FFFFFF"/>
                <w:lang w:val="ro-MD"/>
              </w:rPr>
            </w:pPr>
            <w:r w:rsidRPr="007568BB">
              <w:rPr>
                <w:rFonts w:asciiTheme="majorHAnsi" w:eastAsia="Times New Roman" w:hAnsiTheme="majorHAnsi" w:cstheme="majorHAnsi"/>
                <w:b/>
                <w:szCs w:val="24"/>
                <w:shd w:val="clear" w:color="auto" w:fill="FFFFFF"/>
                <w:lang w:val="ro-MD"/>
              </w:rPr>
              <w:t>Pierderi ale BASS estimate de audit</w:t>
            </w:r>
            <w:r w:rsidR="00C10267" w:rsidRPr="007568BB">
              <w:rPr>
                <w:rFonts w:asciiTheme="majorHAnsi" w:eastAsia="Times New Roman" w:hAnsiTheme="majorHAnsi" w:cstheme="majorHAnsi"/>
                <w:b/>
                <w:szCs w:val="24"/>
                <w:shd w:val="clear" w:color="auto" w:fill="FFFFFF"/>
                <w:lang w:val="ro-MD"/>
              </w:rPr>
              <w:t>,</w:t>
            </w:r>
            <w:r w:rsidR="005A2FAD" w:rsidRPr="007568BB">
              <w:rPr>
                <w:rFonts w:asciiTheme="majorHAnsi" w:eastAsia="Times New Roman" w:hAnsiTheme="majorHAnsi" w:cstheme="majorHAnsi"/>
                <w:b/>
                <w:szCs w:val="24"/>
                <w:shd w:val="clear" w:color="auto" w:fill="FFFFFF"/>
                <w:lang w:val="ro-MD"/>
              </w:rPr>
              <w:t xml:space="preserve"> mii lei</w:t>
            </w:r>
          </w:p>
        </w:tc>
        <w:tc>
          <w:tcPr>
            <w:tcW w:w="3154" w:type="dxa"/>
          </w:tcPr>
          <w:p w14:paraId="2FE62800" w14:textId="03D0DBD5" w:rsidR="00787F4E" w:rsidRPr="007568BB" w:rsidRDefault="005A2FAD" w:rsidP="007568BB">
            <w:pPr>
              <w:pStyle w:val="aa"/>
              <w:ind w:left="0"/>
              <w:contextualSpacing w:val="0"/>
              <w:jc w:val="both"/>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Numărul lunar de salariați conform tarifului minim x 327,69</w:t>
            </w:r>
          </w:p>
        </w:tc>
        <w:tc>
          <w:tcPr>
            <w:tcW w:w="1722" w:type="dxa"/>
          </w:tcPr>
          <w:p w14:paraId="2B99600B" w14:textId="4DA837A0" w:rsidR="00787F4E" w:rsidRPr="007568BB" w:rsidRDefault="005A2FAD" w:rsidP="007568BB">
            <w:pPr>
              <w:pStyle w:val="aa"/>
              <w:ind w:left="0"/>
              <w:contextualSpacing w:val="0"/>
              <w:jc w:val="right"/>
              <w:rPr>
                <w:rFonts w:asciiTheme="majorHAnsi" w:eastAsia="Times New Roman" w:hAnsiTheme="majorHAnsi" w:cstheme="majorHAnsi"/>
                <w:szCs w:val="24"/>
                <w:shd w:val="clear" w:color="auto" w:fill="FFFFFF"/>
                <w:lang w:val="ro-MD"/>
              </w:rPr>
            </w:pPr>
            <w:r w:rsidRPr="007568BB">
              <w:rPr>
                <w:rFonts w:asciiTheme="majorHAnsi" w:eastAsia="Times New Roman" w:hAnsiTheme="majorHAnsi" w:cstheme="majorHAnsi"/>
                <w:szCs w:val="24"/>
                <w:shd w:val="clear" w:color="auto" w:fill="FFFFFF"/>
                <w:lang w:val="ro-MD"/>
              </w:rPr>
              <w:t>9012,5</w:t>
            </w:r>
          </w:p>
        </w:tc>
      </w:tr>
    </w:tbl>
    <w:p w14:paraId="092FFEF7" w14:textId="72C75490" w:rsidR="009973AF" w:rsidRPr="00653E85" w:rsidRDefault="00B13C6C" w:rsidP="00DA562C">
      <w:pPr>
        <w:pStyle w:val="aa"/>
        <w:shd w:val="clear" w:color="auto" w:fill="FFFFFF"/>
        <w:spacing w:after="0" w:line="276" w:lineRule="auto"/>
        <w:ind w:left="0"/>
        <w:jc w:val="both"/>
        <w:rPr>
          <w:rFonts w:asciiTheme="majorHAnsi" w:eastAsia="Times New Roman" w:hAnsiTheme="majorHAnsi" w:cstheme="majorHAnsi"/>
          <w:i/>
          <w:sz w:val="20"/>
          <w:szCs w:val="18"/>
          <w:shd w:val="clear" w:color="auto" w:fill="FFFFFF"/>
          <w:lang w:val="ro-MD"/>
        </w:rPr>
      </w:pPr>
      <w:r w:rsidRPr="00653E85">
        <w:rPr>
          <w:rFonts w:asciiTheme="majorHAnsi" w:eastAsia="Times New Roman" w:hAnsiTheme="majorHAnsi" w:cstheme="majorHAnsi"/>
          <w:i/>
          <w:sz w:val="20"/>
          <w:szCs w:val="18"/>
          <w:shd w:val="clear" w:color="auto" w:fill="FFFFFF"/>
          <w:lang w:val="ro-MD"/>
        </w:rPr>
        <w:t>Sursa: Elaborat de audit</w:t>
      </w:r>
      <w:r w:rsidR="00C10267" w:rsidRPr="00653E85">
        <w:rPr>
          <w:rFonts w:asciiTheme="majorHAnsi" w:eastAsia="Times New Roman" w:hAnsiTheme="majorHAnsi" w:cstheme="majorHAnsi"/>
          <w:i/>
          <w:sz w:val="20"/>
          <w:szCs w:val="18"/>
          <w:shd w:val="clear" w:color="auto" w:fill="FFFFFF"/>
          <w:lang w:val="ro-MD"/>
        </w:rPr>
        <w:t>.</w:t>
      </w:r>
    </w:p>
    <w:p w14:paraId="7B343E36" w14:textId="77777777" w:rsidR="00B13C6C" w:rsidRPr="00653E85" w:rsidRDefault="00B13C6C" w:rsidP="00DA562C">
      <w:pPr>
        <w:pStyle w:val="aa"/>
        <w:shd w:val="clear" w:color="auto" w:fill="FFFFFF"/>
        <w:spacing w:after="0" w:line="276" w:lineRule="auto"/>
        <w:ind w:left="0"/>
        <w:jc w:val="both"/>
        <w:rPr>
          <w:rFonts w:asciiTheme="majorHAnsi" w:eastAsia="Times New Roman" w:hAnsiTheme="majorHAnsi" w:cstheme="majorHAnsi"/>
          <w:sz w:val="18"/>
          <w:szCs w:val="18"/>
          <w:shd w:val="clear" w:color="auto" w:fill="FFFFFF"/>
          <w:lang w:val="ro-MD"/>
        </w:rPr>
      </w:pPr>
    </w:p>
    <w:p w14:paraId="5C4B6939" w14:textId="3EA12D9D" w:rsidR="00DA562C" w:rsidRPr="00653E85" w:rsidRDefault="004042BC" w:rsidP="004042BC">
      <w:pPr>
        <w:pStyle w:val="aa"/>
        <w:shd w:val="clear" w:color="auto" w:fill="FFFFFF"/>
        <w:spacing w:after="0" w:line="276" w:lineRule="auto"/>
        <w:ind w:left="0"/>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Prin urmare, analiz</w:t>
      </w:r>
      <w:r w:rsidR="005714A2" w:rsidRPr="00653E85">
        <w:rPr>
          <w:rFonts w:asciiTheme="majorHAnsi" w:eastAsia="Times New Roman" w:hAnsiTheme="majorHAnsi" w:cstheme="majorHAnsi"/>
          <w:sz w:val="24"/>
          <w:szCs w:val="24"/>
          <w:shd w:val="clear" w:color="auto" w:fill="FFFFFF"/>
          <w:lang w:val="ro-MD"/>
        </w:rPr>
        <w:t>a</w:t>
      </w:r>
      <w:r w:rsidRPr="00653E85">
        <w:rPr>
          <w:rFonts w:asciiTheme="majorHAnsi" w:eastAsia="Times New Roman" w:hAnsiTheme="majorHAnsi" w:cstheme="majorHAnsi"/>
          <w:sz w:val="24"/>
          <w:szCs w:val="24"/>
          <w:shd w:val="clear" w:color="auto" w:fill="FFFFFF"/>
          <w:lang w:val="ro-MD"/>
        </w:rPr>
        <w:t xml:space="preserve"> informațiilor din SI </w:t>
      </w:r>
      <w:r w:rsidR="00C10267" w:rsidRPr="00653E85">
        <w:rPr>
          <w:rFonts w:asciiTheme="majorHAnsi" w:eastAsia="Times New Roman" w:hAnsiTheme="majorHAnsi" w:cstheme="majorHAnsi"/>
          <w:sz w:val="24"/>
          <w:szCs w:val="24"/>
          <w:shd w:val="clear" w:color="auto" w:fill="FFFFFF"/>
          <w:lang w:val="ro-MD"/>
        </w:rPr>
        <w:t>„</w:t>
      </w:r>
      <w:r w:rsidRPr="00653E85">
        <w:rPr>
          <w:rFonts w:asciiTheme="majorHAnsi" w:eastAsia="Times New Roman" w:hAnsiTheme="majorHAnsi" w:cstheme="majorHAnsi"/>
          <w:sz w:val="24"/>
          <w:szCs w:val="24"/>
          <w:shd w:val="clear" w:color="auto" w:fill="FFFFFF"/>
          <w:lang w:val="ro-MD"/>
        </w:rPr>
        <w:t>Protecția Socială</w:t>
      </w:r>
      <w:r w:rsidR="00C10267" w:rsidRPr="00653E85">
        <w:rPr>
          <w:rFonts w:asciiTheme="majorHAnsi" w:eastAsia="Times New Roman" w:hAnsiTheme="majorHAnsi" w:cstheme="majorHAnsi"/>
          <w:sz w:val="24"/>
          <w:szCs w:val="24"/>
          <w:shd w:val="clear" w:color="auto" w:fill="FFFFFF"/>
          <w:lang w:val="ro-MD"/>
        </w:rPr>
        <w:t>”</w:t>
      </w:r>
      <w:r w:rsidRPr="00653E85">
        <w:rPr>
          <w:rFonts w:asciiTheme="majorHAnsi" w:eastAsia="Times New Roman" w:hAnsiTheme="majorHAnsi" w:cstheme="majorHAnsi"/>
          <w:sz w:val="24"/>
          <w:szCs w:val="24"/>
          <w:shd w:val="clear" w:color="auto" w:fill="FFFFFF"/>
          <w:lang w:val="ro-MD"/>
        </w:rPr>
        <w:t xml:space="preserve">, vizualizarea contului curent al plătitorului la BASS și a extrasului din contul personal </w:t>
      </w:r>
      <w:r w:rsidR="00C10267" w:rsidRPr="00653E85">
        <w:rPr>
          <w:rFonts w:asciiTheme="majorHAnsi" w:eastAsia="Times New Roman" w:hAnsiTheme="majorHAnsi" w:cstheme="majorHAnsi"/>
          <w:sz w:val="24"/>
          <w:szCs w:val="24"/>
          <w:shd w:val="clear" w:color="auto" w:fill="FFFFFF"/>
          <w:lang w:val="ro-MD"/>
        </w:rPr>
        <w:t>relevă</w:t>
      </w:r>
      <w:r w:rsidRPr="00653E85">
        <w:rPr>
          <w:rFonts w:asciiTheme="majorHAnsi" w:eastAsia="Times New Roman" w:hAnsiTheme="majorHAnsi" w:cstheme="majorHAnsi"/>
          <w:sz w:val="24"/>
          <w:szCs w:val="24"/>
          <w:shd w:val="clear" w:color="auto" w:fill="FFFFFF"/>
          <w:lang w:val="ro-MD"/>
        </w:rPr>
        <w:t xml:space="preserve"> că suma contribuțiilor de asigurări sociale determinate spre transfer la BASS, în unele cazuri</w:t>
      </w:r>
      <w:r w:rsidR="00C10267" w:rsidRPr="00653E85">
        <w:rPr>
          <w:rFonts w:asciiTheme="majorHAnsi" w:eastAsia="Times New Roman" w:hAnsiTheme="majorHAnsi" w:cstheme="majorHAnsi"/>
          <w:sz w:val="24"/>
          <w:szCs w:val="24"/>
          <w:shd w:val="clear" w:color="auto" w:fill="FFFFFF"/>
          <w:lang w:val="ro-MD"/>
        </w:rPr>
        <w:t>,</w:t>
      </w:r>
      <w:r w:rsidRPr="00653E85">
        <w:rPr>
          <w:rFonts w:asciiTheme="majorHAnsi" w:eastAsia="Times New Roman" w:hAnsiTheme="majorHAnsi" w:cstheme="majorHAnsi"/>
          <w:sz w:val="24"/>
          <w:szCs w:val="24"/>
          <w:shd w:val="clear" w:color="auto" w:fill="FFFFFF"/>
          <w:lang w:val="ro-MD"/>
        </w:rPr>
        <w:t xml:space="preserve"> nu acoperă integral cuantumul contribuțiilor de asigurări sociale calcula</w:t>
      </w:r>
      <w:r w:rsidR="005714A2" w:rsidRPr="00653E85">
        <w:rPr>
          <w:rFonts w:asciiTheme="majorHAnsi" w:eastAsia="Times New Roman" w:hAnsiTheme="majorHAnsi" w:cstheme="majorHAnsi"/>
          <w:sz w:val="24"/>
          <w:szCs w:val="24"/>
          <w:shd w:val="clear" w:color="auto" w:fill="FFFFFF"/>
          <w:lang w:val="ro-MD"/>
        </w:rPr>
        <w:t>te</w:t>
      </w:r>
      <w:r w:rsidR="00504985" w:rsidRPr="00653E85">
        <w:rPr>
          <w:rFonts w:asciiTheme="majorHAnsi" w:eastAsia="Times New Roman" w:hAnsiTheme="majorHAnsi" w:cstheme="majorHAnsi"/>
          <w:sz w:val="24"/>
          <w:szCs w:val="24"/>
          <w:shd w:val="clear" w:color="auto" w:fill="FFFFFF"/>
          <w:lang w:val="ro-MD"/>
        </w:rPr>
        <w:t xml:space="preserve"> ce asigură baza de calcul</w:t>
      </w:r>
      <w:r w:rsidR="005714A2" w:rsidRPr="00653E85">
        <w:rPr>
          <w:rFonts w:asciiTheme="majorHAnsi" w:eastAsia="Times New Roman" w:hAnsiTheme="majorHAnsi" w:cstheme="majorHAnsi"/>
          <w:sz w:val="24"/>
          <w:szCs w:val="24"/>
          <w:shd w:val="clear" w:color="auto" w:fill="FFFFFF"/>
          <w:lang w:val="ro-MD"/>
        </w:rPr>
        <w:t>, ceea ce determină</w:t>
      </w:r>
      <w:r w:rsidR="00537BD4" w:rsidRPr="00653E85">
        <w:rPr>
          <w:rFonts w:asciiTheme="majorHAnsi" w:eastAsia="Times New Roman" w:hAnsiTheme="majorHAnsi" w:cstheme="majorHAnsi"/>
          <w:sz w:val="24"/>
          <w:szCs w:val="24"/>
          <w:shd w:val="clear" w:color="auto" w:fill="FFFFFF"/>
          <w:lang w:val="ro-MD"/>
        </w:rPr>
        <w:t xml:space="preserve"> venituri ratate</w:t>
      </w:r>
      <w:r w:rsidR="00C10267" w:rsidRPr="00653E85">
        <w:rPr>
          <w:rFonts w:asciiTheme="majorHAnsi" w:eastAsia="Times New Roman" w:hAnsiTheme="majorHAnsi" w:cstheme="majorHAnsi"/>
          <w:sz w:val="24"/>
          <w:szCs w:val="24"/>
          <w:shd w:val="clear" w:color="auto" w:fill="FFFFFF"/>
          <w:lang w:val="ro-MD"/>
        </w:rPr>
        <w:t>,</w:t>
      </w:r>
      <w:r w:rsidR="005A2FAD" w:rsidRPr="00653E85">
        <w:rPr>
          <w:rFonts w:asciiTheme="majorHAnsi" w:eastAsia="Times New Roman" w:hAnsiTheme="majorHAnsi" w:cstheme="majorHAnsi"/>
          <w:sz w:val="24"/>
          <w:szCs w:val="24"/>
          <w:shd w:val="clear" w:color="auto" w:fill="FFFFFF"/>
          <w:lang w:val="ro-MD"/>
        </w:rPr>
        <w:t xml:space="preserve"> estimate de audit în anul 2022 la 9</w:t>
      </w:r>
      <w:r w:rsidR="00C10267" w:rsidRPr="00653E85">
        <w:rPr>
          <w:rFonts w:asciiTheme="majorHAnsi" w:eastAsia="Times New Roman" w:hAnsiTheme="majorHAnsi" w:cstheme="majorHAnsi"/>
          <w:sz w:val="24"/>
          <w:szCs w:val="24"/>
          <w:shd w:val="clear" w:color="auto" w:fill="FFFFFF"/>
          <w:lang w:val="ro-MD"/>
        </w:rPr>
        <w:t xml:space="preserve"> </w:t>
      </w:r>
      <w:r w:rsidR="005A2FAD" w:rsidRPr="00653E85">
        <w:rPr>
          <w:rFonts w:asciiTheme="majorHAnsi" w:eastAsia="Times New Roman" w:hAnsiTheme="majorHAnsi" w:cstheme="majorHAnsi"/>
          <w:sz w:val="24"/>
          <w:szCs w:val="24"/>
          <w:shd w:val="clear" w:color="auto" w:fill="FFFFFF"/>
          <w:lang w:val="ro-MD"/>
        </w:rPr>
        <w:t>012,5 mii lei și</w:t>
      </w:r>
      <w:r w:rsidR="00C10267" w:rsidRPr="00653E85">
        <w:rPr>
          <w:rFonts w:asciiTheme="majorHAnsi" w:eastAsia="Times New Roman" w:hAnsiTheme="majorHAnsi" w:cstheme="majorHAnsi"/>
          <w:sz w:val="24"/>
          <w:szCs w:val="24"/>
          <w:shd w:val="clear" w:color="auto" w:fill="FFFFFF"/>
          <w:lang w:val="ro-MD"/>
        </w:rPr>
        <w:t>,</w:t>
      </w:r>
      <w:r w:rsidR="00537BD4" w:rsidRPr="00653E85">
        <w:rPr>
          <w:rFonts w:asciiTheme="majorHAnsi" w:eastAsia="Times New Roman" w:hAnsiTheme="majorHAnsi" w:cstheme="majorHAnsi"/>
          <w:sz w:val="24"/>
          <w:szCs w:val="24"/>
          <w:shd w:val="clear" w:color="auto" w:fill="FFFFFF"/>
          <w:lang w:val="ro-MD"/>
        </w:rPr>
        <w:t xml:space="preserve"> respectiv</w:t>
      </w:r>
      <w:r w:rsidR="00C10267" w:rsidRPr="00653E85">
        <w:rPr>
          <w:rFonts w:asciiTheme="majorHAnsi" w:eastAsia="Times New Roman" w:hAnsiTheme="majorHAnsi" w:cstheme="majorHAnsi"/>
          <w:sz w:val="24"/>
          <w:szCs w:val="24"/>
          <w:shd w:val="clear" w:color="auto" w:fill="FFFFFF"/>
          <w:lang w:val="ro-MD"/>
        </w:rPr>
        <w:t>,</w:t>
      </w:r>
      <w:r w:rsidR="005714A2" w:rsidRPr="00653E85">
        <w:rPr>
          <w:rFonts w:asciiTheme="majorHAnsi" w:eastAsia="Times New Roman" w:hAnsiTheme="majorHAnsi" w:cstheme="majorHAnsi"/>
          <w:sz w:val="24"/>
          <w:szCs w:val="24"/>
          <w:shd w:val="clear" w:color="auto" w:fill="FFFFFF"/>
          <w:lang w:val="ro-MD"/>
        </w:rPr>
        <w:t xml:space="preserve"> presiune asupra </w:t>
      </w:r>
      <w:r w:rsidR="003A57A7" w:rsidRPr="00653E85">
        <w:rPr>
          <w:rFonts w:asciiTheme="majorHAnsi" w:eastAsia="Times New Roman" w:hAnsiTheme="majorHAnsi" w:cstheme="majorHAnsi"/>
          <w:sz w:val="24"/>
          <w:szCs w:val="24"/>
          <w:shd w:val="clear" w:color="auto" w:fill="FFFFFF"/>
          <w:lang w:val="ro-MD"/>
        </w:rPr>
        <w:t xml:space="preserve">BASS la calcularea prestațiilor. </w:t>
      </w:r>
    </w:p>
    <w:p w14:paraId="4AFC3A39" w14:textId="77777777" w:rsidR="00EC7995" w:rsidRPr="00653E85" w:rsidRDefault="00EC7995" w:rsidP="004042BC">
      <w:pPr>
        <w:pStyle w:val="aa"/>
        <w:shd w:val="clear" w:color="auto" w:fill="FFFFFF"/>
        <w:spacing w:after="0" w:line="276" w:lineRule="auto"/>
        <w:ind w:left="0"/>
        <w:jc w:val="both"/>
        <w:rPr>
          <w:rFonts w:asciiTheme="majorHAnsi" w:eastAsia="Times New Roman" w:hAnsiTheme="majorHAnsi" w:cstheme="majorHAnsi"/>
          <w:sz w:val="24"/>
          <w:szCs w:val="24"/>
          <w:shd w:val="clear" w:color="auto" w:fill="FFFFFF"/>
          <w:lang w:val="ro-MD"/>
        </w:rPr>
      </w:pPr>
    </w:p>
    <w:p w14:paraId="5434BF30" w14:textId="39F65268" w:rsidR="00DA562C" w:rsidRPr="00653E85" w:rsidRDefault="007869E6" w:rsidP="00DA562C">
      <w:pPr>
        <w:pStyle w:val="aa"/>
        <w:numPr>
          <w:ilvl w:val="0"/>
          <w:numId w:val="19"/>
        </w:numPr>
        <w:shd w:val="clear" w:color="auto" w:fill="FFFFFF"/>
        <w:spacing w:after="0" w:line="276" w:lineRule="auto"/>
        <w:ind w:left="0" w:firstLine="0"/>
        <w:jc w:val="both"/>
        <w:rPr>
          <w:rFonts w:asciiTheme="majorHAnsi" w:eastAsia="Times New Roman" w:hAnsiTheme="majorHAnsi" w:cstheme="majorHAnsi"/>
          <w:b/>
          <w:bCs/>
          <w:i/>
          <w:iCs/>
          <w:sz w:val="24"/>
          <w:szCs w:val="24"/>
          <w:shd w:val="clear" w:color="auto" w:fill="FFFFFF"/>
          <w:lang w:val="ro-MD"/>
        </w:rPr>
      </w:pPr>
      <w:r w:rsidRPr="00653E85">
        <w:rPr>
          <w:rFonts w:asciiTheme="majorHAnsi" w:eastAsia="Times New Roman" w:hAnsiTheme="majorHAnsi" w:cstheme="majorHAnsi"/>
          <w:b/>
          <w:bCs/>
          <w:i/>
          <w:iCs/>
          <w:sz w:val="24"/>
          <w:szCs w:val="24"/>
          <w:shd w:val="clear" w:color="auto" w:fill="FFFFFF"/>
          <w:lang w:val="ro-MD"/>
        </w:rPr>
        <w:t>Cuantumul prestațiilor stabilite pentru salariații T</w:t>
      </w:r>
      <w:r w:rsidR="00C10267" w:rsidRPr="00653E85">
        <w:rPr>
          <w:rFonts w:asciiTheme="majorHAnsi" w:eastAsia="Times New Roman" w:hAnsiTheme="majorHAnsi" w:cstheme="majorHAnsi"/>
          <w:b/>
          <w:bCs/>
          <w:i/>
          <w:iCs/>
          <w:sz w:val="24"/>
          <w:szCs w:val="24"/>
          <w:shd w:val="clear" w:color="auto" w:fill="FFFFFF"/>
          <w:lang w:val="ro-MD"/>
        </w:rPr>
        <w:t>I</w:t>
      </w:r>
      <w:r w:rsidRPr="00653E85">
        <w:rPr>
          <w:rFonts w:asciiTheme="majorHAnsi" w:eastAsia="Times New Roman" w:hAnsiTheme="majorHAnsi" w:cstheme="majorHAnsi"/>
          <w:b/>
          <w:bCs/>
          <w:i/>
          <w:iCs/>
          <w:sz w:val="24"/>
          <w:szCs w:val="24"/>
          <w:shd w:val="clear" w:color="auto" w:fill="FFFFFF"/>
          <w:lang w:val="ro-MD"/>
        </w:rPr>
        <w:t xml:space="preserve"> sunt direct dependente de prevederile legale impuse cu privire la calcularea și achitarea contribuțiilor de asigurări sociale, astfel aceștia sunt limitați în obținerea drepturilor sociale.</w:t>
      </w:r>
    </w:p>
    <w:p w14:paraId="06976F41" w14:textId="558F1456" w:rsidR="00DA562C" w:rsidRPr="00653E85" w:rsidRDefault="008C7F4E" w:rsidP="00DA562C">
      <w:pPr>
        <w:shd w:val="clear" w:color="auto" w:fill="FFFFFF"/>
        <w:spacing w:after="0" w:line="276" w:lineRule="auto"/>
        <w:jc w:val="both"/>
        <w:rPr>
          <w:rFonts w:asciiTheme="majorHAnsi" w:hAnsiTheme="majorHAnsi" w:cstheme="majorHAnsi"/>
          <w:color w:val="333333"/>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 xml:space="preserve">Baza </w:t>
      </w:r>
      <w:r w:rsidR="00DA562C" w:rsidRPr="00653E85">
        <w:rPr>
          <w:rFonts w:asciiTheme="majorHAnsi" w:eastAsia="Times New Roman" w:hAnsiTheme="majorHAnsi" w:cstheme="majorHAnsi"/>
          <w:sz w:val="24"/>
          <w:szCs w:val="24"/>
          <w:shd w:val="clear" w:color="auto" w:fill="FFFFFF"/>
          <w:lang w:val="ro-MD"/>
        </w:rPr>
        <w:t xml:space="preserve">de calcul a prestațiilor de asigurări sociale reprezintă </w:t>
      </w:r>
      <w:r w:rsidR="00DA562C" w:rsidRPr="00653E85">
        <w:rPr>
          <w:rFonts w:asciiTheme="majorHAnsi" w:hAnsiTheme="majorHAnsi" w:cstheme="majorHAnsi"/>
          <w:color w:val="333333"/>
          <w:sz w:val="24"/>
          <w:szCs w:val="24"/>
          <w:shd w:val="clear" w:color="auto" w:fill="FFFFFF"/>
          <w:lang w:val="ro-MD"/>
        </w:rPr>
        <w:t xml:space="preserve">venitul lunar asigurat, venitul din care la data stabilirii indemnizației au fost calculate şi plătite </w:t>
      </w:r>
      <w:r w:rsidR="00B95403" w:rsidRPr="00653E85">
        <w:rPr>
          <w:rFonts w:asciiTheme="majorHAnsi" w:hAnsiTheme="majorHAnsi" w:cstheme="majorHAnsi"/>
          <w:color w:val="333333"/>
          <w:sz w:val="24"/>
          <w:szCs w:val="24"/>
          <w:shd w:val="clear" w:color="auto" w:fill="FFFFFF"/>
          <w:lang w:val="ro-MD"/>
        </w:rPr>
        <w:t>contribuții</w:t>
      </w:r>
      <w:r w:rsidR="00DA562C" w:rsidRPr="00653E85">
        <w:rPr>
          <w:rFonts w:asciiTheme="majorHAnsi" w:hAnsiTheme="majorHAnsi" w:cstheme="majorHAnsi"/>
          <w:color w:val="333333"/>
          <w:sz w:val="24"/>
          <w:szCs w:val="24"/>
          <w:shd w:val="clear" w:color="auto" w:fill="FFFFFF"/>
          <w:lang w:val="ro-MD"/>
        </w:rPr>
        <w:t xml:space="preserve">. </w:t>
      </w:r>
      <w:r w:rsidRPr="00653E85">
        <w:rPr>
          <w:rFonts w:asciiTheme="majorHAnsi" w:hAnsiTheme="majorHAnsi" w:cstheme="majorHAnsi"/>
          <w:color w:val="333333"/>
          <w:sz w:val="24"/>
          <w:szCs w:val="24"/>
          <w:shd w:val="clear" w:color="auto" w:fill="FFFFFF"/>
          <w:lang w:val="ro-MD"/>
        </w:rPr>
        <w:t>Venitul asigurat în sectorul T</w:t>
      </w:r>
      <w:r w:rsidR="00C10267" w:rsidRPr="00653E85">
        <w:rPr>
          <w:rFonts w:asciiTheme="majorHAnsi" w:hAnsiTheme="majorHAnsi" w:cstheme="majorHAnsi"/>
          <w:color w:val="333333"/>
          <w:sz w:val="24"/>
          <w:szCs w:val="24"/>
          <w:shd w:val="clear" w:color="auto" w:fill="FFFFFF"/>
          <w:lang w:val="ro-MD"/>
        </w:rPr>
        <w:t>I</w:t>
      </w:r>
      <w:r w:rsidRPr="00653E85">
        <w:rPr>
          <w:rFonts w:asciiTheme="majorHAnsi" w:hAnsiTheme="majorHAnsi" w:cstheme="majorHAnsi"/>
          <w:color w:val="333333"/>
          <w:sz w:val="24"/>
          <w:szCs w:val="24"/>
          <w:shd w:val="clear" w:color="auto" w:fill="FFFFFF"/>
          <w:lang w:val="ro-MD"/>
        </w:rPr>
        <w:t xml:space="preserve"> a variat de la 4</w:t>
      </w:r>
      <w:r w:rsidR="00415A0B" w:rsidRPr="00653E85">
        <w:rPr>
          <w:rFonts w:asciiTheme="majorHAnsi" w:hAnsiTheme="majorHAnsi" w:cstheme="majorHAnsi"/>
          <w:color w:val="333333"/>
          <w:sz w:val="24"/>
          <w:szCs w:val="24"/>
          <w:shd w:val="clear" w:color="auto" w:fill="FFFFFF"/>
          <w:lang w:val="ro-MD"/>
        </w:rPr>
        <w:t xml:space="preserve"> </w:t>
      </w:r>
      <w:r w:rsidRPr="00653E85">
        <w:rPr>
          <w:rFonts w:asciiTheme="majorHAnsi" w:hAnsiTheme="majorHAnsi" w:cstheme="majorHAnsi"/>
          <w:color w:val="333333"/>
          <w:sz w:val="24"/>
          <w:szCs w:val="24"/>
          <w:shd w:val="clear" w:color="auto" w:fill="FFFFFF"/>
          <w:lang w:val="ro-MD"/>
        </w:rPr>
        <w:t>771,8 lei în anul 2020 până la 6</w:t>
      </w:r>
      <w:r w:rsidR="00415A0B" w:rsidRPr="00653E85">
        <w:rPr>
          <w:rFonts w:asciiTheme="majorHAnsi" w:hAnsiTheme="majorHAnsi" w:cstheme="majorHAnsi"/>
          <w:color w:val="333333"/>
          <w:sz w:val="24"/>
          <w:szCs w:val="24"/>
          <w:shd w:val="clear" w:color="auto" w:fill="FFFFFF"/>
          <w:lang w:val="ro-MD"/>
        </w:rPr>
        <w:t xml:space="preserve"> </w:t>
      </w:r>
      <w:r w:rsidRPr="00653E85">
        <w:rPr>
          <w:rFonts w:asciiTheme="majorHAnsi" w:hAnsiTheme="majorHAnsi" w:cstheme="majorHAnsi"/>
          <w:color w:val="333333"/>
          <w:sz w:val="24"/>
          <w:szCs w:val="24"/>
          <w:shd w:val="clear" w:color="auto" w:fill="FFFFFF"/>
          <w:lang w:val="ro-MD"/>
        </w:rPr>
        <w:t>732 lei în anul 2022 (vezi tabelul de mai jos).</w:t>
      </w:r>
    </w:p>
    <w:p w14:paraId="7A93C9C8" w14:textId="5CFFDE1B" w:rsidR="00DA562C" w:rsidRPr="00653E85" w:rsidRDefault="00415A0B" w:rsidP="00415A0B">
      <w:pPr>
        <w:shd w:val="clear" w:color="auto" w:fill="FFFFFF"/>
        <w:spacing w:after="0" w:line="276" w:lineRule="auto"/>
        <w:jc w:val="right"/>
        <w:rPr>
          <w:rFonts w:asciiTheme="majorHAnsi" w:hAnsiTheme="majorHAnsi" w:cstheme="majorHAnsi"/>
          <w:b/>
          <w:color w:val="333333"/>
          <w:sz w:val="24"/>
          <w:szCs w:val="24"/>
          <w:shd w:val="clear" w:color="auto" w:fill="FFFFFF"/>
          <w:lang w:val="ro-MD"/>
        </w:rPr>
      </w:pPr>
      <w:r w:rsidRPr="00653E85">
        <w:rPr>
          <w:rFonts w:asciiTheme="majorHAnsi" w:hAnsiTheme="majorHAnsi" w:cstheme="majorHAnsi"/>
          <w:b/>
          <w:color w:val="333333"/>
          <w:sz w:val="24"/>
          <w:szCs w:val="24"/>
          <w:shd w:val="clear" w:color="auto" w:fill="FFFFFF"/>
          <w:lang w:val="ro-MD"/>
        </w:rPr>
        <w:t>Tabel</w:t>
      </w:r>
      <w:r w:rsidR="00C10267" w:rsidRPr="00653E85">
        <w:rPr>
          <w:rFonts w:asciiTheme="majorHAnsi" w:hAnsiTheme="majorHAnsi" w:cstheme="majorHAnsi"/>
          <w:b/>
          <w:color w:val="333333"/>
          <w:sz w:val="24"/>
          <w:szCs w:val="24"/>
          <w:shd w:val="clear" w:color="auto" w:fill="FFFFFF"/>
          <w:lang w:val="ro-MD"/>
        </w:rPr>
        <w:t>ul</w:t>
      </w:r>
      <w:r w:rsidRPr="00653E85">
        <w:rPr>
          <w:rFonts w:asciiTheme="majorHAnsi" w:hAnsiTheme="majorHAnsi" w:cstheme="majorHAnsi"/>
          <w:b/>
          <w:color w:val="333333"/>
          <w:sz w:val="24"/>
          <w:szCs w:val="24"/>
          <w:shd w:val="clear" w:color="auto" w:fill="FFFFFF"/>
          <w:lang w:val="ro-MD"/>
        </w:rPr>
        <w:t xml:space="preserve"> nr.1</w:t>
      </w:r>
      <w:r w:rsidR="008D1DF2" w:rsidRPr="00653E85">
        <w:rPr>
          <w:rFonts w:asciiTheme="majorHAnsi" w:hAnsiTheme="majorHAnsi" w:cstheme="majorHAnsi"/>
          <w:b/>
          <w:color w:val="333333"/>
          <w:sz w:val="24"/>
          <w:szCs w:val="24"/>
          <w:shd w:val="clear" w:color="auto" w:fill="FFFFFF"/>
          <w:lang w:val="ro-MD"/>
        </w:rPr>
        <w:t>4</w:t>
      </w:r>
    </w:p>
    <w:p w14:paraId="1D9F577D" w14:textId="4CB128F3" w:rsidR="002A7C93" w:rsidRPr="00653E85" w:rsidRDefault="002A7C93" w:rsidP="002A7C93">
      <w:pPr>
        <w:shd w:val="clear" w:color="auto" w:fill="FFFFFF"/>
        <w:spacing w:after="0" w:line="276" w:lineRule="auto"/>
        <w:jc w:val="center"/>
        <w:rPr>
          <w:rFonts w:asciiTheme="majorHAnsi" w:hAnsiTheme="majorHAnsi" w:cstheme="majorHAnsi"/>
          <w:b/>
          <w:color w:val="333333"/>
          <w:sz w:val="24"/>
          <w:szCs w:val="24"/>
          <w:shd w:val="clear" w:color="auto" w:fill="FFFFFF"/>
          <w:lang w:val="ro-MD"/>
        </w:rPr>
      </w:pPr>
      <w:r w:rsidRPr="00653E85">
        <w:rPr>
          <w:rFonts w:asciiTheme="majorHAnsi" w:hAnsiTheme="majorHAnsi" w:cstheme="majorHAnsi"/>
          <w:b/>
          <w:color w:val="333333"/>
          <w:sz w:val="24"/>
          <w:szCs w:val="24"/>
          <w:shd w:val="clear" w:color="auto" w:fill="FFFFFF"/>
          <w:lang w:val="ro-MD"/>
        </w:rPr>
        <w:t>Tariful și baza de calcul asigurată în domeniul T</w:t>
      </w:r>
      <w:r w:rsidR="00C10267" w:rsidRPr="00653E85">
        <w:rPr>
          <w:rFonts w:asciiTheme="majorHAnsi" w:hAnsiTheme="majorHAnsi" w:cstheme="majorHAnsi"/>
          <w:b/>
          <w:color w:val="333333"/>
          <w:sz w:val="24"/>
          <w:szCs w:val="24"/>
          <w:shd w:val="clear" w:color="auto" w:fill="FFFFFF"/>
          <w:lang w:val="ro-MD"/>
        </w:rPr>
        <w:t>I</w:t>
      </w:r>
    </w:p>
    <w:tbl>
      <w:tblPr>
        <w:tblW w:w="9557" w:type="dxa"/>
        <w:tblLook w:val="04A0" w:firstRow="1" w:lastRow="0" w:firstColumn="1" w:lastColumn="0" w:noHBand="0" w:noVBand="1"/>
      </w:tblPr>
      <w:tblGrid>
        <w:gridCol w:w="4495"/>
        <w:gridCol w:w="1759"/>
        <w:gridCol w:w="1759"/>
        <w:gridCol w:w="1005"/>
        <w:gridCol w:w="1005"/>
      </w:tblGrid>
      <w:tr w:rsidR="00DA562C" w:rsidRPr="00B7675F" w14:paraId="7FBFDF97" w14:textId="77777777" w:rsidTr="006B497E">
        <w:trPr>
          <w:trHeight w:val="288"/>
        </w:trPr>
        <w:tc>
          <w:tcPr>
            <w:tcW w:w="4495"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12B0EE34" w14:textId="42C02A42" w:rsidR="00DA562C" w:rsidRPr="00653E85" w:rsidRDefault="00DA562C" w:rsidP="00D3178C">
            <w:pPr>
              <w:spacing w:after="0" w:line="276" w:lineRule="auto"/>
              <w:jc w:val="center"/>
              <w:rPr>
                <w:rFonts w:asciiTheme="majorHAnsi" w:eastAsia="Times New Roman" w:hAnsiTheme="majorHAnsi" w:cstheme="majorHAnsi"/>
                <w:b/>
                <w:color w:val="000000"/>
                <w:sz w:val="24"/>
                <w:lang w:val="ro-MD"/>
              </w:rPr>
            </w:pPr>
            <w:r w:rsidRPr="00653E85">
              <w:rPr>
                <w:rFonts w:asciiTheme="majorHAnsi" w:eastAsia="Times New Roman" w:hAnsiTheme="majorHAnsi" w:cstheme="majorHAnsi"/>
                <w:b/>
                <w:color w:val="000000"/>
                <w:sz w:val="24"/>
                <w:lang w:val="ro-MD"/>
              </w:rPr>
              <w:t>Anul</w:t>
            </w:r>
          </w:p>
        </w:tc>
        <w:tc>
          <w:tcPr>
            <w:tcW w:w="3188"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AEEDC6" w14:textId="77777777" w:rsidR="00DA562C" w:rsidRPr="00653E85" w:rsidRDefault="00DA562C" w:rsidP="00D3178C">
            <w:pPr>
              <w:spacing w:after="0" w:line="276" w:lineRule="auto"/>
              <w:jc w:val="center"/>
              <w:rPr>
                <w:rFonts w:asciiTheme="majorHAnsi" w:eastAsia="Times New Roman" w:hAnsiTheme="majorHAnsi" w:cstheme="majorHAnsi"/>
                <w:b/>
                <w:color w:val="000000"/>
                <w:sz w:val="24"/>
                <w:lang w:val="ro-MD"/>
              </w:rPr>
            </w:pPr>
            <w:r w:rsidRPr="00653E85">
              <w:rPr>
                <w:rFonts w:asciiTheme="majorHAnsi" w:eastAsia="Times New Roman" w:hAnsiTheme="majorHAnsi" w:cstheme="majorHAnsi"/>
                <w:b/>
                <w:color w:val="000000"/>
                <w:sz w:val="24"/>
                <w:lang w:val="ro-MD"/>
              </w:rPr>
              <w:t>2020</w:t>
            </w:r>
          </w:p>
        </w:tc>
        <w:tc>
          <w:tcPr>
            <w:tcW w:w="93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59E49733" w14:textId="77777777" w:rsidR="00DA562C" w:rsidRPr="00653E85" w:rsidRDefault="00DA562C" w:rsidP="00D3178C">
            <w:pPr>
              <w:spacing w:after="0" w:line="276" w:lineRule="auto"/>
              <w:jc w:val="center"/>
              <w:rPr>
                <w:rFonts w:asciiTheme="majorHAnsi" w:eastAsia="Times New Roman" w:hAnsiTheme="majorHAnsi" w:cstheme="majorHAnsi"/>
                <w:b/>
                <w:color w:val="000000"/>
                <w:sz w:val="24"/>
                <w:lang w:val="ro-MD"/>
              </w:rPr>
            </w:pPr>
            <w:r w:rsidRPr="00653E85">
              <w:rPr>
                <w:rFonts w:asciiTheme="majorHAnsi" w:eastAsia="Times New Roman" w:hAnsiTheme="majorHAnsi" w:cstheme="majorHAnsi"/>
                <w:b/>
                <w:color w:val="000000"/>
                <w:sz w:val="24"/>
                <w:lang w:val="ro-MD"/>
              </w:rPr>
              <w:t>2021</w:t>
            </w:r>
          </w:p>
        </w:tc>
        <w:tc>
          <w:tcPr>
            <w:tcW w:w="93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1896A4D" w14:textId="77777777" w:rsidR="00DA562C" w:rsidRPr="00653E85" w:rsidRDefault="00DA562C" w:rsidP="00D3178C">
            <w:pPr>
              <w:spacing w:after="0" w:line="276" w:lineRule="auto"/>
              <w:jc w:val="center"/>
              <w:rPr>
                <w:rFonts w:asciiTheme="majorHAnsi" w:eastAsia="Times New Roman" w:hAnsiTheme="majorHAnsi" w:cstheme="majorHAnsi"/>
                <w:b/>
                <w:color w:val="000000"/>
                <w:sz w:val="24"/>
                <w:lang w:val="ro-MD"/>
              </w:rPr>
            </w:pPr>
            <w:r w:rsidRPr="00653E85">
              <w:rPr>
                <w:rFonts w:asciiTheme="majorHAnsi" w:eastAsia="Times New Roman" w:hAnsiTheme="majorHAnsi" w:cstheme="majorHAnsi"/>
                <w:b/>
                <w:color w:val="000000"/>
                <w:sz w:val="24"/>
                <w:lang w:val="ro-MD"/>
              </w:rPr>
              <w:t>2022</w:t>
            </w:r>
          </w:p>
        </w:tc>
      </w:tr>
      <w:tr w:rsidR="00DA562C" w:rsidRPr="00B7675F" w14:paraId="578C544F" w14:textId="77777777" w:rsidTr="006B497E">
        <w:trPr>
          <w:trHeight w:val="288"/>
        </w:trPr>
        <w:tc>
          <w:tcPr>
            <w:tcW w:w="4495" w:type="dxa"/>
            <w:vMerge/>
            <w:tcBorders>
              <w:top w:val="single" w:sz="4" w:space="0" w:color="auto"/>
              <w:left w:val="single" w:sz="4" w:space="0" w:color="auto"/>
              <w:bottom w:val="single" w:sz="4" w:space="0" w:color="000000"/>
              <w:right w:val="single" w:sz="4" w:space="0" w:color="auto"/>
            </w:tcBorders>
            <w:vAlign w:val="center"/>
            <w:hideMark/>
          </w:tcPr>
          <w:p w14:paraId="7EF198F7"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p>
        </w:tc>
        <w:tc>
          <w:tcPr>
            <w:tcW w:w="1594" w:type="dxa"/>
            <w:tcBorders>
              <w:top w:val="nil"/>
              <w:left w:val="nil"/>
              <w:bottom w:val="single" w:sz="4" w:space="0" w:color="auto"/>
              <w:right w:val="single" w:sz="4" w:space="0" w:color="auto"/>
            </w:tcBorders>
            <w:shd w:val="clear" w:color="auto" w:fill="auto"/>
            <w:noWrap/>
            <w:vAlign w:val="bottom"/>
            <w:hideMark/>
          </w:tcPr>
          <w:p w14:paraId="15863857" w14:textId="1BFDB04E" w:rsidR="00DA562C" w:rsidRPr="00653E85" w:rsidRDefault="00415A0B" w:rsidP="00D3178C">
            <w:pPr>
              <w:spacing w:after="0" w:line="276" w:lineRule="auto"/>
              <w:jc w:val="center"/>
              <w:rPr>
                <w:rFonts w:asciiTheme="majorHAnsi" w:eastAsia="Times New Roman" w:hAnsiTheme="majorHAnsi" w:cstheme="majorHAnsi"/>
                <w:b/>
                <w:color w:val="000000"/>
                <w:sz w:val="24"/>
                <w:lang w:val="ro-MD"/>
              </w:rPr>
            </w:pPr>
            <w:r w:rsidRPr="00653E85">
              <w:rPr>
                <w:rFonts w:asciiTheme="majorHAnsi" w:eastAsia="Times New Roman" w:hAnsiTheme="majorHAnsi" w:cstheme="majorHAnsi"/>
                <w:b/>
                <w:color w:val="000000"/>
                <w:sz w:val="24"/>
                <w:lang w:val="ro-MD"/>
              </w:rPr>
              <w:t>până</w:t>
            </w:r>
            <w:r w:rsidR="00DA562C" w:rsidRPr="00653E85">
              <w:rPr>
                <w:rFonts w:asciiTheme="majorHAnsi" w:eastAsia="Times New Roman" w:hAnsiTheme="majorHAnsi" w:cstheme="majorHAnsi"/>
                <w:b/>
                <w:color w:val="000000"/>
                <w:sz w:val="24"/>
                <w:lang w:val="ro-MD"/>
              </w:rPr>
              <w:t xml:space="preserve"> la 07.08.</w:t>
            </w:r>
          </w:p>
        </w:tc>
        <w:tc>
          <w:tcPr>
            <w:tcW w:w="1594" w:type="dxa"/>
            <w:tcBorders>
              <w:top w:val="nil"/>
              <w:left w:val="nil"/>
              <w:bottom w:val="single" w:sz="4" w:space="0" w:color="auto"/>
              <w:right w:val="single" w:sz="4" w:space="0" w:color="auto"/>
            </w:tcBorders>
            <w:shd w:val="clear" w:color="auto" w:fill="auto"/>
            <w:noWrap/>
            <w:vAlign w:val="bottom"/>
            <w:hideMark/>
          </w:tcPr>
          <w:p w14:paraId="592C17C7" w14:textId="77777777" w:rsidR="00DA562C" w:rsidRPr="00653E85" w:rsidRDefault="00DA562C" w:rsidP="00D3178C">
            <w:pPr>
              <w:spacing w:after="0" w:line="276" w:lineRule="auto"/>
              <w:jc w:val="center"/>
              <w:rPr>
                <w:rFonts w:asciiTheme="majorHAnsi" w:eastAsia="Times New Roman" w:hAnsiTheme="majorHAnsi" w:cstheme="majorHAnsi"/>
                <w:b/>
                <w:color w:val="000000"/>
                <w:sz w:val="24"/>
                <w:lang w:val="ro-MD"/>
              </w:rPr>
            </w:pPr>
            <w:r w:rsidRPr="00653E85">
              <w:rPr>
                <w:rFonts w:asciiTheme="majorHAnsi" w:eastAsia="Times New Roman" w:hAnsiTheme="majorHAnsi" w:cstheme="majorHAnsi"/>
                <w:b/>
                <w:color w:val="000000"/>
                <w:sz w:val="24"/>
                <w:lang w:val="ro-MD"/>
              </w:rPr>
              <w:t>după 07.08.</w:t>
            </w: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0B9913A6"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p>
        </w:tc>
        <w:tc>
          <w:tcPr>
            <w:tcW w:w="937" w:type="dxa"/>
            <w:vMerge/>
            <w:tcBorders>
              <w:top w:val="single" w:sz="4" w:space="0" w:color="auto"/>
              <w:left w:val="single" w:sz="4" w:space="0" w:color="auto"/>
              <w:bottom w:val="single" w:sz="4" w:space="0" w:color="000000"/>
              <w:right w:val="single" w:sz="4" w:space="0" w:color="auto"/>
            </w:tcBorders>
            <w:vAlign w:val="center"/>
            <w:hideMark/>
          </w:tcPr>
          <w:p w14:paraId="0A937F6E"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p>
        </w:tc>
      </w:tr>
      <w:tr w:rsidR="00DA562C" w:rsidRPr="00B7675F" w14:paraId="54B8D90B" w14:textId="77777777" w:rsidTr="006B497E">
        <w:trPr>
          <w:trHeight w:val="288"/>
        </w:trPr>
        <w:tc>
          <w:tcPr>
            <w:tcW w:w="4495" w:type="dxa"/>
            <w:tcBorders>
              <w:top w:val="nil"/>
              <w:left w:val="single" w:sz="4" w:space="0" w:color="auto"/>
              <w:bottom w:val="single" w:sz="4" w:space="0" w:color="auto"/>
              <w:right w:val="single" w:sz="4" w:space="0" w:color="auto"/>
            </w:tcBorders>
            <w:shd w:val="clear" w:color="auto" w:fill="auto"/>
            <w:hideMark/>
          </w:tcPr>
          <w:p w14:paraId="3D8B4120" w14:textId="27CEF5F0" w:rsidR="00DA562C" w:rsidRPr="00653E85" w:rsidRDefault="00DA562C" w:rsidP="00C457E3">
            <w:pPr>
              <w:spacing w:after="0" w:line="276" w:lineRule="auto"/>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Salariu</w:t>
            </w:r>
            <w:r w:rsidR="00C10267" w:rsidRPr="00653E85">
              <w:rPr>
                <w:rFonts w:asciiTheme="majorHAnsi" w:eastAsia="Times New Roman" w:hAnsiTheme="majorHAnsi" w:cstheme="majorHAnsi"/>
                <w:color w:val="000000"/>
                <w:sz w:val="24"/>
                <w:lang w:val="ro-MD"/>
              </w:rPr>
              <w:t>l</w:t>
            </w:r>
            <w:r w:rsidRPr="00653E85">
              <w:rPr>
                <w:rFonts w:asciiTheme="majorHAnsi" w:eastAsia="Times New Roman" w:hAnsiTheme="majorHAnsi" w:cstheme="majorHAnsi"/>
                <w:color w:val="000000"/>
                <w:sz w:val="24"/>
                <w:lang w:val="ro-MD"/>
              </w:rPr>
              <w:t xml:space="preserve"> mediu lunar pe economie (lei)</w:t>
            </w:r>
          </w:p>
        </w:tc>
        <w:tc>
          <w:tcPr>
            <w:tcW w:w="1594" w:type="dxa"/>
            <w:tcBorders>
              <w:top w:val="nil"/>
              <w:left w:val="nil"/>
              <w:bottom w:val="single" w:sz="4" w:space="0" w:color="auto"/>
              <w:right w:val="single" w:sz="4" w:space="0" w:color="auto"/>
            </w:tcBorders>
            <w:shd w:val="clear" w:color="auto" w:fill="auto"/>
            <w:hideMark/>
          </w:tcPr>
          <w:p w14:paraId="224E4E14"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7953</w:t>
            </w:r>
          </w:p>
        </w:tc>
        <w:tc>
          <w:tcPr>
            <w:tcW w:w="1594" w:type="dxa"/>
            <w:tcBorders>
              <w:top w:val="nil"/>
              <w:left w:val="nil"/>
              <w:bottom w:val="single" w:sz="4" w:space="0" w:color="auto"/>
              <w:right w:val="single" w:sz="4" w:space="0" w:color="auto"/>
            </w:tcBorders>
            <w:shd w:val="clear" w:color="auto" w:fill="auto"/>
            <w:noWrap/>
            <w:vAlign w:val="bottom"/>
            <w:hideMark/>
          </w:tcPr>
          <w:p w14:paraId="31162CDC"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7953</w:t>
            </w:r>
          </w:p>
        </w:tc>
        <w:tc>
          <w:tcPr>
            <w:tcW w:w="937" w:type="dxa"/>
            <w:tcBorders>
              <w:top w:val="nil"/>
              <w:left w:val="nil"/>
              <w:bottom w:val="single" w:sz="4" w:space="0" w:color="auto"/>
              <w:right w:val="single" w:sz="4" w:space="0" w:color="auto"/>
            </w:tcBorders>
            <w:shd w:val="clear" w:color="auto" w:fill="auto"/>
            <w:noWrap/>
            <w:vAlign w:val="bottom"/>
            <w:hideMark/>
          </w:tcPr>
          <w:p w14:paraId="3AC3B45C"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8716</w:t>
            </w:r>
          </w:p>
        </w:tc>
        <w:tc>
          <w:tcPr>
            <w:tcW w:w="937" w:type="dxa"/>
            <w:tcBorders>
              <w:top w:val="nil"/>
              <w:left w:val="nil"/>
              <w:bottom w:val="single" w:sz="4" w:space="0" w:color="auto"/>
              <w:right w:val="single" w:sz="4" w:space="0" w:color="auto"/>
            </w:tcBorders>
            <w:shd w:val="clear" w:color="auto" w:fill="auto"/>
            <w:noWrap/>
            <w:vAlign w:val="bottom"/>
            <w:hideMark/>
          </w:tcPr>
          <w:p w14:paraId="00EB0F5B"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9900</w:t>
            </w:r>
          </w:p>
        </w:tc>
      </w:tr>
      <w:tr w:rsidR="00DA562C" w:rsidRPr="00B7675F" w14:paraId="71B31E0D" w14:textId="77777777" w:rsidTr="006B497E">
        <w:trPr>
          <w:trHeight w:val="288"/>
        </w:trPr>
        <w:tc>
          <w:tcPr>
            <w:tcW w:w="4495" w:type="dxa"/>
            <w:tcBorders>
              <w:top w:val="nil"/>
              <w:left w:val="single" w:sz="4" w:space="0" w:color="auto"/>
              <w:bottom w:val="single" w:sz="4" w:space="0" w:color="auto"/>
              <w:right w:val="single" w:sz="4" w:space="0" w:color="auto"/>
            </w:tcBorders>
            <w:shd w:val="clear" w:color="auto" w:fill="auto"/>
            <w:hideMark/>
          </w:tcPr>
          <w:p w14:paraId="526B63AC"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Tariful (%)</w:t>
            </w:r>
          </w:p>
        </w:tc>
        <w:tc>
          <w:tcPr>
            <w:tcW w:w="1594" w:type="dxa"/>
            <w:tcBorders>
              <w:top w:val="nil"/>
              <w:left w:val="nil"/>
              <w:bottom w:val="single" w:sz="4" w:space="0" w:color="auto"/>
              <w:right w:val="single" w:sz="4" w:space="0" w:color="auto"/>
            </w:tcBorders>
            <w:shd w:val="clear" w:color="auto" w:fill="auto"/>
            <w:hideMark/>
          </w:tcPr>
          <w:p w14:paraId="7CDB9945"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60%</w:t>
            </w:r>
          </w:p>
        </w:tc>
        <w:tc>
          <w:tcPr>
            <w:tcW w:w="1594" w:type="dxa"/>
            <w:tcBorders>
              <w:top w:val="nil"/>
              <w:left w:val="nil"/>
              <w:bottom w:val="single" w:sz="4" w:space="0" w:color="auto"/>
              <w:right w:val="single" w:sz="4" w:space="0" w:color="auto"/>
            </w:tcBorders>
            <w:shd w:val="clear" w:color="auto" w:fill="auto"/>
            <w:noWrap/>
            <w:vAlign w:val="bottom"/>
            <w:hideMark/>
          </w:tcPr>
          <w:p w14:paraId="0F93D977"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68%</w:t>
            </w:r>
          </w:p>
        </w:tc>
        <w:tc>
          <w:tcPr>
            <w:tcW w:w="937" w:type="dxa"/>
            <w:tcBorders>
              <w:top w:val="nil"/>
              <w:left w:val="nil"/>
              <w:bottom w:val="single" w:sz="4" w:space="0" w:color="auto"/>
              <w:right w:val="single" w:sz="4" w:space="0" w:color="auto"/>
            </w:tcBorders>
            <w:shd w:val="clear" w:color="auto" w:fill="auto"/>
            <w:noWrap/>
            <w:vAlign w:val="bottom"/>
            <w:hideMark/>
          </w:tcPr>
          <w:p w14:paraId="360A6533"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68%</w:t>
            </w:r>
          </w:p>
        </w:tc>
        <w:tc>
          <w:tcPr>
            <w:tcW w:w="937" w:type="dxa"/>
            <w:tcBorders>
              <w:top w:val="nil"/>
              <w:left w:val="nil"/>
              <w:bottom w:val="single" w:sz="4" w:space="0" w:color="auto"/>
              <w:right w:val="single" w:sz="4" w:space="0" w:color="auto"/>
            </w:tcBorders>
            <w:shd w:val="clear" w:color="auto" w:fill="auto"/>
            <w:noWrap/>
            <w:vAlign w:val="bottom"/>
            <w:hideMark/>
          </w:tcPr>
          <w:p w14:paraId="47D92D7E"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68%</w:t>
            </w:r>
          </w:p>
        </w:tc>
      </w:tr>
      <w:tr w:rsidR="00DA562C" w:rsidRPr="00B7675F" w14:paraId="30293EFC" w14:textId="77777777" w:rsidTr="006B497E">
        <w:trPr>
          <w:trHeight w:val="576"/>
        </w:trPr>
        <w:tc>
          <w:tcPr>
            <w:tcW w:w="4495" w:type="dxa"/>
            <w:tcBorders>
              <w:top w:val="nil"/>
              <w:left w:val="single" w:sz="4" w:space="0" w:color="auto"/>
              <w:bottom w:val="single" w:sz="4" w:space="0" w:color="auto"/>
              <w:right w:val="single" w:sz="4" w:space="0" w:color="auto"/>
            </w:tcBorders>
            <w:shd w:val="clear" w:color="auto" w:fill="auto"/>
            <w:vAlign w:val="bottom"/>
            <w:hideMark/>
          </w:tcPr>
          <w:p w14:paraId="7F94CC69"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Baza de calcul a contribuției de asigurări sociale de stat obligatorii (lei)</w:t>
            </w:r>
          </w:p>
        </w:tc>
        <w:tc>
          <w:tcPr>
            <w:tcW w:w="1594" w:type="dxa"/>
            <w:tcBorders>
              <w:top w:val="nil"/>
              <w:left w:val="nil"/>
              <w:bottom w:val="single" w:sz="4" w:space="0" w:color="auto"/>
              <w:right w:val="single" w:sz="4" w:space="0" w:color="auto"/>
            </w:tcBorders>
            <w:shd w:val="clear" w:color="auto" w:fill="auto"/>
            <w:vAlign w:val="bottom"/>
            <w:hideMark/>
          </w:tcPr>
          <w:p w14:paraId="0A72C35F"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4771.8</w:t>
            </w:r>
          </w:p>
        </w:tc>
        <w:tc>
          <w:tcPr>
            <w:tcW w:w="1594" w:type="dxa"/>
            <w:tcBorders>
              <w:top w:val="nil"/>
              <w:left w:val="nil"/>
              <w:bottom w:val="single" w:sz="4" w:space="0" w:color="auto"/>
              <w:right w:val="single" w:sz="4" w:space="0" w:color="auto"/>
            </w:tcBorders>
            <w:shd w:val="clear" w:color="auto" w:fill="auto"/>
            <w:noWrap/>
            <w:vAlign w:val="bottom"/>
            <w:hideMark/>
          </w:tcPr>
          <w:p w14:paraId="6FBDC44A"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5408.04</w:t>
            </w:r>
          </w:p>
        </w:tc>
        <w:tc>
          <w:tcPr>
            <w:tcW w:w="937" w:type="dxa"/>
            <w:tcBorders>
              <w:top w:val="nil"/>
              <w:left w:val="nil"/>
              <w:bottom w:val="single" w:sz="4" w:space="0" w:color="auto"/>
              <w:right w:val="single" w:sz="4" w:space="0" w:color="auto"/>
            </w:tcBorders>
            <w:shd w:val="clear" w:color="auto" w:fill="auto"/>
            <w:noWrap/>
            <w:vAlign w:val="bottom"/>
            <w:hideMark/>
          </w:tcPr>
          <w:p w14:paraId="5E202E3C"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5926.88</w:t>
            </w:r>
          </w:p>
        </w:tc>
        <w:tc>
          <w:tcPr>
            <w:tcW w:w="937" w:type="dxa"/>
            <w:tcBorders>
              <w:top w:val="nil"/>
              <w:left w:val="nil"/>
              <w:bottom w:val="single" w:sz="4" w:space="0" w:color="auto"/>
              <w:right w:val="single" w:sz="4" w:space="0" w:color="auto"/>
            </w:tcBorders>
            <w:shd w:val="clear" w:color="auto" w:fill="auto"/>
            <w:noWrap/>
            <w:vAlign w:val="bottom"/>
            <w:hideMark/>
          </w:tcPr>
          <w:p w14:paraId="139AAE9B"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6732</w:t>
            </w:r>
          </w:p>
        </w:tc>
      </w:tr>
      <w:tr w:rsidR="00DA562C" w:rsidRPr="00B7675F" w14:paraId="16C465F3" w14:textId="77777777" w:rsidTr="006B497E">
        <w:trPr>
          <w:trHeight w:val="288"/>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396218BF"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Tariful contribuțiilor de asigurări sociale de stat</w:t>
            </w:r>
          </w:p>
        </w:tc>
        <w:tc>
          <w:tcPr>
            <w:tcW w:w="1594" w:type="dxa"/>
            <w:tcBorders>
              <w:top w:val="nil"/>
              <w:left w:val="nil"/>
              <w:bottom w:val="single" w:sz="4" w:space="0" w:color="auto"/>
              <w:right w:val="single" w:sz="4" w:space="0" w:color="auto"/>
            </w:tcBorders>
            <w:shd w:val="clear" w:color="auto" w:fill="auto"/>
            <w:noWrap/>
            <w:vAlign w:val="bottom"/>
            <w:hideMark/>
          </w:tcPr>
          <w:p w14:paraId="035C3101"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6%/23%</w:t>
            </w:r>
          </w:p>
        </w:tc>
        <w:tc>
          <w:tcPr>
            <w:tcW w:w="1594" w:type="dxa"/>
            <w:tcBorders>
              <w:top w:val="nil"/>
              <w:left w:val="nil"/>
              <w:bottom w:val="single" w:sz="4" w:space="0" w:color="auto"/>
              <w:right w:val="single" w:sz="4" w:space="0" w:color="auto"/>
            </w:tcBorders>
            <w:shd w:val="clear" w:color="auto" w:fill="auto"/>
            <w:noWrap/>
            <w:vAlign w:val="bottom"/>
            <w:hideMark/>
          </w:tcPr>
          <w:p w14:paraId="02D0B022"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6%/23%</w:t>
            </w:r>
          </w:p>
        </w:tc>
        <w:tc>
          <w:tcPr>
            <w:tcW w:w="937" w:type="dxa"/>
            <w:tcBorders>
              <w:top w:val="nil"/>
              <w:left w:val="nil"/>
              <w:bottom w:val="single" w:sz="4" w:space="0" w:color="auto"/>
              <w:right w:val="single" w:sz="4" w:space="0" w:color="auto"/>
            </w:tcBorders>
            <w:shd w:val="clear" w:color="auto" w:fill="auto"/>
            <w:noWrap/>
            <w:vAlign w:val="bottom"/>
            <w:hideMark/>
          </w:tcPr>
          <w:p w14:paraId="1B01C7BE"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29%</w:t>
            </w:r>
          </w:p>
        </w:tc>
        <w:tc>
          <w:tcPr>
            <w:tcW w:w="937" w:type="dxa"/>
            <w:tcBorders>
              <w:top w:val="nil"/>
              <w:left w:val="nil"/>
              <w:bottom w:val="single" w:sz="4" w:space="0" w:color="auto"/>
              <w:right w:val="single" w:sz="4" w:space="0" w:color="auto"/>
            </w:tcBorders>
            <w:shd w:val="clear" w:color="auto" w:fill="auto"/>
            <w:noWrap/>
            <w:vAlign w:val="bottom"/>
            <w:hideMark/>
          </w:tcPr>
          <w:p w14:paraId="2E589121"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29%</w:t>
            </w:r>
          </w:p>
        </w:tc>
      </w:tr>
      <w:tr w:rsidR="00DA562C" w:rsidRPr="00B7675F" w14:paraId="170D1D40" w14:textId="77777777" w:rsidTr="006B497E">
        <w:trPr>
          <w:trHeight w:val="288"/>
        </w:trPr>
        <w:tc>
          <w:tcPr>
            <w:tcW w:w="4495" w:type="dxa"/>
            <w:tcBorders>
              <w:top w:val="nil"/>
              <w:left w:val="single" w:sz="4" w:space="0" w:color="auto"/>
              <w:bottom w:val="single" w:sz="4" w:space="0" w:color="auto"/>
              <w:right w:val="single" w:sz="4" w:space="0" w:color="auto"/>
            </w:tcBorders>
            <w:shd w:val="clear" w:color="auto" w:fill="auto"/>
            <w:noWrap/>
            <w:vAlign w:val="bottom"/>
            <w:hideMark/>
          </w:tcPr>
          <w:p w14:paraId="0787CF48" w14:textId="77777777" w:rsidR="00DA562C" w:rsidRPr="00653E85" w:rsidRDefault="00DA562C" w:rsidP="00C457E3">
            <w:pPr>
              <w:spacing w:after="0" w:line="276" w:lineRule="auto"/>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Suma contribuțiilor calculate (lei)</w:t>
            </w:r>
          </w:p>
        </w:tc>
        <w:tc>
          <w:tcPr>
            <w:tcW w:w="1594" w:type="dxa"/>
            <w:tcBorders>
              <w:top w:val="nil"/>
              <w:left w:val="nil"/>
              <w:bottom w:val="single" w:sz="4" w:space="0" w:color="auto"/>
              <w:right w:val="single" w:sz="4" w:space="0" w:color="auto"/>
            </w:tcBorders>
            <w:shd w:val="clear" w:color="auto" w:fill="auto"/>
            <w:noWrap/>
            <w:vAlign w:val="bottom"/>
            <w:hideMark/>
          </w:tcPr>
          <w:p w14:paraId="0027B2E2"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286.31/1097.51</w:t>
            </w:r>
          </w:p>
        </w:tc>
        <w:tc>
          <w:tcPr>
            <w:tcW w:w="1594" w:type="dxa"/>
            <w:tcBorders>
              <w:top w:val="nil"/>
              <w:left w:val="nil"/>
              <w:bottom w:val="single" w:sz="4" w:space="0" w:color="auto"/>
              <w:right w:val="single" w:sz="4" w:space="0" w:color="auto"/>
            </w:tcBorders>
            <w:shd w:val="clear" w:color="auto" w:fill="auto"/>
            <w:noWrap/>
            <w:vAlign w:val="bottom"/>
            <w:hideMark/>
          </w:tcPr>
          <w:p w14:paraId="0E0644A6"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324.48/1243.85</w:t>
            </w:r>
          </w:p>
        </w:tc>
        <w:tc>
          <w:tcPr>
            <w:tcW w:w="937" w:type="dxa"/>
            <w:tcBorders>
              <w:top w:val="nil"/>
              <w:left w:val="nil"/>
              <w:bottom w:val="single" w:sz="4" w:space="0" w:color="auto"/>
              <w:right w:val="single" w:sz="4" w:space="0" w:color="auto"/>
            </w:tcBorders>
            <w:shd w:val="clear" w:color="auto" w:fill="auto"/>
            <w:noWrap/>
            <w:vAlign w:val="bottom"/>
            <w:hideMark/>
          </w:tcPr>
          <w:p w14:paraId="21843ECB"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1718.8</w:t>
            </w:r>
          </w:p>
        </w:tc>
        <w:tc>
          <w:tcPr>
            <w:tcW w:w="937" w:type="dxa"/>
            <w:tcBorders>
              <w:top w:val="nil"/>
              <w:left w:val="nil"/>
              <w:bottom w:val="single" w:sz="4" w:space="0" w:color="auto"/>
              <w:right w:val="single" w:sz="4" w:space="0" w:color="auto"/>
            </w:tcBorders>
            <w:shd w:val="clear" w:color="auto" w:fill="auto"/>
            <w:noWrap/>
            <w:vAlign w:val="bottom"/>
            <w:hideMark/>
          </w:tcPr>
          <w:p w14:paraId="6969B336" w14:textId="77777777" w:rsidR="00DA562C" w:rsidRPr="00653E85" w:rsidRDefault="00DA562C" w:rsidP="00C457E3">
            <w:pPr>
              <w:spacing w:after="0" w:line="276" w:lineRule="auto"/>
              <w:jc w:val="center"/>
              <w:rPr>
                <w:rFonts w:asciiTheme="majorHAnsi" w:eastAsia="Times New Roman" w:hAnsiTheme="majorHAnsi" w:cstheme="majorHAnsi"/>
                <w:color w:val="000000"/>
                <w:sz w:val="24"/>
                <w:lang w:val="ro-MD"/>
              </w:rPr>
            </w:pPr>
            <w:r w:rsidRPr="00653E85">
              <w:rPr>
                <w:rFonts w:asciiTheme="majorHAnsi" w:eastAsia="Times New Roman" w:hAnsiTheme="majorHAnsi" w:cstheme="majorHAnsi"/>
                <w:color w:val="000000"/>
                <w:sz w:val="24"/>
                <w:lang w:val="ro-MD"/>
              </w:rPr>
              <w:t>1952.28</w:t>
            </w:r>
          </w:p>
        </w:tc>
      </w:tr>
    </w:tbl>
    <w:p w14:paraId="6D27D2AD" w14:textId="3F090C42" w:rsidR="00DA562C" w:rsidRPr="00653E85" w:rsidRDefault="00DA562C" w:rsidP="00DA562C">
      <w:pPr>
        <w:shd w:val="clear" w:color="auto" w:fill="FFFFFF"/>
        <w:spacing w:after="0" w:line="276" w:lineRule="auto"/>
        <w:jc w:val="both"/>
        <w:rPr>
          <w:rFonts w:asciiTheme="majorHAnsi" w:eastAsia="Times New Roman" w:hAnsiTheme="majorHAnsi" w:cstheme="majorHAnsi"/>
          <w:bCs/>
          <w:i/>
          <w:iCs/>
          <w:sz w:val="20"/>
          <w:szCs w:val="20"/>
          <w:shd w:val="clear" w:color="auto" w:fill="FFFFFF"/>
          <w:lang w:val="ro-MD"/>
        </w:rPr>
      </w:pPr>
      <w:r w:rsidRPr="00653E85">
        <w:rPr>
          <w:rFonts w:asciiTheme="majorHAnsi" w:eastAsia="Times New Roman" w:hAnsiTheme="majorHAnsi" w:cstheme="majorHAnsi"/>
          <w:bCs/>
          <w:i/>
          <w:iCs/>
          <w:sz w:val="20"/>
          <w:szCs w:val="20"/>
          <w:shd w:val="clear" w:color="auto" w:fill="FFFFFF"/>
          <w:lang w:val="ro-MD"/>
        </w:rPr>
        <w:t xml:space="preserve">Sursa: </w:t>
      </w:r>
      <w:r w:rsidR="00C10267" w:rsidRPr="00653E85">
        <w:rPr>
          <w:rFonts w:asciiTheme="majorHAnsi" w:eastAsia="Times New Roman" w:hAnsiTheme="majorHAnsi" w:cstheme="majorHAnsi"/>
          <w:bCs/>
          <w:i/>
          <w:iCs/>
          <w:sz w:val="20"/>
          <w:szCs w:val="20"/>
          <w:shd w:val="clear" w:color="auto" w:fill="FFFFFF"/>
          <w:lang w:val="ro-MD"/>
        </w:rPr>
        <w:t>E</w:t>
      </w:r>
      <w:r w:rsidRPr="00653E85">
        <w:rPr>
          <w:rFonts w:asciiTheme="majorHAnsi" w:eastAsia="Times New Roman" w:hAnsiTheme="majorHAnsi" w:cstheme="majorHAnsi"/>
          <w:bCs/>
          <w:i/>
          <w:iCs/>
          <w:sz w:val="20"/>
          <w:szCs w:val="20"/>
          <w:shd w:val="clear" w:color="auto" w:fill="FFFFFF"/>
          <w:lang w:val="ro-MD"/>
        </w:rPr>
        <w:t>laborat de audit în baza prevederilor legale</w:t>
      </w:r>
      <w:r w:rsidR="00C10267" w:rsidRPr="00653E85">
        <w:rPr>
          <w:rFonts w:asciiTheme="majorHAnsi" w:eastAsia="Times New Roman" w:hAnsiTheme="majorHAnsi" w:cstheme="majorHAnsi"/>
          <w:bCs/>
          <w:i/>
          <w:iCs/>
          <w:sz w:val="20"/>
          <w:szCs w:val="20"/>
          <w:shd w:val="clear" w:color="auto" w:fill="FFFFFF"/>
          <w:lang w:val="ro-MD"/>
        </w:rPr>
        <w:t>.</w:t>
      </w:r>
    </w:p>
    <w:p w14:paraId="2BCA1A0E" w14:textId="77777777" w:rsidR="00DA562C" w:rsidRPr="00653E85" w:rsidRDefault="00DA562C" w:rsidP="00DA562C">
      <w:pPr>
        <w:shd w:val="clear" w:color="auto" w:fill="FFFFFF"/>
        <w:spacing w:after="0" w:line="276" w:lineRule="auto"/>
        <w:jc w:val="both"/>
        <w:rPr>
          <w:rFonts w:asciiTheme="majorHAnsi" w:eastAsia="Times New Roman" w:hAnsiTheme="majorHAnsi" w:cstheme="majorHAnsi"/>
          <w:b/>
          <w:bCs/>
          <w:i/>
          <w:iCs/>
          <w:sz w:val="18"/>
          <w:szCs w:val="18"/>
          <w:shd w:val="clear" w:color="auto" w:fill="FFFFFF"/>
          <w:lang w:val="ro-MD"/>
        </w:rPr>
      </w:pPr>
    </w:p>
    <w:p w14:paraId="57E99F74" w14:textId="5928146B" w:rsidR="00A81C15" w:rsidRPr="00653E85" w:rsidRDefault="009C45AD" w:rsidP="00DA562C">
      <w:pPr>
        <w:shd w:val="clear" w:color="auto" w:fill="FFFFFF"/>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Calculul şi plata contribuțiilor de asigurări sociale de stat obligatorii datorate de rezidenții parcurilor pentru tehnologia informației și angajații acestora</w:t>
      </w:r>
      <w:r w:rsidR="006714AC" w:rsidRPr="00653E85">
        <w:rPr>
          <w:rFonts w:asciiTheme="majorHAnsi" w:eastAsia="Times New Roman" w:hAnsiTheme="majorHAnsi" w:cstheme="majorHAnsi"/>
          <w:sz w:val="24"/>
          <w:szCs w:val="24"/>
          <w:shd w:val="clear" w:color="auto" w:fill="FFFFFF"/>
          <w:lang w:val="ro-MD"/>
        </w:rPr>
        <w:t>,</w:t>
      </w:r>
      <w:r w:rsidRPr="00653E85">
        <w:rPr>
          <w:rFonts w:asciiTheme="majorHAnsi" w:eastAsia="Times New Roman" w:hAnsiTheme="majorHAnsi" w:cstheme="majorHAnsi"/>
          <w:sz w:val="24"/>
          <w:szCs w:val="24"/>
          <w:shd w:val="clear" w:color="auto" w:fill="FFFFFF"/>
          <w:lang w:val="ro-MD"/>
        </w:rPr>
        <w:t xml:space="preserve"> în raport cu veniturile salariale obținute în baza legislației muncii și actelor normative ce conțin norme ale dreptului muncii, se efectuează din contul sumelor repartizate la bugetul asigurărilor sociale de stat din încasările impozitului unic achitat de rezidenții parcurilor pentru tehnologia informației conform prevederilor. Astfel, venitul asigurat este de aproximativ 6 ori mai mic decât salariu</w:t>
      </w:r>
      <w:r w:rsidR="006714AC" w:rsidRPr="00653E85">
        <w:rPr>
          <w:rFonts w:asciiTheme="majorHAnsi" w:eastAsia="Times New Roman" w:hAnsiTheme="majorHAnsi" w:cstheme="majorHAnsi"/>
          <w:sz w:val="24"/>
          <w:szCs w:val="24"/>
          <w:shd w:val="clear" w:color="auto" w:fill="FFFFFF"/>
          <w:lang w:val="ro-MD"/>
        </w:rPr>
        <w:t>l</w:t>
      </w:r>
      <w:r w:rsidRPr="00653E85">
        <w:rPr>
          <w:rFonts w:asciiTheme="majorHAnsi" w:eastAsia="Times New Roman" w:hAnsiTheme="majorHAnsi" w:cstheme="majorHAnsi"/>
          <w:sz w:val="24"/>
          <w:szCs w:val="24"/>
          <w:shd w:val="clear" w:color="auto" w:fill="FFFFFF"/>
          <w:lang w:val="ro-MD"/>
        </w:rPr>
        <w:t xml:space="preserve"> obținut în domeniul T</w:t>
      </w:r>
      <w:r w:rsidR="006714AC" w:rsidRPr="00653E85">
        <w:rPr>
          <w:rFonts w:asciiTheme="majorHAnsi" w:eastAsia="Times New Roman" w:hAnsiTheme="majorHAnsi" w:cstheme="majorHAnsi"/>
          <w:sz w:val="24"/>
          <w:szCs w:val="24"/>
          <w:shd w:val="clear" w:color="auto" w:fill="FFFFFF"/>
          <w:lang w:val="ro-MD"/>
        </w:rPr>
        <w:t>I</w:t>
      </w:r>
      <w:r w:rsidRPr="00653E85">
        <w:rPr>
          <w:rStyle w:val="a5"/>
          <w:rFonts w:asciiTheme="majorHAnsi" w:eastAsia="Times New Roman" w:hAnsiTheme="majorHAnsi" w:cstheme="majorHAnsi"/>
          <w:sz w:val="24"/>
          <w:szCs w:val="24"/>
          <w:shd w:val="clear" w:color="auto" w:fill="FFFFFF"/>
          <w:lang w:val="ro-MD"/>
        </w:rPr>
        <w:footnoteReference w:id="71"/>
      </w:r>
      <w:r w:rsidR="00056433" w:rsidRPr="00653E85">
        <w:rPr>
          <w:rFonts w:asciiTheme="majorHAnsi" w:eastAsia="Times New Roman" w:hAnsiTheme="majorHAnsi" w:cstheme="majorHAnsi"/>
          <w:sz w:val="24"/>
          <w:szCs w:val="24"/>
          <w:shd w:val="clear" w:color="auto" w:fill="FFFFFF"/>
          <w:lang w:val="ro-MD"/>
        </w:rPr>
        <w:t xml:space="preserve">. </w:t>
      </w:r>
      <w:r w:rsidR="00537BD4" w:rsidRPr="00653E85">
        <w:rPr>
          <w:rFonts w:asciiTheme="majorHAnsi" w:eastAsia="Times New Roman" w:hAnsiTheme="majorHAnsi" w:cstheme="majorHAnsi"/>
          <w:sz w:val="24"/>
          <w:szCs w:val="24"/>
          <w:shd w:val="clear" w:color="auto" w:fill="FFFFFF"/>
          <w:lang w:val="ro-MD"/>
        </w:rPr>
        <w:t>Prin</w:t>
      </w:r>
      <w:r w:rsidR="00A81C15" w:rsidRPr="00653E85">
        <w:rPr>
          <w:rFonts w:asciiTheme="majorHAnsi" w:eastAsia="Times New Roman" w:hAnsiTheme="majorHAnsi" w:cstheme="majorHAnsi"/>
          <w:sz w:val="24"/>
          <w:szCs w:val="24"/>
          <w:shd w:val="clear" w:color="auto" w:fill="FFFFFF"/>
          <w:lang w:val="ro-MD"/>
        </w:rPr>
        <w:t xml:space="preserve"> urmare</w:t>
      </w:r>
      <w:r w:rsidR="006714AC" w:rsidRPr="00653E85">
        <w:rPr>
          <w:rFonts w:asciiTheme="majorHAnsi" w:eastAsia="Times New Roman" w:hAnsiTheme="majorHAnsi" w:cstheme="majorHAnsi"/>
          <w:sz w:val="24"/>
          <w:szCs w:val="24"/>
          <w:shd w:val="clear" w:color="auto" w:fill="FFFFFF"/>
          <w:lang w:val="ro-MD"/>
        </w:rPr>
        <w:t>,</w:t>
      </w:r>
      <w:r w:rsidR="00A81C15" w:rsidRPr="00653E85">
        <w:rPr>
          <w:rFonts w:asciiTheme="majorHAnsi" w:eastAsia="Times New Roman" w:hAnsiTheme="majorHAnsi" w:cstheme="majorHAnsi"/>
          <w:sz w:val="24"/>
          <w:szCs w:val="24"/>
          <w:shd w:val="clear" w:color="auto" w:fill="FFFFFF"/>
          <w:lang w:val="ro-MD"/>
        </w:rPr>
        <w:t xml:space="preserve"> acești </w:t>
      </w:r>
      <w:r w:rsidR="00537BD4" w:rsidRPr="00653E85">
        <w:rPr>
          <w:rFonts w:asciiTheme="majorHAnsi" w:eastAsia="Times New Roman" w:hAnsiTheme="majorHAnsi" w:cstheme="majorHAnsi"/>
          <w:sz w:val="24"/>
          <w:szCs w:val="24"/>
          <w:shd w:val="clear" w:color="auto" w:fill="FFFFFF"/>
          <w:lang w:val="ro-MD"/>
        </w:rPr>
        <w:t xml:space="preserve">beneficiari </w:t>
      </w:r>
      <w:r w:rsidR="00A81C15" w:rsidRPr="00653E85">
        <w:rPr>
          <w:rFonts w:asciiTheme="majorHAnsi" w:eastAsia="Times New Roman" w:hAnsiTheme="majorHAnsi" w:cstheme="majorHAnsi"/>
          <w:sz w:val="24"/>
          <w:szCs w:val="24"/>
          <w:shd w:val="clear" w:color="auto" w:fill="FFFFFF"/>
          <w:lang w:val="ro-MD"/>
        </w:rPr>
        <w:t xml:space="preserve">sunt limitați </w:t>
      </w:r>
      <w:r w:rsidR="00981AF2" w:rsidRPr="00653E85">
        <w:rPr>
          <w:rFonts w:asciiTheme="majorHAnsi" w:eastAsia="Times New Roman" w:hAnsiTheme="majorHAnsi" w:cstheme="majorHAnsi"/>
          <w:sz w:val="24"/>
          <w:szCs w:val="24"/>
          <w:shd w:val="clear" w:color="auto" w:fill="FFFFFF"/>
          <w:lang w:val="ro-MD"/>
        </w:rPr>
        <w:t xml:space="preserve">în cuantumul </w:t>
      </w:r>
      <w:r w:rsidR="00A81C15" w:rsidRPr="00653E85">
        <w:rPr>
          <w:rFonts w:asciiTheme="majorHAnsi" w:eastAsia="Times New Roman" w:hAnsiTheme="majorHAnsi" w:cstheme="majorHAnsi"/>
          <w:sz w:val="24"/>
          <w:szCs w:val="24"/>
          <w:shd w:val="clear" w:color="auto" w:fill="FFFFFF"/>
          <w:lang w:val="ro-MD"/>
        </w:rPr>
        <w:t>obținer</w:t>
      </w:r>
      <w:r w:rsidR="00981AF2" w:rsidRPr="00653E85">
        <w:rPr>
          <w:rFonts w:asciiTheme="majorHAnsi" w:eastAsia="Times New Roman" w:hAnsiTheme="majorHAnsi" w:cstheme="majorHAnsi"/>
          <w:sz w:val="24"/>
          <w:szCs w:val="24"/>
          <w:shd w:val="clear" w:color="auto" w:fill="FFFFFF"/>
          <w:lang w:val="ro-MD"/>
        </w:rPr>
        <w:t>ii</w:t>
      </w:r>
      <w:r w:rsidR="00A81C15" w:rsidRPr="00653E85">
        <w:rPr>
          <w:rFonts w:asciiTheme="majorHAnsi" w:eastAsia="Times New Roman" w:hAnsiTheme="majorHAnsi" w:cstheme="majorHAnsi"/>
          <w:sz w:val="24"/>
          <w:szCs w:val="24"/>
          <w:shd w:val="clear" w:color="auto" w:fill="FFFFFF"/>
          <w:lang w:val="ro-MD"/>
        </w:rPr>
        <w:t xml:space="preserve"> drepturilor sociale.</w:t>
      </w:r>
    </w:p>
    <w:p w14:paraId="189DE85F" w14:textId="710F987A" w:rsidR="00A81C15" w:rsidRPr="00653E85" w:rsidRDefault="00A81C15" w:rsidP="00992BC7">
      <w:pPr>
        <w:pStyle w:val="Default"/>
        <w:spacing w:after="240" w:line="276" w:lineRule="auto"/>
        <w:jc w:val="both"/>
        <w:rPr>
          <w:rFonts w:asciiTheme="majorHAnsi" w:eastAsia="Times New Roman" w:hAnsiTheme="majorHAnsi" w:cstheme="majorHAnsi"/>
          <w:color w:val="auto"/>
          <w:shd w:val="clear" w:color="auto" w:fill="FFFFFF"/>
          <w:lang w:val="ro-MD"/>
        </w:rPr>
      </w:pPr>
      <w:r w:rsidRPr="00653E85">
        <w:rPr>
          <w:rFonts w:asciiTheme="majorHAnsi" w:eastAsia="Times New Roman" w:hAnsiTheme="majorHAnsi" w:cstheme="majorHAnsi"/>
          <w:color w:val="auto"/>
          <w:shd w:val="clear" w:color="auto" w:fill="FFFFFF"/>
          <w:lang w:val="ro-MD"/>
        </w:rPr>
        <w:t xml:space="preserve">În </w:t>
      </w:r>
      <w:r w:rsidR="006714AC" w:rsidRPr="00653E85">
        <w:rPr>
          <w:rFonts w:asciiTheme="majorHAnsi" w:eastAsia="Times New Roman" w:hAnsiTheme="majorHAnsi" w:cstheme="majorHAnsi"/>
          <w:color w:val="auto"/>
          <w:shd w:val="clear" w:color="auto" w:fill="FFFFFF"/>
          <w:lang w:val="ro-MD"/>
        </w:rPr>
        <w:t xml:space="preserve">acest </w:t>
      </w:r>
      <w:r w:rsidRPr="00653E85">
        <w:rPr>
          <w:rFonts w:asciiTheme="majorHAnsi" w:eastAsia="Times New Roman" w:hAnsiTheme="majorHAnsi" w:cstheme="majorHAnsi"/>
          <w:color w:val="auto"/>
          <w:shd w:val="clear" w:color="auto" w:fill="FFFFFF"/>
          <w:lang w:val="ro-MD"/>
        </w:rPr>
        <w:t xml:space="preserve">context, concretizăm că mărimea prestațiilor de asigurări sociale depinde de perioada totală de activitate a persoanei (stagiul total de cotizare) și </w:t>
      </w:r>
      <w:r w:rsidR="006714AC" w:rsidRPr="00653E85">
        <w:rPr>
          <w:rFonts w:asciiTheme="majorHAnsi" w:eastAsia="Times New Roman" w:hAnsiTheme="majorHAnsi" w:cstheme="majorHAnsi"/>
          <w:color w:val="auto"/>
          <w:shd w:val="clear" w:color="auto" w:fill="FFFFFF"/>
          <w:lang w:val="ro-MD"/>
        </w:rPr>
        <w:t xml:space="preserve">de </w:t>
      </w:r>
      <w:r w:rsidRPr="00653E85">
        <w:rPr>
          <w:rFonts w:asciiTheme="majorHAnsi" w:eastAsia="Times New Roman" w:hAnsiTheme="majorHAnsi" w:cstheme="majorHAnsi"/>
          <w:color w:val="auto"/>
          <w:shd w:val="clear" w:color="auto" w:fill="FFFFFF"/>
          <w:lang w:val="ro-MD"/>
        </w:rPr>
        <w:t>salariul din care au fost achitate contribuții de asigurări sociale. Astfel, contribuția de asigurări sociale nu reprezintă doar o plată obligatorie, dar și o condiție prioritară pentru acordarea dreptului la prestațiile de asigurări sociale și determinarea mărimii acestora</w:t>
      </w:r>
      <w:r w:rsidR="00992BC7" w:rsidRPr="00653E85">
        <w:rPr>
          <w:rFonts w:asciiTheme="majorHAnsi" w:eastAsia="Times New Roman" w:hAnsiTheme="majorHAnsi" w:cstheme="majorHAnsi"/>
          <w:color w:val="auto"/>
          <w:shd w:val="clear" w:color="auto" w:fill="FFFFFF"/>
          <w:lang w:val="ro-MD"/>
        </w:rPr>
        <w:t>.</w:t>
      </w:r>
    </w:p>
    <w:p w14:paraId="72271CFC" w14:textId="376EEE3A" w:rsidR="00A81C15" w:rsidRPr="00653E85" w:rsidRDefault="00DA562C" w:rsidP="00992BC7">
      <w:pPr>
        <w:shd w:val="clear" w:color="auto" w:fill="FFFFFF"/>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Pe parcursul misiunii</w:t>
      </w:r>
      <w:r w:rsidR="00056433" w:rsidRPr="00653E85">
        <w:rPr>
          <w:rFonts w:asciiTheme="majorHAnsi" w:eastAsia="Times New Roman" w:hAnsiTheme="majorHAnsi" w:cstheme="majorHAnsi"/>
          <w:sz w:val="24"/>
          <w:szCs w:val="24"/>
          <w:shd w:val="clear" w:color="auto" w:fill="FFFFFF"/>
          <w:lang w:val="ro-MD"/>
        </w:rPr>
        <w:t>, la auditarea prestațiilor sociale</w:t>
      </w:r>
      <w:r w:rsidRPr="00653E85">
        <w:rPr>
          <w:rFonts w:asciiTheme="majorHAnsi" w:eastAsia="Times New Roman" w:hAnsiTheme="majorHAnsi" w:cstheme="majorHAnsi"/>
          <w:sz w:val="24"/>
          <w:szCs w:val="24"/>
          <w:shd w:val="clear" w:color="auto" w:fill="FFFFFF"/>
          <w:lang w:val="ro-MD"/>
        </w:rPr>
        <w:t>, audit</w:t>
      </w:r>
      <w:r w:rsidR="008D58DD" w:rsidRPr="00653E85">
        <w:rPr>
          <w:rFonts w:asciiTheme="majorHAnsi" w:eastAsia="Times New Roman" w:hAnsiTheme="majorHAnsi" w:cstheme="majorHAnsi"/>
          <w:sz w:val="24"/>
          <w:szCs w:val="24"/>
          <w:shd w:val="clear" w:color="auto" w:fill="FFFFFF"/>
          <w:lang w:val="ro-MD"/>
        </w:rPr>
        <w:t>ul</w:t>
      </w:r>
      <w:r w:rsidRPr="00653E85">
        <w:rPr>
          <w:rFonts w:asciiTheme="majorHAnsi" w:eastAsia="Times New Roman" w:hAnsiTheme="majorHAnsi" w:cstheme="majorHAnsi"/>
          <w:sz w:val="24"/>
          <w:szCs w:val="24"/>
          <w:shd w:val="clear" w:color="auto" w:fill="FFFFFF"/>
          <w:lang w:val="ro-MD"/>
        </w:rPr>
        <w:t xml:space="preserve"> a</w:t>
      </w:r>
      <w:r w:rsidR="008D58DD" w:rsidRPr="00653E85">
        <w:rPr>
          <w:rFonts w:asciiTheme="majorHAnsi" w:eastAsia="Times New Roman" w:hAnsiTheme="majorHAnsi" w:cstheme="majorHAnsi"/>
          <w:sz w:val="24"/>
          <w:szCs w:val="24"/>
          <w:shd w:val="clear" w:color="auto" w:fill="FFFFFF"/>
          <w:lang w:val="ro-MD"/>
        </w:rPr>
        <w:t xml:space="preserve"> </w:t>
      </w:r>
      <w:r w:rsidRPr="00653E85">
        <w:rPr>
          <w:rFonts w:asciiTheme="majorHAnsi" w:eastAsia="Times New Roman" w:hAnsiTheme="majorHAnsi" w:cstheme="majorHAnsi"/>
          <w:sz w:val="24"/>
          <w:szCs w:val="24"/>
          <w:shd w:val="clear" w:color="auto" w:fill="FFFFFF"/>
          <w:lang w:val="ro-MD"/>
        </w:rPr>
        <w:t>identifica</w:t>
      </w:r>
      <w:r w:rsidR="008D58DD" w:rsidRPr="00653E85">
        <w:rPr>
          <w:rFonts w:asciiTheme="majorHAnsi" w:eastAsia="Times New Roman" w:hAnsiTheme="majorHAnsi" w:cstheme="majorHAnsi"/>
          <w:sz w:val="24"/>
          <w:szCs w:val="24"/>
          <w:shd w:val="clear" w:color="auto" w:fill="FFFFFF"/>
          <w:lang w:val="ro-MD"/>
        </w:rPr>
        <w:t>t</w:t>
      </w:r>
      <w:r w:rsidRPr="00653E85">
        <w:rPr>
          <w:rFonts w:asciiTheme="majorHAnsi" w:eastAsia="Times New Roman" w:hAnsiTheme="majorHAnsi" w:cstheme="majorHAnsi"/>
          <w:sz w:val="24"/>
          <w:szCs w:val="24"/>
          <w:shd w:val="clear" w:color="auto" w:fill="FFFFFF"/>
          <w:lang w:val="ro-MD"/>
        </w:rPr>
        <w:t xml:space="preserve"> beneficiari de pensie anticipată, indemnizație pentru incapacitate temporară de muncă, indemnizație de maternitate, indemnizație paternală și indemnizație lunară pentru îngrijirea copilului, cuantumul prestației </w:t>
      </w:r>
      <w:r w:rsidR="00B270C8" w:rsidRPr="00653E85">
        <w:rPr>
          <w:rFonts w:asciiTheme="majorHAnsi" w:eastAsia="Times New Roman" w:hAnsiTheme="majorHAnsi" w:cstheme="majorHAnsi"/>
          <w:sz w:val="24"/>
          <w:szCs w:val="24"/>
          <w:shd w:val="clear" w:color="auto" w:fill="FFFFFF"/>
          <w:lang w:val="ro-MD"/>
        </w:rPr>
        <w:t>fiind</w:t>
      </w:r>
      <w:r w:rsidRPr="00653E85">
        <w:rPr>
          <w:rFonts w:asciiTheme="majorHAnsi" w:eastAsia="Times New Roman" w:hAnsiTheme="majorHAnsi" w:cstheme="majorHAnsi"/>
          <w:sz w:val="24"/>
          <w:szCs w:val="24"/>
          <w:shd w:val="clear" w:color="auto" w:fill="FFFFFF"/>
          <w:lang w:val="ro-MD"/>
        </w:rPr>
        <w:t xml:space="preserve"> stabilit în baza venitului lunar asigurat </w:t>
      </w:r>
      <w:r w:rsidRPr="00653E85">
        <w:rPr>
          <w:rFonts w:asciiTheme="majorHAnsi" w:eastAsia="Times New Roman" w:hAnsiTheme="majorHAnsi" w:cstheme="majorHAnsi"/>
          <w:iCs/>
          <w:sz w:val="24"/>
          <w:szCs w:val="24"/>
          <w:shd w:val="clear" w:color="auto" w:fill="FFFFFF"/>
          <w:lang w:val="ro-MD"/>
        </w:rPr>
        <w:t>limitat</w:t>
      </w:r>
      <w:r w:rsidR="00056433" w:rsidRPr="00653E85">
        <w:rPr>
          <w:rFonts w:asciiTheme="majorHAnsi" w:eastAsia="Times New Roman" w:hAnsiTheme="majorHAnsi" w:cstheme="majorHAnsi"/>
          <w:iCs/>
          <w:sz w:val="24"/>
          <w:szCs w:val="24"/>
          <w:shd w:val="clear" w:color="auto" w:fill="FFFFFF"/>
          <w:lang w:val="ro-MD"/>
        </w:rPr>
        <w:t xml:space="preserve"> (Anexa</w:t>
      </w:r>
      <w:r w:rsidR="00415A0B" w:rsidRPr="00653E85">
        <w:rPr>
          <w:rFonts w:asciiTheme="majorHAnsi" w:eastAsia="Times New Roman" w:hAnsiTheme="majorHAnsi" w:cstheme="majorHAnsi"/>
          <w:iCs/>
          <w:sz w:val="24"/>
          <w:szCs w:val="24"/>
          <w:shd w:val="clear" w:color="auto" w:fill="FFFFFF"/>
          <w:lang w:val="ro-MD"/>
        </w:rPr>
        <w:t xml:space="preserve"> nr. 4</w:t>
      </w:r>
      <w:r w:rsidR="00B270C8" w:rsidRPr="00653E85">
        <w:rPr>
          <w:rFonts w:asciiTheme="majorHAnsi" w:eastAsia="Times New Roman" w:hAnsiTheme="majorHAnsi" w:cstheme="majorHAnsi"/>
          <w:iCs/>
          <w:sz w:val="24"/>
          <w:szCs w:val="24"/>
          <w:shd w:val="clear" w:color="auto" w:fill="FFFFFF"/>
          <w:lang w:val="ro-MD"/>
        </w:rPr>
        <w:t xml:space="preserve"> la prezentul Raport de audit</w:t>
      </w:r>
      <w:r w:rsidR="00056433" w:rsidRPr="00653E85">
        <w:rPr>
          <w:rFonts w:asciiTheme="majorHAnsi" w:eastAsia="Times New Roman" w:hAnsiTheme="majorHAnsi" w:cstheme="majorHAnsi"/>
          <w:iCs/>
          <w:sz w:val="24"/>
          <w:szCs w:val="24"/>
          <w:shd w:val="clear" w:color="auto" w:fill="FFFFFF"/>
          <w:lang w:val="ro-MD"/>
        </w:rPr>
        <w:t>).</w:t>
      </w:r>
      <w:r w:rsidR="00056433" w:rsidRPr="00653E85">
        <w:rPr>
          <w:rFonts w:asciiTheme="majorHAnsi" w:eastAsia="Times New Roman" w:hAnsiTheme="majorHAnsi" w:cstheme="majorHAnsi"/>
          <w:i/>
          <w:iCs/>
          <w:sz w:val="24"/>
          <w:szCs w:val="24"/>
          <w:shd w:val="clear" w:color="auto" w:fill="FFFFFF"/>
          <w:lang w:val="ro-MD"/>
        </w:rPr>
        <w:t xml:space="preserve"> </w:t>
      </w:r>
      <w:r w:rsidRPr="00653E85">
        <w:rPr>
          <w:rFonts w:asciiTheme="majorHAnsi" w:eastAsia="Times New Roman" w:hAnsiTheme="majorHAnsi" w:cstheme="majorHAnsi"/>
          <w:sz w:val="24"/>
          <w:szCs w:val="24"/>
          <w:shd w:val="clear" w:color="auto" w:fill="FFFFFF"/>
          <w:lang w:val="ro-MD"/>
        </w:rPr>
        <w:t>Astfel, baza de calcul limitată la determinarea mărimii prestației afectează posibilitatea acestei categorii de plătitori de a beneficia pe viitor de prestații de asigurări sociale în cuantum mai mare.</w:t>
      </w:r>
    </w:p>
    <w:p w14:paraId="55DFA10A" w14:textId="35B600C3" w:rsidR="00F27269" w:rsidRPr="00653E85" w:rsidRDefault="00A81C15" w:rsidP="00992BC7">
      <w:pPr>
        <w:shd w:val="clear" w:color="auto" w:fill="FFFFFF"/>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Subsecvent, auditul menționează că unul din principiile asigurărilor sociale este</w:t>
      </w:r>
      <w:r w:rsidR="003D57D5" w:rsidRPr="00653E85">
        <w:rPr>
          <w:rFonts w:asciiTheme="majorHAnsi" w:eastAsia="Times New Roman" w:hAnsiTheme="majorHAnsi" w:cstheme="majorHAnsi"/>
          <w:sz w:val="24"/>
          <w:szCs w:val="24"/>
          <w:shd w:val="clear" w:color="auto" w:fill="FFFFFF"/>
          <w:lang w:val="ro-MD"/>
        </w:rPr>
        <w:t xml:space="preserve"> principiul </w:t>
      </w:r>
      <w:r w:rsidR="00D3178C" w:rsidRPr="00653E85">
        <w:rPr>
          <w:rFonts w:asciiTheme="majorHAnsi" w:eastAsia="Times New Roman" w:hAnsiTheme="majorHAnsi" w:cstheme="majorHAnsi"/>
          <w:sz w:val="24"/>
          <w:szCs w:val="24"/>
          <w:shd w:val="clear" w:color="auto" w:fill="FFFFFF"/>
          <w:lang w:val="ro-MD"/>
        </w:rPr>
        <w:t>egalității</w:t>
      </w:r>
      <w:r w:rsidR="003D57D5" w:rsidRPr="00653E85">
        <w:rPr>
          <w:rFonts w:asciiTheme="majorHAnsi" w:eastAsia="Times New Roman" w:hAnsiTheme="majorHAnsi" w:cstheme="majorHAnsi"/>
          <w:sz w:val="24"/>
          <w:szCs w:val="24"/>
          <w:shd w:val="clear" w:color="auto" w:fill="FFFFFF"/>
          <w:lang w:val="ro-MD"/>
        </w:rPr>
        <w:t xml:space="preserve">, care asigură tuturor </w:t>
      </w:r>
      <w:r w:rsidR="00D3178C" w:rsidRPr="00653E85">
        <w:rPr>
          <w:rFonts w:asciiTheme="majorHAnsi" w:eastAsia="Times New Roman" w:hAnsiTheme="majorHAnsi" w:cstheme="majorHAnsi"/>
          <w:sz w:val="24"/>
          <w:szCs w:val="24"/>
          <w:shd w:val="clear" w:color="auto" w:fill="FFFFFF"/>
          <w:lang w:val="ro-MD"/>
        </w:rPr>
        <w:t>participanților</w:t>
      </w:r>
      <w:r w:rsidR="003D57D5" w:rsidRPr="00653E85">
        <w:rPr>
          <w:rFonts w:asciiTheme="majorHAnsi" w:eastAsia="Times New Roman" w:hAnsiTheme="majorHAnsi" w:cstheme="majorHAnsi"/>
          <w:sz w:val="24"/>
          <w:szCs w:val="24"/>
          <w:shd w:val="clear" w:color="auto" w:fill="FFFFFF"/>
          <w:lang w:val="ro-MD"/>
        </w:rPr>
        <w:t xml:space="preserve"> la sistemul public - contribuabili şi beneficiari - un tratament nediscriminatoriu în ceea ce </w:t>
      </w:r>
      <w:r w:rsidR="00D3178C" w:rsidRPr="00653E85">
        <w:rPr>
          <w:rFonts w:asciiTheme="majorHAnsi" w:eastAsia="Times New Roman" w:hAnsiTheme="majorHAnsi" w:cstheme="majorHAnsi"/>
          <w:sz w:val="24"/>
          <w:szCs w:val="24"/>
          <w:shd w:val="clear" w:color="auto" w:fill="FFFFFF"/>
          <w:lang w:val="ro-MD"/>
        </w:rPr>
        <w:t>privește</w:t>
      </w:r>
      <w:r w:rsidR="003D57D5" w:rsidRPr="00653E85">
        <w:rPr>
          <w:rFonts w:asciiTheme="majorHAnsi" w:eastAsia="Times New Roman" w:hAnsiTheme="majorHAnsi" w:cstheme="majorHAnsi"/>
          <w:sz w:val="24"/>
          <w:szCs w:val="24"/>
          <w:shd w:val="clear" w:color="auto" w:fill="FFFFFF"/>
          <w:lang w:val="ro-MD"/>
        </w:rPr>
        <w:t xml:space="preserve"> drepturile şi </w:t>
      </w:r>
      <w:r w:rsidR="00D3178C" w:rsidRPr="00653E85">
        <w:rPr>
          <w:rFonts w:asciiTheme="majorHAnsi" w:eastAsia="Times New Roman" w:hAnsiTheme="majorHAnsi" w:cstheme="majorHAnsi"/>
          <w:sz w:val="24"/>
          <w:szCs w:val="24"/>
          <w:shd w:val="clear" w:color="auto" w:fill="FFFFFF"/>
          <w:lang w:val="ro-MD"/>
        </w:rPr>
        <w:t>obligațiile</w:t>
      </w:r>
      <w:r w:rsidRPr="00653E85">
        <w:rPr>
          <w:rFonts w:asciiTheme="majorHAnsi" w:eastAsia="Times New Roman" w:hAnsiTheme="majorHAnsi" w:cstheme="majorHAnsi"/>
          <w:sz w:val="24"/>
          <w:szCs w:val="24"/>
          <w:shd w:val="clear" w:color="auto" w:fill="FFFFFF"/>
          <w:lang w:val="ro-MD"/>
        </w:rPr>
        <w:t xml:space="preserve"> prevăzute de lege</w:t>
      </w:r>
      <w:r w:rsidR="008C7F4E" w:rsidRPr="00653E85">
        <w:rPr>
          <w:rStyle w:val="a5"/>
          <w:rFonts w:asciiTheme="majorHAnsi" w:hAnsiTheme="majorHAnsi" w:cstheme="majorHAnsi"/>
          <w:shd w:val="clear" w:color="auto" w:fill="FFFFFF"/>
          <w:lang w:val="ro-MD"/>
        </w:rPr>
        <w:t xml:space="preserve"> </w:t>
      </w:r>
      <w:r w:rsidR="008C7F4E" w:rsidRPr="00653E85">
        <w:rPr>
          <w:rStyle w:val="a5"/>
          <w:rFonts w:asciiTheme="majorHAnsi" w:hAnsiTheme="majorHAnsi" w:cstheme="majorHAnsi"/>
          <w:sz w:val="24"/>
          <w:szCs w:val="24"/>
          <w:shd w:val="clear" w:color="auto" w:fill="FFFFFF"/>
          <w:lang w:val="ro-MD"/>
        </w:rPr>
        <w:footnoteReference w:id="72"/>
      </w:r>
      <w:r w:rsidRPr="00653E85">
        <w:rPr>
          <w:rFonts w:asciiTheme="majorHAnsi" w:eastAsia="Times New Roman" w:hAnsiTheme="majorHAnsi" w:cstheme="majorHAnsi"/>
          <w:sz w:val="24"/>
          <w:szCs w:val="24"/>
          <w:shd w:val="clear" w:color="auto" w:fill="FFFFFF"/>
          <w:lang w:val="ro-MD"/>
        </w:rPr>
        <w:t>. Astfel, prevederile legale de susținere a sectorului T</w:t>
      </w:r>
      <w:r w:rsidR="00B270C8" w:rsidRPr="00653E85">
        <w:rPr>
          <w:rFonts w:asciiTheme="majorHAnsi" w:eastAsia="Times New Roman" w:hAnsiTheme="majorHAnsi" w:cstheme="majorHAnsi"/>
          <w:sz w:val="24"/>
          <w:szCs w:val="24"/>
          <w:shd w:val="clear" w:color="auto" w:fill="FFFFFF"/>
          <w:lang w:val="ro-MD"/>
        </w:rPr>
        <w:t>I</w:t>
      </w:r>
      <w:r w:rsidRPr="00653E85">
        <w:rPr>
          <w:rFonts w:asciiTheme="majorHAnsi" w:eastAsia="Times New Roman" w:hAnsiTheme="majorHAnsi" w:cstheme="majorHAnsi"/>
          <w:sz w:val="24"/>
          <w:szCs w:val="24"/>
          <w:shd w:val="clear" w:color="auto" w:fill="FFFFFF"/>
          <w:lang w:val="ro-MD"/>
        </w:rPr>
        <w:t xml:space="preserve"> prin politici sociale, nu asigură</w:t>
      </w:r>
      <w:r w:rsidR="0037711E" w:rsidRPr="00653E85">
        <w:rPr>
          <w:rFonts w:asciiTheme="majorHAnsi" w:eastAsia="Times New Roman" w:hAnsiTheme="majorHAnsi" w:cstheme="majorHAnsi"/>
          <w:sz w:val="24"/>
          <w:szCs w:val="24"/>
          <w:shd w:val="clear" w:color="auto" w:fill="FFFFFF"/>
          <w:lang w:val="ro-MD"/>
        </w:rPr>
        <w:t xml:space="preserve"> pe deplin</w:t>
      </w:r>
      <w:r w:rsidRPr="00653E85">
        <w:rPr>
          <w:rFonts w:asciiTheme="majorHAnsi" w:eastAsia="Times New Roman" w:hAnsiTheme="majorHAnsi" w:cstheme="majorHAnsi"/>
          <w:sz w:val="24"/>
          <w:szCs w:val="24"/>
          <w:shd w:val="clear" w:color="auto" w:fill="FFFFFF"/>
          <w:lang w:val="ro-MD"/>
        </w:rPr>
        <w:t xml:space="preserve"> respectarea principiului menționat.</w:t>
      </w:r>
    </w:p>
    <w:p w14:paraId="1B767BE3" w14:textId="2247FC94" w:rsidR="00DA562C" w:rsidRPr="00653E85" w:rsidRDefault="00992BC7" w:rsidP="00DA562C">
      <w:pPr>
        <w:pStyle w:val="aa"/>
        <w:numPr>
          <w:ilvl w:val="0"/>
          <w:numId w:val="19"/>
        </w:numPr>
        <w:shd w:val="clear" w:color="auto" w:fill="FFFFFF"/>
        <w:spacing w:after="0" w:line="276" w:lineRule="auto"/>
        <w:jc w:val="both"/>
        <w:rPr>
          <w:rFonts w:asciiTheme="majorHAnsi" w:eastAsia="Times New Roman" w:hAnsiTheme="majorHAnsi" w:cstheme="majorHAnsi"/>
          <w:b/>
          <w:bCs/>
          <w:i/>
          <w:iCs/>
          <w:sz w:val="24"/>
          <w:szCs w:val="24"/>
          <w:shd w:val="clear" w:color="auto" w:fill="FFFFFF"/>
          <w:lang w:val="ro-MD"/>
        </w:rPr>
      </w:pPr>
      <w:r w:rsidRPr="00653E85">
        <w:rPr>
          <w:rFonts w:asciiTheme="majorHAnsi" w:eastAsia="Times New Roman" w:hAnsiTheme="majorHAnsi" w:cstheme="majorHAnsi"/>
          <w:b/>
          <w:bCs/>
          <w:i/>
          <w:iCs/>
          <w:sz w:val="24"/>
          <w:szCs w:val="24"/>
          <w:shd w:val="clear" w:color="auto" w:fill="FFFFFF"/>
          <w:lang w:val="ro-MD"/>
        </w:rPr>
        <w:t>Politicile preferențiale privind contribuțiile în domeniul T</w:t>
      </w:r>
      <w:r w:rsidR="00B270C8" w:rsidRPr="00653E85">
        <w:rPr>
          <w:rFonts w:asciiTheme="majorHAnsi" w:eastAsia="Times New Roman" w:hAnsiTheme="majorHAnsi" w:cstheme="majorHAnsi"/>
          <w:b/>
          <w:bCs/>
          <w:i/>
          <w:iCs/>
          <w:sz w:val="24"/>
          <w:szCs w:val="24"/>
          <w:shd w:val="clear" w:color="auto" w:fill="FFFFFF"/>
          <w:lang w:val="ro-MD"/>
        </w:rPr>
        <w:t>I</w:t>
      </w:r>
      <w:r w:rsidRPr="00653E85">
        <w:rPr>
          <w:rFonts w:asciiTheme="majorHAnsi" w:eastAsia="Times New Roman" w:hAnsiTheme="majorHAnsi" w:cstheme="majorHAnsi"/>
          <w:b/>
          <w:bCs/>
          <w:i/>
          <w:iCs/>
          <w:sz w:val="24"/>
          <w:szCs w:val="24"/>
          <w:shd w:val="clear" w:color="auto" w:fill="FFFFFF"/>
          <w:lang w:val="ro-MD"/>
        </w:rPr>
        <w:t xml:space="preserve"> influențează</w:t>
      </w:r>
      <w:r w:rsidR="00341D3B" w:rsidRPr="00653E85">
        <w:rPr>
          <w:rFonts w:asciiTheme="majorHAnsi" w:eastAsia="Times New Roman" w:hAnsiTheme="majorHAnsi" w:cstheme="majorHAnsi"/>
          <w:b/>
          <w:bCs/>
          <w:i/>
          <w:iCs/>
          <w:sz w:val="24"/>
          <w:szCs w:val="24"/>
          <w:shd w:val="clear" w:color="auto" w:fill="FFFFFF"/>
          <w:lang w:val="ro-MD"/>
        </w:rPr>
        <w:t>/afectează</w:t>
      </w:r>
      <w:r w:rsidRPr="00653E85">
        <w:rPr>
          <w:rFonts w:asciiTheme="majorHAnsi" w:eastAsia="Times New Roman" w:hAnsiTheme="majorHAnsi" w:cstheme="majorHAnsi"/>
          <w:b/>
          <w:bCs/>
          <w:i/>
          <w:iCs/>
          <w:sz w:val="24"/>
          <w:szCs w:val="24"/>
          <w:shd w:val="clear" w:color="auto" w:fill="FFFFFF"/>
          <w:lang w:val="ro-MD"/>
        </w:rPr>
        <w:t xml:space="preserve"> v</w:t>
      </w:r>
      <w:r w:rsidR="00DA562C" w:rsidRPr="00653E85">
        <w:rPr>
          <w:rFonts w:asciiTheme="majorHAnsi" w:eastAsia="Times New Roman" w:hAnsiTheme="majorHAnsi" w:cstheme="majorHAnsi"/>
          <w:b/>
          <w:bCs/>
          <w:i/>
          <w:iCs/>
          <w:sz w:val="24"/>
          <w:szCs w:val="24"/>
          <w:shd w:val="clear" w:color="auto" w:fill="FFFFFF"/>
          <w:lang w:val="ro-MD"/>
        </w:rPr>
        <w:t>enituri</w:t>
      </w:r>
      <w:r w:rsidRPr="00653E85">
        <w:rPr>
          <w:rFonts w:asciiTheme="majorHAnsi" w:eastAsia="Times New Roman" w:hAnsiTheme="majorHAnsi" w:cstheme="majorHAnsi"/>
          <w:b/>
          <w:bCs/>
          <w:i/>
          <w:iCs/>
          <w:sz w:val="24"/>
          <w:szCs w:val="24"/>
          <w:shd w:val="clear" w:color="auto" w:fill="FFFFFF"/>
          <w:lang w:val="ro-MD"/>
        </w:rPr>
        <w:t>le BASS</w:t>
      </w:r>
      <w:r w:rsidR="00B270C8" w:rsidRPr="00653E85">
        <w:rPr>
          <w:rFonts w:asciiTheme="majorHAnsi" w:eastAsia="Times New Roman" w:hAnsiTheme="majorHAnsi" w:cstheme="majorHAnsi"/>
          <w:b/>
          <w:bCs/>
          <w:i/>
          <w:iCs/>
          <w:sz w:val="24"/>
          <w:szCs w:val="24"/>
          <w:shd w:val="clear" w:color="auto" w:fill="FFFFFF"/>
          <w:lang w:val="ro-MD"/>
        </w:rPr>
        <w:t>.</w:t>
      </w:r>
    </w:p>
    <w:p w14:paraId="3BB2747C" w14:textId="38E3A7BF" w:rsidR="00DA562C" w:rsidRPr="00653E85" w:rsidRDefault="00DA562C" w:rsidP="00DA562C">
      <w:pPr>
        <w:shd w:val="clear" w:color="auto" w:fill="FFFFFF"/>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eastAsia="Times New Roman" w:hAnsiTheme="majorHAnsi" w:cstheme="majorHAnsi"/>
          <w:sz w:val="24"/>
          <w:szCs w:val="24"/>
          <w:shd w:val="clear" w:color="auto" w:fill="FFFFFF"/>
          <w:lang w:val="ro-MD"/>
        </w:rPr>
        <w:t>Conform prevederilor</w:t>
      </w:r>
      <w:r w:rsidR="00992BC7" w:rsidRPr="00653E85">
        <w:rPr>
          <w:rFonts w:asciiTheme="majorHAnsi" w:eastAsia="Times New Roman" w:hAnsiTheme="majorHAnsi" w:cstheme="majorHAnsi"/>
          <w:sz w:val="24"/>
          <w:szCs w:val="24"/>
          <w:shd w:val="clear" w:color="auto" w:fill="FFFFFF"/>
          <w:lang w:val="ro-MD"/>
        </w:rPr>
        <w:t xml:space="preserve"> legale</w:t>
      </w:r>
      <w:r w:rsidRPr="00653E85">
        <w:rPr>
          <w:rFonts w:asciiTheme="majorHAnsi" w:eastAsia="Times New Roman" w:hAnsiTheme="majorHAnsi" w:cstheme="majorHAnsi"/>
          <w:sz w:val="24"/>
          <w:szCs w:val="24"/>
          <w:shd w:val="clear" w:color="auto" w:fill="FFFFFF"/>
          <w:lang w:val="ro-MD"/>
        </w:rPr>
        <w:t xml:space="preserve">, încasările de la impozitul unic perceput de la </w:t>
      </w:r>
      <w:r w:rsidR="00D3178C" w:rsidRPr="00653E85">
        <w:rPr>
          <w:rFonts w:asciiTheme="majorHAnsi" w:eastAsia="Times New Roman" w:hAnsiTheme="majorHAnsi" w:cstheme="majorHAnsi"/>
          <w:sz w:val="24"/>
          <w:szCs w:val="24"/>
          <w:shd w:val="clear" w:color="auto" w:fill="FFFFFF"/>
          <w:lang w:val="ro-MD"/>
        </w:rPr>
        <w:t>rezidenții</w:t>
      </w:r>
      <w:r w:rsidRPr="00653E85">
        <w:rPr>
          <w:rFonts w:asciiTheme="majorHAnsi" w:eastAsia="Times New Roman" w:hAnsiTheme="majorHAnsi" w:cstheme="majorHAnsi"/>
          <w:sz w:val="24"/>
          <w:szCs w:val="24"/>
          <w:shd w:val="clear" w:color="auto" w:fill="FFFFFF"/>
          <w:lang w:val="ro-MD"/>
        </w:rPr>
        <w:t xml:space="preserve"> parcurilor pentru tehnologia </w:t>
      </w:r>
      <w:r w:rsidR="00D3178C" w:rsidRPr="00653E85">
        <w:rPr>
          <w:rFonts w:asciiTheme="majorHAnsi" w:eastAsia="Times New Roman" w:hAnsiTheme="majorHAnsi" w:cstheme="majorHAnsi"/>
          <w:sz w:val="24"/>
          <w:szCs w:val="24"/>
          <w:shd w:val="clear" w:color="auto" w:fill="FFFFFF"/>
          <w:lang w:val="ro-MD"/>
        </w:rPr>
        <w:t>informației</w:t>
      </w:r>
      <w:r w:rsidRPr="00653E85">
        <w:rPr>
          <w:rFonts w:asciiTheme="majorHAnsi" w:eastAsia="Times New Roman" w:hAnsiTheme="majorHAnsi" w:cstheme="majorHAnsi"/>
          <w:sz w:val="24"/>
          <w:szCs w:val="24"/>
          <w:shd w:val="clear" w:color="auto" w:fill="FFFFFF"/>
          <w:lang w:val="ro-MD"/>
        </w:rPr>
        <w:t xml:space="preserve"> se efectuează la bugetul de stat cu defalcarea ulterioară a cotei</w:t>
      </w:r>
      <w:r w:rsidR="00B270C8" w:rsidRPr="00653E85">
        <w:rPr>
          <w:rFonts w:asciiTheme="majorHAnsi" w:eastAsia="Times New Roman" w:hAnsiTheme="majorHAnsi" w:cstheme="majorHAnsi"/>
          <w:sz w:val="24"/>
          <w:szCs w:val="24"/>
          <w:shd w:val="clear" w:color="auto" w:fill="FFFFFF"/>
          <w:lang w:val="ro-MD"/>
        </w:rPr>
        <w:t>-</w:t>
      </w:r>
      <w:r w:rsidR="00D3178C" w:rsidRPr="00653E85">
        <w:rPr>
          <w:rFonts w:asciiTheme="majorHAnsi" w:eastAsia="Times New Roman" w:hAnsiTheme="majorHAnsi" w:cstheme="majorHAnsi"/>
          <w:sz w:val="24"/>
          <w:szCs w:val="24"/>
          <w:shd w:val="clear" w:color="auto" w:fill="FFFFFF"/>
          <w:lang w:val="ro-MD"/>
        </w:rPr>
        <w:t>părți</w:t>
      </w:r>
      <w:r w:rsidRPr="00653E85">
        <w:rPr>
          <w:rFonts w:asciiTheme="majorHAnsi" w:eastAsia="Times New Roman" w:hAnsiTheme="majorHAnsi" w:cstheme="majorHAnsi"/>
          <w:sz w:val="24"/>
          <w:szCs w:val="24"/>
          <w:shd w:val="clear" w:color="auto" w:fill="FFFFFF"/>
          <w:lang w:val="ro-MD"/>
        </w:rPr>
        <w:t xml:space="preserve"> în mărime de 54,7% la bugetul asigurărilor sociale de stat. De menționat că numărul mediu al salariaților pe parcursul anului 2022 conform informațiilor prezentate</w:t>
      </w:r>
      <w:r w:rsidR="00992BC7" w:rsidRPr="00653E85">
        <w:rPr>
          <w:rFonts w:asciiTheme="majorHAnsi" w:eastAsia="Times New Roman" w:hAnsiTheme="majorHAnsi" w:cstheme="majorHAnsi"/>
          <w:sz w:val="24"/>
          <w:szCs w:val="24"/>
          <w:shd w:val="clear" w:color="auto" w:fill="FFFFFF"/>
          <w:lang w:val="ro-MD"/>
        </w:rPr>
        <w:t xml:space="preserve"> este </w:t>
      </w:r>
      <w:r w:rsidR="00B270C8" w:rsidRPr="00653E85">
        <w:rPr>
          <w:rFonts w:asciiTheme="majorHAnsi" w:eastAsia="Times New Roman" w:hAnsiTheme="majorHAnsi" w:cstheme="majorHAnsi"/>
          <w:sz w:val="24"/>
          <w:szCs w:val="24"/>
          <w:shd w:val="clear" w:color="auto" w:fill="FFFFFF"/>
          <w:lang w:val="ro-MD"/>
        </w:rPr>
        <w:t xml:space="preserve">de </w:t>
      </w:r>
      <w:r w:rsidR="00992BC7" w:rsidRPr="00653E85">
        <w:rPr>
          <w:rFonts w:asciiTheme="majorHAnsi" w:eastAsia="Times New Roman" w:hAnsiTheme="majorHAnsi" w:cstheme="majorHAnsi"/>
          <w:sz w:val="24"/>
          <w:szCs w:val="24"/>
          <w:shd w:val="clear" w:color="auto" w:fill="FFFFFF"/>
          <w:lang w:val="ro-MD"/>
        </w:rPr>
        <w:t xml:space="preserve">18 072 </w:t>
      </w:r>
      <w:r w:rsidR="00B270C8" w:rsidRPr="00653E85">
        <w:rPr>
          <w:rFonts w:asciiTheme="majorHAnsi" w:eastAsia="Times New Roman" w:hAnsiTheme="majorHAnsi" w:cstheme="majorHAnsi"/>
          <w:sz w:val="24"/>
          <w:szCs w:val="24"/>
          <w:shd w:val="clear" w:color="auto" w:fill="FFFFFF"/>
          <w:lang w:val="ro-MD"/>
        </w:rPr>
        <w:t xml:space="preserve">de </w:t>
      </w:r>
      <w:r w:rsidR="00992BC7" w:rsidRPr="00653E85">
        <w:rPr>
          <w:rFonts w:asciiTheme="majorHAnsi" w:eastAsia="Times New Roman" w:hAnsiTheme="majorHAnsi" w:cstheme="majorHAnsi"/>
          <w:sz w:val="24"/>
          <w:szCs w:val="24"/>
          <w:shd w:val="clear" w:color="auto" w:fill="FFFFFF"/>
          <w:lang w:val="ro-MD"/>
        </w:rPr>
        <w:t>angajați</w:t>
      </w:r>
      <w:r w:rsidR="00992BC7" w:rsidRPr="00653E85">
        <w:rPr>
          <w:rStyle w:val="a5"/>
          <w:rFonts w:eastAsia="Times New Roman" w:cstheme="majorHAnsi"/>
          <w:sz w:val="24"/>
          <w:szCs w:val="24"/>
          <w:shd w:val="clear" w:color="auto" w:fill="FFFFFF"/>
          <w:lang w:val="ro-MD"/>
        </w:rPr>
        <w:footnoteReference w:id="73"/>
      </w:r>
      <w:r w:rsidR="00992BC7" w:rsidRPr="00653E85">
        <w:rPr>
          <w:rFonts w:asciiTheme="majorHAnsi" w:eastAsia="Times New Roman" w:hAnsiTheme="majorHAnsi" w:cstheme="majorHAnsi"/>
          <w:sz w:val="24"/>
          <w:szCs w:val="24"/>
          <w:shd w:val="clear" w:color="auto" w:fill="FFFFFF"/>
          <w:lang w:val="ro-MD"/>
        </w:rPr>
        <w:t xml:space="preserve">. Totodată, </w:t>
      </w:r>
      <w:r w:rsidRPr="00653E85">
        <w:rPr>
          <w:rFonts w:asciiTheme="majorHAnsi" w:hAnsiTheme="majorHAnsi" w:cstheme="majorHAnsi"/>
          <w:sz w:val="24"/>
          <w:szCs w:val="24"/>
          <w:lang w:val="ro-MD"/>
        </w:rPr>
        <w:t xml:space="preserve">veniturile încasate din impozitul unic perceput de la rezidenții parcurilor pentru tehnologia informaționale (cod 145161), a fost executat în sumă de 420,8 mil.lei, comparativ cu anul precedent este </w:t>
      </w:r>
      <w:r w:rsidR="00415A0B" w:rsidRPr="00653E85">
        <w:rPr>
          <w:rFonts w:asciiTheme="majorHAnsi" w:hAnsiTheme="majorHAnsi" w:cstheme="majorHAnsi"/>
          <w:sz w:val="24"/>
          <w:szCs w:val="24"/>
          <w:lang w:val="ro-MD"/>
        </w:rPr>
        <w:t>mai mare cu 128,1</w:t>
      </w:r>
      <w:r w:rsidR="00B270C8" w:rsidRPr="00653E85">
        <w:rPr>
          <w:rFonts w:asciiTheme="majorHAnsi" w:hAnsiTheme="majorHAnsi" w:cstheme="majorHAnsi"/>
          <w:sz w:val="24"/>
          <w:szCs w:val="24"/>
          <w:lang w:val="ro-MD"/>
        </w:rPr>
        <w:t xml:space="preserve"> </w:t>
      </w:r>
      <w:r w:rsidR="00415A0B" w:rsidRPr="00653E85">
        <w:rPr>
          <w:rFonts w:asciiTheme="majorHAnsi" w:hAnsiTheme="majorHAnsi" w:cstheme="majorHAnsi"/>
          <w:sz w:val="24"/>
          <w:szCs w:val="24"/>
          <w:lang w:val="ro-MD"/>
        </w:rPr>
        <w:t>mil.lei</w:t>
      </w:r>
      <w:r w:rsidR="00B270C8" w:rsidRPr="00653E85">
        <w:rPr>
          <w:rFonts w:asciiTheme="majorHAnsi" w:hAnsiTheme="majorHAnsi" w:cstheme="majorHAnsi"/>
          <w:sz w:val="24"/>
          <w:szCs w:val="24"/>
          <w:lang w:val="ro-MD"/>
        </w:rPr>
        <w:t>,</w:t>
      </w:r>
      <w:r w:rsidR="00415A0B" w:rsidRPr="00653E85">
        <w:rPr>
          <w:rFonts w:asciiTheme="majorHAnsi" w:hAnsiTheme="majorHAnsi" w:cstheme="majorHAnsi"/>
          <w:sz w:val="24"/>
          <w:szCs w:val="24"/>
          <w:lang w:val="ro-MD"/>
        </w:rPr>
        <w:t xml:space="preserve"> sau </w:t>
      </w:r>
      <w:r w:rsidR="00B270C8" w:rsidRPr="00653E85">
        <w:rPr>
          <w:rFonts w:asciiTheme="majorHAnsi" w:hAnsiTheme="majorHAnsi" w:cstheme="majorHAnsi"/>
          <w:sz w:val="24"/>
          <w:szCs w:val="24"/>
          <w:lang w:val="ro-MD"/>
        </w:rPr>
        <w:t xml:space="preserve">cu </w:t>
      </w:r>
      <w:r w:rsidR="00415A0B" w:rsidRPr="00653E85">
        <w:rPr>
          <w:rFonts w:asciiTheme="majorHAnsi" w:hAnsiTheme="majorHAnsi" w:cstheme="majorHAnsi"/>
          <w:sz w:val="24"/>
          <w:szCs w:val="24"/>
          <w:lang w:val="ro-MD"/>
        </w:rPr>
        <w:t>43,</w:t>
      </w:r>
      <w:r w:rsidRPr="00653E85">
        <w:rPr>
          <w:rFonts w:asciiTheme="majorHAnsi" w:hAnsiTheme="majorHAnsi" w:cstheme="majorHAnsi"/>
          <w:sz w:val="24"/>
          <w:szCs w:val="24"/>
          <w:lang w:val="ro-MD"/>
        </w:rPr>
        <w:t>8%</w:t>
      </w:r>
      <w:r w:rsidR="00992BC7" w:rsidRPr="00653E85">
        <w:rPr>
          <w:rStyle w:val="a5"/>
          <w:rFonts w:cstheme="majorHAnsi"/>
          <w:sz w:val="24"/>
          <w:szCs w:val="24"/>
          <w:lang w:val="ro-MD"/>
        </w:rPr>
        <w:footnoteReference w:id="74"/>
      </w:r>
      <w:r w:rsidRPr="00653E85">
        <w:rPr>
          <w:rFonts w:asciiTheme="majorHAnsi" w:hAnsiTheme="majorHAnsi" w:cstheme="majorHAnsi"/>
          <w:sz w:val="24"/>
          <w:szCs w:val="24"/>
          <w:lang w:val="ro-MD"/>
        </w:rPr>
        <w:t xml:space="preserve">. </w:t>
      </w:r>
    </w:p>
    <w:p w14:paraId="482B98A8" w14:textId="42DD2A34" w:rsidR="00DA562C" w:rsidRPr="00653E85" w:rsidRDefault="00992BC7" w:rsidP="00DA562C">
      <w:pPr>
        <w:shd w:val="clear" w:color="auto" w:fill="FFFFFF"/>
        <w:spacing w:after="0" w:line="276" w:lineRule="auto"/>
        <w:jc w:val="both"/>
        <w:rPr>
          <w:rFonts w:asciiTheme="majorHAnsi" w:eastAsia="Times New Roman" w:hAnsiTheme="majorHAnsi" w:cstheme="majorHAnsi"/>
          <w:sz w:val="24"/>
          <w:szCs w:val="24"/>
          <w:shd w:val="clear" w:color="auto" w:fill="FFFFFF"/>
          <w:lang w:val="ro-MD"/>
        </w:rPr>
      </w:pPr>
      <w:r w:rsidRPr="00653E85">
        <w:rPr>
          <w:rFonts w:asciiTheme="majorHAnsi" w:hAnsiTheme="majorHAnsi" w:cstheme="majorHAnsi"/>
          <w:sz w:val="24"/>
          <w:szCs w:val="24"/>
          <w:lang w:val="ro-MD"/>
        </w:rPr>
        <w:t>A</w:t>
      </w:r>
      <w:r w:rsidR="00DA562C" w:rsidRPr="00653E85">
        <w:rPr>
          <w:rFonts w:asciiTheme="majorHAnsi" w:hAnsiTheme="majorHAnsi" w:cstheme="majorHAnsi"/>
          <w:sz w:val="24"/>
          <w:szCs w:val="24"/>
          <w:lang w:val="ro-MD"/>
        </w:rPr>
        <w:t>uditul menționează că</w:t>
      </w:r>
      <w:r w:rsidR="002D3EC3" w:rsidRPr="00653E85">
        <w:rPr>
          <w:rFonts w:asciiTheme="majorHAnsi" w:hAnsiTheme="majorHAnsi" w:cstheme="majorHAnsi"/>
          <w:sz w:val="24"/>
          <w:szCs w:val="24"/>
          <w:lang w:val="ro-MD"/>
        </w:rPr>
        <w:t>,</w:t>
      </w:r>
      <w:r w:rsidR="00DA562C" w:rsidRPr="00653E85">
        <w:rPr>
          <w:rFonts w:asciiTheme="majorHAnsi" w:hAnsiTheme="majorHAnsi" w:cstheme="majorHAnsi"/>
          <w:sz w:val="24"/>
          <w:szCs w:val="24"/>
          <w:lang w:val="ro-MD"/>
        </w:rPr>
        <w:t xml:space="preserve"> potrivit datelor reflectate pe site</w:t>
      </w:r>
      <w:r w:rsidR="002D3EC3" w:rsidRPr="00653E85">
        <w:rPr>
          <w:rFonts w:asciiTheme="majorHAnsi" w:hAnsiTheme="majorHAnsi" w:cstheme="majorHAnsi"/>
          <w:sz w:val="24"/>
          <w:szCs w:val="24"/>
          <w:lang w:val="ro-MD"/>
        </w:rPr>
        <w:t>-ul</w:t>
      </w:r>
      <w:r w:rsidR="00DA562C" w:rsidRPr="00653E85">
        <w:rPr>
          <w:rFonts w:asciiTheme="majorHAnsi" w:hAnsiTheme="majorHAnsi" w:cstheme="majorHAnsi"/>
          <w:sz w:val="24"/>
          <w:szCs w:val="24"/>
          <w:lang w:val="ro-MD"/>
        </w:rPr>
        <w:t xml:space="preserve"> </w:t>
      </w:r>
      <w:hyperlink r:id="rId29" w:history="1">
        <w:r w:rsidR="00DA562C" w:rsidRPr="00653E85">
          <w:rPr>
            <w:rStyle w:val="af2"/>
            <w:rFonts w:asciiTheme="majorHAnsi" w:hAnsiTheme="majorHAnsi" w:cstheme="majorHAnsi"/>
            <w:sz w:val="24"/>
            <w:szCs w:val="24"/>
            <w:lang w:val="ro-MD"/>
          </w:rPr>
          <w:t>https://mitp.md</w:t>
        </w:r>
        <w:r w:rsidR="00DA562C" w:rsidRPr="00653E85">
          <w:rPr>
            <w:rStyle w:val="af2"/>
            <w:rFonts w:asciiTheme="majorHAnsi" w:hAnsiTheme="majorHAnsi" w:cstheme="majorHAnsi"/>
            <w:sz w:val="24"/>
            <w:szCs w:val="24"/>
            <w:u w:val="none"/>
            <w:lang w:val="ro-MD"/>
          </w:rPr>
          <w:t>/</w:t>
        </w:r>
      </w:hyperlink>
      <w:r w:rsidR="00DA562C" w:rsidRPr="00653E85">
        <w:rPr>
          <w:rFonts w:asciiTheme="majorHAnsi" w:hAnsiTheme="majorHAnsi" w:cstheme="majorHAnsi"/>
          <w:sz w:val="24"/>
          <w:szCs w:val="24"/>
          <w:lang w:val="ro-MD"/>
        </w:rPr>
        <w:t>, salariu</w:t>
      </w:r>
      <w:r w:rsidR="002D3EC3" w:rsidRPr="00653E85">
        <w:rPr>
          <w:rFonts w:asciiTheme="majorHAnsi" w:hAnsiTheme="majorHAnsi" w:cstheme="majorHAnsi"/>
          <w:sz w:val="24"/>
          <w:szCs w:val="24"/>
          <w:lang w:val="ro-MD"/>
        </w:rPr>
        <w:t>l</w:t>
      </w:r>
      <w:r w:rsidR="00DA562C" w:rsidRPr="00653E85">
        <w:rPr>
          <w:rFonts w:asciiTheme="majorHAnsi" w:hAnsiTheme="majorHAnsi" w:cstheme="majorHAnsi"/>
          <w:sz w:val="24"/>
          <w:szCs w:val="24"/>
          <w:lang w:val="ro-MD"/>
        </w:rPr>
        <w:t xml:space="preserve"> mediu lunar al unui angajat</w:t>
      </w:r>
      <w:r w:rsidRPr="00653E85">
        <w:rPr>
          <w:rFonts w:asciiTheme="majorHAnsi" w:hAnsiTheme="majorHAnsi" w:cstheme="majorHAnsi"/>
          <w:sz w:val="24"/>
          <w:szCs w:val="24"/>
          <w:lang w:val="ro-MD"/>
        </w:rPr>
        <w:t xml:space="preserve"> din domeniul T</w:t>
      </w:r>
      <w:r w:rsidR="002D3EC3" w:rsidRPr="00653E85">
        <w:rPr>
          <w:rFonts w:asciiTheme="majorHAnsi" w:hAnsiTheme="majorHAnsi" w:cstheme="majorHAnsi"/>
          <w:sz w:val="24"/>
          <w:szCs w:val="24"/>
          <w:lang w:val="ro-MD"/>
        </w:rPr>
        <w:t>I</w:t>
      </w:r>
      <w:r w:rsidR="00DA562C" w:rsidRPr="00653E85">
        <w:rPr>
          <w:rFonts w:asciiTheme="majorHAnsi" w:hAnsiTheme="majorHAnsi" w:cstheme="majorHAnsi"/>
          <w:sz w:val="24"/>
          <w:szCs w:val="24"/>
          <w:lang w:val="ro-MD"/>
        </w:rPr>
        <w:t xml:space="preserve"> </w:t>
      </w:r>
      <w:r w:rsidRPr="00653E85">
        <w:rPr>
          <w:rFonts w:asciiTheme="majorHAnsi" w:hAnsiTheme="majorHAnsi" w:cstheme="majorHAnsi"/>
          <w:sz w:val="24"/>
          <w:szCs w:val="24"/>
          <w:lang w:val="ro-MD"/>
        </w:rPr>
        <w:t xml:space="preserve">în anul 2021 a fost de cca </w:t>
      </w:r>
      <w:r w:rsidR="00DA562C" w:rsidRPr="00653E85">
        <w:rPr>
          <w:rFonts w:asciiTheme="majorHAnsi" w:hAnsiTheme="majorHAnsi" w:cstheme="majorHAnsi"/>
          <w:sz w:val="24"/>
          <w:szCs w:val="24"/>
          <w:lang w:val="ro-MD"/>
        </w:rPr>
        <w:t>36,0 mii lei. Astfel,</w:t>
      </w:r>
      <w:r w:rsidRPr="00653E85">
        <w:rPr>
          <w:rFonts w:asciiTheme="majorHAnsi" w:hAnsiTheme="majorHAnsi" w:cstheme="majorHAnsi"/>
          <w:sz w:val="24"/>
          <w:szCs w:val="24"/>
          <w:lang w:val="ro-MD"/>
        </w:rPr>
        <w:t xml:space="preserve"> în cazul trecerii angajaților T</w:t>
      </w:r>
      <w:r w:rsidR="002D3EC3" w:rsidRPr="00653E85">
        <w:rPr>
          <w:rFonts w:asciiTheme="majorHAnsi" w:hAnsiTheme="majorHAnsi" w:cstheme="majorHAnsi"/>
          <w:sz w:val="24"/>
          <w:szCs w:val="24"/>
          <w:lang w:val="ro-MD"/>
        </w:rPr>
        <w:t>I</w:t>
      </w:r>
      <w:r w:rsidRPr="00653E85">
        <w:rPr>
          <w:rFonts w:asciiTheme="majorHAnsi" w:hAnsiTheme="majorHAnsi" w:cstheme="majorHAnsi"/>
          <w:sz w:val="24"/>
          <w:szCs w:val="24"/>
          <w:lang w:val="ro-MD"/>
        </w:rPr>
        <w:t xml:space="preserve"> la sistemul unic de contribuții</w:t>
      </w:r>
      <w:r w:rsidR="00DA562C" w:rsidRPr="00653E85">
        <w:rPr>
          <w:rFonts w:asciiTheme="majorHAnsi" w:hAnsiTheme="majorHAnsi" w:cstheme="majorHAnsi"/>
          <w:sz w:val="24"/>
          <w:szCs w:val="24"/>
          <w:lang w:val="ro-MD"/>
        </w:rPr>
        <w:t xml:space="preserve">, suma </w:t>
      </w:r>
      <w:r w:rsidRPr="00653E85">
        <w:rPr>
          <w:rFonts w:asciiTheme="majorHAnsi" w:hAnsiTheme="majorHAnsi" w:cstheme="majorHAnsi"/>
          <w:sz w:val="24"/>
          <w:szCs w:val="24"/>
          <w:lang w:val="ro-MD"/>
        </w:rPr>
        <w:t>veniturilor</w:t>
      </w:r>
      <w:r w:rsidR="00DA562C" w:rsidRPr="00653E85">
        <w:rPr>
          <w:rFonts w:asciiTheme="majorHAnsi" w:hAnsiTheme="majorHAnsi" w:cstheme="majorHAnsi"/>
          <w:sz w:val="24"/>
          <w:szCs w:val="24"/>
          <w:lang w:val="ro-MD"/>
        </w:rPr>
        <w:t xml:space="preserve"> posibile </w:t>
      </w:r>
      <w:r w:rsidRPr="00653E85">
        <w:rPr>
          <w:rFonts w:asciiTheme="majorHAnsi" w:hAnsiTheme="majorHAnsi" w:cstheme="majorHAnsi"/>
          <w:sz w:val="24"/>
          <w:szCs w:val="24"/>
          <w:lang w:val="ro-MD"/>
        </w:rPr>
        <w:t>se estimează la cca</w:t>
      </w:r>
      <w:r w:rsidR="00DA562C" w:rsidRPr="00653E85">
        <w:rPr>
          <w:rFonts w:asciiTheme="majorHAnsi" w:hAnsiTheme="majorHAnsi" w:cstheme="majorHAnsi"/>
          <w:sz w:val="24"/>
          <w:szCs w:val="24"/>
          <w:lang w:val="ro-MD"/>
        </w:rPr>
        <w:t xml:space="preserve"> 2 255,0 mil.lei</w:t>
      </w:r>
      <w:r w:rsidRPr="00653E85">
        <w:rPr>
          <w:rFonts w:asciiTheme="majorHAnsi" w:hAnsiTheme="majorHAnsi" w:cstheme="majorHAnsi"/>
          <w:sz w:val="24"/>
          <w:szCs w:val="24"/>
          <w:lang w:val="ro-MD"/>
        </w:rPr>
        <w:t>. Aceasta nu reprezintă doar o sursă de venit pentru BASS, dar și posibilitatea acordării unui tratament nediscriminatoriu salariaților T</w:t>
      </w:r>
      <w:r w:rsidR="002D3EC3" w:rsidRPr="00653E85">
        <w:rPr>
          <w:rFonts w:asciiTheme="majorHAnsi" w:hAnsiTheme="majorHAnsi" w:cstheme="majorHAnsi"/>
          <w:sz w:val="24"/>
          <w:szCs w:val="24"/>
          <w:lang w:val="ro-MD"/>
        </w:rPr>
        <w:t>I</w:t>
      </w:r>
      <w:r w:rsidRPr="00653E85">
        <w:rPr>
          <w:rFonts w:asciiTheme="majorHAnsi" w:hAnsiTheme="majorHAnsi" w:cstheme="majorHAnsi"/>
          <w:sz w:val="24"/>
          <w:szCs w:val="24"/>
          <w:lang w:val="ro-MD"/>
        </w:rPr>
        <w:t xml:space="preserve"> în ce privește drepturile la prestații sociale.</w:t>
      </w:r>
    </w:p>
    <w:p w14:paraId="252C8DB8" w14:textId="77777777" w:rsidR="00504EDB" w:rsidRPr="00653E85" w:rsidRDefault="00504EDB" w:rsidP="00504EDB">
      <w:pPr>
        <w:pStyle w:val="aa"/>
        <w:spacing w:after="0" w:line="276" w:lineRule="auto"/>
        <w:ind w:left="0"/>
        <w:jc w:val="both"/>
        <w:rPr>
          <w:rFonts w:asciiTheme="majorHAnsi" w:hAnsiTheme="majorHAnsi" w:cstheme="majorHAnsi"/>
          <w:b/>
          <w:bCs/>
          <w:sz w:val="24"/>
          <w:szCs w:val="24"/>
          <w:lang w:val="ro-MD"/>
        </w:rPr>
      </w:pPr>
    </w:p>
    <w:p w14:paraId="4C4319B9" w14:textId="5EC55B1B" w:rsidR="001141B5" w:rsidRPr="00653E85" w:rsidRDefault="001141B5" w:rsidP="001141B5">
      <w:pPr>
        <w:pStyle w:val="a6"/>
        <w:numPr>
          <w:ilvl w:val="1"/>
          <w:numId w:val="2"/>
        </w:numPr>
        <w:shd w:val="clear" w:color="auto" w:fill="FFFFFF"/>
        <w:spacing w:line="276" w:lineRule="auto"/>
        <w:ind w:left="0" w:firstLine="0"/>
        <w:outlineLvl w:val="1"/>
        <w:rPr>
          <w:rFonts w:asciiTheme="majorHAnsi" w:eastAsia="Calibri" w:hAnsiTheme="majorHAnsi" w:cstheme="majorHAnsi"/>
          <w:b/>
          <w:lang w:val="ro-MD"/>
        </w:rPr>
      </w:pPr>
      <w:r w:rsidRPr="00653E85">
        <w:rPr>
          <w:rFonts w:asciiTheme="majorHAnsi" w:eastAsia="Calibri" w:hAnsiTheme="majorHAnsi" w:cstheme="majorHAnsi"/>
          <w:b/>
          <w:lang w:val="ro-MD"/>
        </w:rPr>
        <w:t>Declanșarea procedurii de insolvabilitate și formarea datoriilor la BASS ale acestor agenți economici afectează stabilirea prestațiilor sociale ale salariaților</w:t>
      </w:r>
      <w:r w:rsidR="000C1876" w:rsidRPr="00653E85">
        <w:rPr>
          <w:rFonts w:asciiTheme="majorHAnsi" w:eastAsia="Calibri" w:hAnsiTheme="majorHAnsi" w:cstheme="majorHAnsi"/>
          <w:b/>
          <w:lang w:val="ro-MD"/>
        </w:rPr>
        <w:t>.</w:t>
      </w:r>
      <w:r w:rsidRPr="00653E85">
        <w:rPr>
          <w:rFonts w:asciiTheme="majorHAnsi" w:eastAsia="Calibri" w:hAnsiTheme="majorHAnsi" w:cstheme="majorHAnsi"/>
          <w:b/>
          <w:lang w:val="ro-MD"/>
        </w:rPr>
        <w:t xml:space="preserve"> </w:t>
      </w:r>
    </w:p>
    <w:p w14:paraId="7EDAE281" w14:textId="37E8E299" w:rsidR="001141B5" w:rsidRPr="00B7675F" w:rsidRDefault="001141B5" w:rsidP="00285267">
      <w:pPr>
        <w:pStyle w:val="a8"/>
        <w:tabs>
          <w:tab w:val="left" w:pos="0"/>
          <w:tab w:val="left" w:pos="425"/>
        </w:tabs>
        <w:spacing w:after="24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 xml:space="preserve">Soldul creanțelor dubioase luate </w:t>
      </w:r>
      <w:r w:rsidR="000C1876" w:rsidRPr="0038225D">
        <w:rPr>
          <w:rFonts w:asciiTheme="majorHAnsi" w:hAnsiTheme="majorHAnsi" w:cstheme="majorHAnsi"/>
          <w:sz w:val="24"/>
          <w:szCs w:val="24"/>
          <w:lang w:val="ro-MD"/>
        </w:rPr>
        <w:t>în</w:t>
      </w:r>
      <w:r w:rsidRPr="0038225D">
        <w:rPr>
          <w:rFonts w:asciiTheme="majorHAnsi" w:hAnsiTheme="majorHAnsi" w:cstheme="majorHAnsi"/>
          <w:sz w:val="24"/>
          <w:szCs w:val="24"/>
          <w:lang w:val="ro-MD"/>
        </w:rPr>
        <w:t xml:space="preserve"> evidența specială </w:t>
      </w:r>
      <w:r w:rsidR="00DF3DC2" w:rsidRPr="0038225D">
        <w:rPr>
          <w:rFonts w:asciiTheme="majorHAnsi" w:hAnsiTheme="majorHAnsi" w:cstheme="majorHAnsi"/>
          <w:sz w:val="24"/>
          <w:szCs w:val="24"/>
          <w:lang w:val="ro-MD"/>
        </w:rPr>
        <w:t xml:space="preserve">de către CNAS </w:t>
      </w:r>
      <w:r w:rsidRPr="00B7675F">
        <w:rPr>
          <w:rFonts w:asciiTheme="majorHAnsi" w:hAnsiTheme="majorHAnsi" w:cstheme="majorHAnsi"/>
          <w:sz w:val="24"/>
          <w:szCs w:val="24"/>
          <w:lang w:val="ro-MD"/>
        </w:rPr>
        <w:t>la situația 31.12.2022, aferente agenților economici aflați în insolvență, constituia 475,3</w:t>
      </w:r>
      <w:r w:rsidRPr="00653E85">
        <w:rPr>
          <w:rFonts w:asciiTheme="majorHAnsi" w:eastAsia="Times New Roman" w:hAnsiTheme="majorHAnsi" w:cstheme="majorHAnsi"/>
          <w:color w:val="000000"/>
          <w:sz w:val="24"/>
          <w:szCs w:val="24"/>
          <w:lang w:val="ro-MD"/>
        </w:rPr>
        <w:t xml:space="preserve"> </w:t>
      </w:r>
      <w:r w:rsidRPr="00B7675F">
        <w:rPr>
          <w:rFonts w:asciiTheme="majorHAnsi" w:hAnsiTheme="majorHAnsi" w:cstheme="majorHAnsi"/>
          <w:sz w:val="24"/>
          <w:szCs w:val="24"/>
          <w:lang w:val="ro-MD"/>
        </w:rPr>
        <w:t>mil.</w:t>
      </w:r>
      <w:r w:rsidRPr="00653E85">
        <w:rPr>
          <w:rFonts w:asciiTheme="majorHAnsi" w:eastAsia="Times New Roman" w:hAnsiTheme="majorHAnsi" w:cstheme="majorHAnsi"/>
          <w:color w:val="000000"/>
          <w:sz w:val="24"/>
          <w:szCs w:val="24"/>
          <w:lang w:val="ro-MD"/>
        </w:rPr>
        <w:t xml:space="preserve"> </w:t>
      </w:r>
      <w:r w:rsidR="00DF3DC2" w:rsidRPr="00B7675F">
        <w:rPr>
          <w:rFonts w:asciiTheme="majorHAnsi" w:hAnsiTheme="majorHAnsi" w:cstheme="majorHAnsi"/>
          <w:sz w:val="24"/>
          <w:szCs w:val="24"/>
          <w:lang w:val="ro-MD"/>
        </w:rPr>
        <w:t>lei.</w:t>
      </w:r>
      <w:r w:rsidRPr="00B7675F">
        <w:rPr>
          <w:rFonts w:asciiTheme="majorHAnsi" w:hAnsiTheme="majorHAnsi" w:cstheme="majorHAnsi"/>
          <w:sz w:val="24"/>
          <w:szCs w:val="24"/>
          <w:lang w:val="ro-MD"/>
        </w:rPr>
        <w:t xml:space="preserve"> Acestea au înregistrat </w:t>
      </w:r>
      <w:r w:rsidRPr="0038225D">
        <w:rPr>
          <w:rFonts w:asciiTheme="majorHAnsi" w:hAnsiTheme="majorHAnsi" w:cstheme="majorHAnsi"/>
          <w:sz w:val="24"/>
          <w:szCs w:val="24"/>
          <w:lang w:val="ro-MD"/>
        </w:rPr>
        <w:t>o majorare față de perioada precedentă cu 36,2 mil lei, inclusiv creanțe ale perioadei de gestiune, în valoare de 1,5 mil</w:t>
      </w:r>
      <w:r w:rsidR="000C1876" w:rsidRPr="0038225D">
        <w:rPr>
          <w:rFonts w:asciiTheme="majorHAnsi" w:hAnsiTheme="majorHAnsi" w:cstheme="majorHAnsi"/>
          <w:sz w:val="24"/>
          <w:szCs w:val="24"/>
          <w:lang w:val="ro-MD"/>
        </w:rPr>
        <w:t>.</w:t>
      </w:r>
      <w:r w:rsidRPr="0038225D">
        <w:rPr>
          <w:rFonts w:asciiTheme="majorHAnsi" w:hAnsiTheme="majorHAnsi" w:cstheme="majorHAnsi"/>
          <w:sz w:val="24"/>
          <w:szCs w:val="24"/>
          <w:lang w:val="ro-MD"/>
        </w:rPr>
        <w:t xml:space="preserve"> lei. Deși CNAS a întreprins acțiuni ce țin de validare</w:t>
      </w:r>
      <w:r w:rsidR="000C1876" w:rsidRPr="00B7675F">
        <w:rPr>
          <w:rFonts w:asciiTheme="majorHAnsi" w:hAnsiTheme="majorHAnsi" w:cstheme="majorHAnsi"/>
          <w:sz w:val="24"/>
          <w:szCs w:val="24"/>
          <w:lang w:val="ro-MD"/>
        </w:rPr>
        <w:t xml:space="preserve"> </w:t>
      </w:r>
      <w:r w:rsidRPr="00B7675F">
        <w:rPr>
          <w:rFonts w:asciiTheme="majorHAnsi" w:hAnsiTheme="majorHAnsi" w:cstheme="majorHAnsi"/>
          <w:sz w:val="24"/>
          <w:szCs w:val="24"/>
          <w:lang w:val="ro-MD"/>
        </w:rPr>
        <w:t>a creanțelor, urmărire</w:t>
      </w:r>
      <w:r w:rsidR="000C1876" w:rsidRPr="00B7675F">
        <w:rPr>
          <w:rFonts w:asciiTheme="majorHAnsi" w:hAnsiTheme="majorHAnsi" w:cstheme="majorHAnsi"/>
          <w:sz w:val="24"/>
          <w:szCs w:val="24"/>
          <w:lang w:val="ro-MD"/>
        </w:rPr>
        <w:t xml:space="preserve"> </w:t>
      </w:r>
      <w:r w:rsidRPr="00B7675F">
        <w:rPr>
          <w:rFonts w:asciiTheme="majorHAnsi" w:hAnsiTheme="majorHAnsi" w:cstheme="majorHAnsi"/>
          <w:sz w:val="24"/>
          <w:szCs w:val="24"/>
          <w:lang w:val="ro-MD"/>
        </w:rPr>
        <w:t>a masei debitoare întrunite la dobândirea creanțelor compromise și încasare</w:t>
      </w:r>
      <w:r w:rsidR="000C1876" w:rsidRPr="00B7675F">
        <w:rPr>
          <w:rFonts w:asciiTheme="majorHAnsi" w:hAnsiTheme="majorHAnsi" w:cstheme="majorHAnsi"/>
          <w:sz w:val="24"/>
          <w:szCs w:val="24"/>
          <w:lang w:val="ro-MD"/>
        </w:rPr>
        <w:t xml:space="preserve"> </w:t>
      </w:r>
      <w:r w:rsidRPr="00B7675F">
        <w:rPr>
          <w:rFonts w:asciiTheme="majorHAnsi" w:hAnsiTheme="majorHAnsi" w:cstheme="majorHAnsi"/>
          <w:sz w:val="24"/>
          <w:szCs w:val="24"/>
          <w:lang w:val="ro-MD"/>
        </w:rPr>
        <w:t>a veniturilor aferente în valoare de 25,8 mil. lei, se denotă că pe parcursul perioadei auditate, au fost încasate datorii de la debitorii aflați în proces de insolvență în sum</w:t>
      </w:r>
      <w:r w:rsidR="000C1876" w:rsidRPr="00B7675F">
        <w:rPr>
          <w:rFonts w:asciiTheme="majorHAnsi" w:hAnsiTheme="majorHAnsi" w:cstheme="majorHAnsi"/>
          <w:sz w:val="24"/>
          <w:szCs w:val="24"/>
          <w:lang w:val="ro-MD"/>
        </w:rPr>
        <w:t>ă</w:t>
      </w:r>
      <w:r w:rsidRPr="00B7675F">
        <w:rPr>
          <w:rFonts w:asciiTheme="majorHAnsi" w:hAnsiTheme="majorHAnsi" w:cstheme="majorHAnsi"/>
          <w:sz w:val="24"/>
          <w:szCs w:val="24"/>
          <w:lang w:val="ro-MD"/>
        </w:rPr>
        <w:t xml:space="preserve"> de 99,3 mii lei, ceea ce constituie 3,85% din creanțele compromise luate </w:t>
      </w:r>
      <w:r w:rsidR="000C1876" w:rsidRPr="00B7675F">
        <w:rPr>
          <w:rFonts w:asciiTheme="majorHAnsi" w:hAnsiTheme="majorHAnsi" w:cstheme="majorHAnsi"/>
          <w:sz w:val="24"/>
          <w:szCs w:val="24"/>
          <w:lang w:val="ro-MD"/>
        </w:rPr>
        <w:t>în</w:t>
      </w:r>
      <w:r w:rsidRPr="00B7675F">
        <w:rPr>
          <w:rFonts w:asciiTheme="majorHAnsi" w:hAnsiTheme="majorHAnsi" w:cstheme="majorHAnsi"/>
          <w:sz w:val="24"/>
          <w:szCs w:val="24"/>
          <w:lang w:val="ro-MD"/>
        </w:rPr>
        <w:t xml:space="preserve"> evidență specială în anul 2022. </w:t>
      </w:r>
      <w:r w:rsidR="008D7137" w:rsidRPr="00B7675F">
        <w:rPr>
          <w:rFonts w:asciiTheme="majorHAnsi" w:hAnsiTheme="majorHAnsi" w:cstheme="majorHAnsi"/>
          <w:sz w:val="24"/>
          <w:szCs w:val="24"/>
          <w:lang w:val="ro-MD"/>
        </w:rPr>
        <w:t xml:space="preserve">Astfel, datoriile debitoare istorice aflate în litigiu sunt cu risc sporit de neîncasare și nu pot servi drept sursă de acoperire a datoriilor curente, deoarece acestea nu pot fi încasate în termen scurt. </w:t>
      </w:r>
    </w:p>
    <w:p w14:paraId="2E3064A7" w14:textId="04BC5DDB" w:rsidR="001141B5" w:rsidRPr="00B7675F" w:rsidRDefault="008D7137" w:rsidP="00653E85">
      <w:pPr>
        <w:pStyle w:val="a8"/>
        <w:tabs>
          <w:tab w:val="left" w:pos="0"/>
          <w:tab w:val="left" w:pos="425"/>
        </w:tabs>
        <w:spacing w:after="120" w:line="276" w:lineRule="auto"/>
        <w:jc w:val="both"/>
        <w:rPr>
          <w:rFonts w:asciiTheme="majorHAnsi" w:hAnsiTheme="majorHAnsi" w:cstheme="majorHAnsi"/>
          <w:sz w:val="24"/>
          <w:szCs w:val="24"/>
          <w:highlight w:val="yellow"/>
          <w:lang w:val="ro-MD"/>
        </w:rPr>
      </w:pPr>
      <w:r w:rsidRPr="00B7675F">
        <w:rPr>
          <w:rFonts w:asciiTheme="majorHAnsi" w:hAnsiTheme="majorHAnsi" w:cstheme="majorHAnsi"/>
          <w:sz w:val="24"/>
          <w:szCs w:val="24"/>
          <w:lang w:val="ro-MD"/>
        </w:rPr>
        <w:t>Subsecvent, auditul menționează că</w:t>
      </w:r>
      <w:r w:rsidR="001141B5" w:rsidRPr="00B7675F">
        <w:rPr>
          <w:rFonts w:asciiTheme="majorHAnsi" w:hAnsiTheme="majorHAnsi" w:cstheme="majorHAnsi"/>
          <w:sz w:val="24"/>
          <w:szCs w:val="24"/>
          <w:lang w:val="ro-MD"/>
        </w:rPr>
        <w:t xml:space="preserve"> în anul 2022 a</w:t>
      </w:r>
      <w:r w:rsidRPr="00B7675F">
        <w:rPr>
          <w:rFonts w:asciiTheme="majorHAnsi" w:hAnsiTheme="majorHAnsi" w:cstheme="majorHAnsi"/>
          <w:sz w:val="24"/>
          <w:szCs w:val="24"/>
          <w:lang w:val="ro-MD"/>
        </w:rPr>
        <w:t xml:space="preserve">u fost anulate creanțe în valoare de 17,7 mil. lei aferente a 216 agenți economici insolvenți, </w:t>
      </w:r>
      <w:r w:rsidR="001141B5" w:rsidRPr="00B7675F">
        <w:rPr>
          <w:rFonts w:asciiTheme="majorHAnsi" w:hAnsiTheme="majorHAnsi" w:cstheme="majorHAnsi"/>
          <w:sz w:val="24"/>
          <w:szCs w:val="24"/>
          <w:lang w:val="ro-MD"/>
        </w:rPr>
        <w:t>în baza hotărârilor judecătorești</w:t>
      </w:r>
      <w:r w:rsidRPr="00B7675F">
        <w:rPr>
          <w:rFonts w:asciiTheme="majorHAnsi" w:hAnsiTheme="majorHAnsi" w:cstheme="majorHAnsi"/>
          <w:sz w:val="24"/>
          <w:szCs w:val="24"/>
          <w:lang w:val="ro-MD"/>
        </w:rPr>
        <w:t>.</w:t>
      </w:r>
      <w:r w:rsidR="001141B5" w:rsidRPr="00B7675F">
        <w:rPr>
          <w:rFonts w:asciiTheme="majorHAnsi" w:hAnsiTheme="majorHAnsi" w:cstheme="majorHAnsi"/>
          <w:sz w:val="24"/>
          <w:szCs w:val="24"/>
          <w:lang w:val="ro-MD"/>
        </w:rPr>
        <w:t xml:space="preserve"> </w:t>
      </w:r>
      <w:r w:rsidRPr="00B7675F">
        <w:rPr>
          <w:rFonts w:asciiTheme="majorHAnsi" w:hAnsiTheme="majorHAnsi" w:cstheme="majorHAnsi"/>
          <w:sz w:val="24"/>
          <w:szCs w:val="24"/>
          <w:lang w:val="ro-MD"/>
        </w:rPr>
        <w:t>Analiza de audit</w:t>
      </w:r>
      <w:r w:rsidR="002D5273" w:rsidRPr="00B7675F">
        <w:rPr>
          <w:rFonts w:asciiTheme="majorHAnsi" w:hAnsiTheme="majorHAnsi" w:cstheme="majorHAnsi"/>
          <w:sz w:val="24"/>
          <w:szCs w:val="24"/>
          <w:lang w:val="ro-MD"/>
        </w:rPr>
        <w:t xml:space="preserve"> a extras</w:t>
      </w:r>
      <w:r w:rsidR="00285267" w:rsidRPr="00B7675F">
        <w:rPr>
          <w:rFonts w:asciiTheme="majorHAnsi" w:hAnsiTheme="majorHAnsi" w:cstheme="majorHAnsi"/>
          <w:sz w:val="24"/>
          <w:szCs w:val="24"/>
          <w:lang w:val="ro-MD"/>
        </w:rPr>
        <w:t>elor individuale ale</w:t>
      </w:r>
      <w:r w:rsidR="002D5273" w:rsidRPr="00B7675F">
        <w:rPr>
          <w:rFonts w:asciiTheme="majorHAnsi" w:hAnsiTheme="majorHAnsi" w:cstheme="majorHAnsi"/>
          <w:sz w:val="24"/>
          <w:szCs w:val="24"/>
          <w:lang w:val="ro-MD"/>
        </w:rPr>
        <w:t xml:space="preserve"> angajaților/salariaților indică că perioadele pentru care nu au fost achitate contribuții și stinse prin anulare din contul plătitorului în baza hotărârilor instanțelor de judecată nu se reflectă</w:t>
      </w:r>
      <w:r w:rsidR="00285267" w:rsidRPr="00B7675F">
        <w:rPr>
          <w:rFonts w:asciiTheme="majorHAnsi" w:hAnsiTheme="majorHAnsi" w:cstheme="majorHAnsi"/>
          <w:sz w:val="24"/>
          <w:szCs w:val="24"/>
          <w:lang w:val="ro-MD"/>
        </w:rPr>
        <w:t xml:space="preserve"> în contul beneficiarului. D</w:t>
      </w:r>
      <w:r w:rsidR="001141B5" w:rsidRPr="00B7675F">
        <w:rPr>
          <w:rFonts w:asciiTheme="majorHAnsi" w:hAnsiTheme="majorHAnsi" w:cstheme="majorHAnsi"/>
          <w:sz w:val="24"/>
          <w:szCs w:val="24"/>
          <w:lang w:val="ro-MD"/>
        </w:rPr>
        <w:t>at fiind faptul că</w:t>
      </w:r>
      <w:r w:rsidR="000C1876" w:rsidRPr="00B7675F">
        <w:rPr>
          <w:rFonts w:asciiTheme="majorHAnsi" w:hAnsiTheme="majorHAnsi" w:cstheme="majorHAnsi"/>
          <w:sz w:val="24"/>
          <w:szCs w:val="24"/>
          <w:lang w:val="ro-MD"/>
        </w:rPr>
        <w:t>,</w:t>
      </w:r>
      <w:r w:rsidR="001141B5" w:rsidRPr="00B7675F">
        <w:rPr>
          <w:rFonts w:asciiTheme="majorHAnsi" w:hAnsiTheme="majorHAnsi" w:cstheme="majorHAnsi"/>
          <w:sz w:val="24"/>
          <w:szCs w:val="24"/>
          <w:lang w:val="ro-MD"/>
        </w:rPr>
        <w:t xml:space="preserve"> în sistemul public</w:t>
      </w:r>
      <w:r w:rsidR="00285267" w:rsidRPr="00B7675F">
        <w:rPr>
          <w:rFonts w:asciiTheme="majorHAnsi" w:hAnsiTheme="majorHAnsi" w:cstheme="majorHAnsi"/>
          <w:sz w:val="24"/>
          <w:szCs w:val="24"/>
          <w:lang w:val="ro-MD"/>
        </w:rPr>
        <w:t xml:space="preserve"> de asigurări sociale</w:t>
      </w:r>
      <w:r w:rsidR="001141B5" w:rsidRPr="00B7675F">
        <w:rPr>
          <w:rFonts w:asciiTheme="majorHAnsi" w:hAnsiTheme="majorHAnsi" w:cstheme="majorHAnsi"/>
          <w:sz w:val="24"/>
          <w:szCs w:val="24"/>
          <w:lang w:val="ro-MD"/>
        </w:rPr>
        <w:t xml:space="preserve">, prestațiile se stabilesc persoanelor asigurate </w:t>
      </w:r>
      <w:r w:rsidR="00285267" w:rsidRPr="00B7675F">
        <w:rPr>
          <w:rFonts w:asciiTheme="majorHAnsi" w:hAnsiTheme="majorHAnsi" w:cstheme="majorHAnsi"/>
          <w:sz w:val="24"/>
          <w:szCs w:val="24"/>
          <w:lang w:val="ro-MD"/>
        </w:rPr>
        <w:t>în baza venitului a</w:t>
      </w:r>
      <w:r w:rsidR="00626B68" w:rsidRPr="00B7675F">
        <w:rPr>
          <w:rFonts w:asciiTheme="majorHAnsi" w:hAnsiTheme="majorHAnsi" w:cstheme="majorHAnsi"/>
          <w:sz w:val="24"/>
          <w:szCs w:val="24"/>
          <w:lang w:val="ro-MD"/>
        </w:rPr>
        <w:t>sigurat și perioadei de activitate</w:t>
      </w:r>
      <w:r w:rsidR="00285267" w:rsidRPr="00B7675F">
        <w:rPr>
          <w:rFonts w:asciiTheme="majorHAnsi" w:hAnsiTheme="majorHAnsi" w:cstheme="majorHAnsi"/>
          <w:sz w:val="24"/>
          <w:szCs w:val="24"/>
          <w:lang w:val="ro-MD"/>
        </w:rPr>
        <w:t xml:space="preserve">, </w:t>
      </w:r>
      <w:r w:rsidR="000C1876" w:rsidRPr="00B7675F">
        <w:rPr>
          <w:rFonts w:asciiTheme="majorHAnsi" w:hAnsiTheme="majorHAnsi" w:cstheme="majorHAnsi"/>
          <w:sz w:val="24"/>
          <w:szCs w:val="24"/>
          <w:lang w:val="ro-MD"/>
        </w:rPr>
        <w:t xml:space="preserve">care sunt </w:t>
      </w:r>
      <w:r w:rsidR="00285267" w:rsidRPr="00B7675F">
        <w:rPr>
          <w:rFonts w:asciiTheme="majorHAnsi" w:hAnsiTheme="majorHAnsi" w:cstheme="majorHAnsi"/>
          <w:sz w:val="24"/>
          <w:szCs w:val="24"/>
          <w:lang w:val="ro-MD"/>
        </w:rPr>
        <w:t xml:space="preserve">condiții obligatorii, perioadele de aflare a agentului economic în insolvabilitate și </w:t>
      </w:r>
      <w:r w:rsidR="000C1876" w:rsidRPr="00B7675F">
        <w:rPr>
          <w:rFonts w:asciiTheme="majorHAnsi" w:hAnsiTheme="majorHAnsi" w:cstheme="majorHAnsi"/>
          <w:sz w:val="24"/>
          <w:szCs w:val="24"/>
          <w:lang w:val="ro-MD"/>
        </w:rPr>
        <w:t xml:space="preserve">de </w:t>
      </w:r>
      <w:r w:rsidR="00285267" w:rsidRPr="00B7675F">
        <w:rPr>
          <w:rFonts w:asciiTheme="majorHAnsi" w:hAnsiTheme="majorHAnsi" w:cstheme="majorHAnsi"/>
          <w:sz w:val="24"/>
          <w:szCs w:val="24"/>
          <w:lang w:val="ro-MD"/>
        </w:rPr>
        <w:t>neachita</w:t>
      </w:r>
      <w:r w:rsidR="000C1876" w:rsidRPr="00B7675F">
        <w:rPr>
          <w:rFonts w:asciiTheme="majorHAnsi" w:hAnsiTheme="majorHAnsi" w:cstheme="majorHAnsi"/>
          <w:sz w:val="24"/>
          <w:szCs w:val="24"/>
          <w:lang w:val="ro-MD"/>
        </w:rPr>
        <w:t>r</w:t>
      </w:r>
      <w:r w:rsidR="00285267" w:rsidRPr="00B7675F">
        <w:rPr>
          <w:rFonts w:asciiTheme="majorHAnsi" w:hAnsiTheme="majorHAnsi" w:cstheme="majorHAnsi"/>
          <w:sz w:val="24"/>
          <w:szCs w:val="24"/>
          <w:lang w:val="ro-MD"/>
        </w:rPr>
        <w:t xml:space="preserve">e </w:t>
      </w:r>
      <w:r w:rsidR="000C1876" w:rsidRPr="00B7675F">
        <w:rPr>
          <w:rFonts w:asciiTheme="majorHAnsi" w:hAnsiTheme="majorHAnsi" w:cstheme="majorHAnsi"/>
          <w:sz w:val="24"/>
          <w:szCs w:val="24"/>
          <w:lang w:val="ro-MD"/>
        </w:rPr>
        <w:t xml:space="preserve">a </w:t>
      </w:r>
      <w:r w:rsidR="00285267" w:rsidRPr="00B7675F">
        <w:rPr>
          <w:rFonts w:asciiTheme="majorHAnsi" w:hAnsiTheme="majorHAnsi" w:cstheme="majorHAnsi"/>
          <w:sz w:val="24"/>
          <w:szCs w:val="24"/>
          <w:lang w:val="ro-MD"/>
        </w:rPr>
        <w:t>contribuții</w:t>
      </w:r>
      <w:r w:rsidR="000C1876" w:rsidRPr="00B7675F">
        <w:rPr>
          <w:rFonts w:asciiTheme="majorHAnsi" w:hAnsiTheme="majorHAnsi" w:cstheme="majorHAnsi"/>
          <w:sz w:val="24"/>
          <w:szCs w:val="24"/>
          <w:lang w:val="ro-MD"/>
        </w:rPr>
        <w:t>lor</w:t>
      </w:r>
      <w:r w:rsidR="00285267" w:rsidRPr="00B7675F">
        <w:rPr>
          <w:rFonts w:asciiTheme="majorHAnsi" w:hAnsiTheme="majorHAnsi" w:cstheme="majorHAnsi"/>
          <w:sz w:val="24"/>
          <w:szCs w:val="24"/>
          <w:lang w:val="ro-MD"/>
        </w:rPr>
        <w:t xml:space="preserve"> a</w:t>
      </w:r>
      <w:r w:rsidR="000C1876" w:rsidRPr="00B7675F">
        <w:rPr>
          <w:rFonts w:asciiTheme="majorHAnsi" w:hAnsiTheme="majorHAnsi" w:cstheme="majorHAnsi"/>
          <w:sz w:val="24"/>
          <w:szCs w:val="24"/>
          <w:lang w:val="ro-MD"/>
        </w:rPr>
        <w:t>u</w:t>
      </w:r>
      <w:r w:rsidR="00285267" w:rsidRPr="00B7675F">
        <w:rPr>
          <w:rFonts w:asciiTheme="majorHAnsi" w:hAnsiTheme="majorHAnsi" w:cstheme="majorHAnsi"/>
          <w:sz w:val="24"/>
          <w:szCs w:val="24"/>
          <w:lang w:val="ro-MD"/>
        </w:rPr>
        <w:t xml:space="preserve"> impact asupra stabilirii prestațiilor. Astfel,</w:t>
      </w:r>
      <w:r w:rsidR="00626B68" w:rsidRPr="00B7675F">
        <w:rPr>
          <w:rFonts w:asciiTheme="majorHAnsi" w:hAnsiTheme="majorHAnsi" w:cstheme="majorHAnsi"/>
          <w:sz w:val="24"/>
          <w:szCs w:val="24"/>
          <w:lang w:val="ro-MD"/>
        </w:rPr>
        <w:t xml:space="preserve"> se micșorează</w:t>
      </w:r>
      <w:r w:rsidR="001141B5" w:rsidRPr="00B7675F">
        <w:rPr>
          <w:rFonts w:asciiTheme="majorHAnsi" w:hAnsiTheme="majorHAnsi" w:cstheme="majorHAnsi"/>
          <w:sz w:val="24"/>
          <w:szCs w:val="24"/>
          <w:lang w:val="ro-MD"/>
        </w:rPr>
        <w:t xml:space="preserve"> nu doar venitul asigurat, dar nu se recunoaște </w:t>
      </w:r>
      <w:r w:rsidR="00626B68" w:rsidRPr="00B7675F">
        <w:rPr>
          <w:rFonts w:asciiTheme="majorHAnsi" w:hAnsiTheme="majorHAnsi" w:cstheme="majorHAnsi"/>
          <w:sz w:val="24"/>
          <w:szCs w:val="24"/>
          <w:lang w:val="ro-MD"/>
        </w:rPr>
        <w:t>nici perioada de activitate completă, diminuând stagiul de cotizare</w:t>
      </w:r>
      <w:r w:rsidR="001141B5" w:rsidRPr="00B7675F">
        <w:rPr>
          <w:rFonts w:asciiTheme="majorHAnsi" w:hAnsiTheme="majorHAnsi" w:cstheme="majorHAnsi"/>
          <w:sz w:val="24"/>
          <w:szCs w:val="24"/>
          <w:lang w:val="ro-MD"/>
        </w:rPr>
        <w:t xml:space="preserve">. </w:t>
      </w:r>
    </w:p>
    <w:p w14:paraId="119222D4" w14:textId="1B15212D" w:rsidR="001141B5" w:rsidRPr="00B7675F" w:rsidRDefault="00285267" w:rsidP="001141B5">
      <w:pPr>
        <w:spacing w:after="100" w:afterAutospacing="1" w:line="276" w:lineRule="auto"/>
        <w:jc w:val="both"/>
        <w:rPr>
          <w:rFonts w:asciiTheme="majorHAnsi" w:eastAsia="Calibri" w:hAnsiTheme="majorHAnsi" w:cstheme="majorHAnsi"/>
          <w:sz w:val="24"/>
          <w:szCs w:val="24"/>
          <w:lang w:val="ro-MD"/>
        </w:rPr>
      </w:pPr>
      <w:r w:rsidRPr="00B7675F">
        <w:rPr>
          <w:rFonts w:asciiTheme="majorHAnsi" w:eastAsia="Calibri" w:hAnsiTheme="majorHAnsi" w:cstheme="majorHAnsi"/>
          <w:sz w:val="24"/>
          <w:szCs w:val="24"/>
          <w:lang w:val="ro-MD"/>
        </w:rPr>
        <w:t>Analiza unui agent economic aflat în insolvabilitate denotă că</w:t>
      </w:r>
      <w:r w:rsidR="000C1876" w:rsidRPr="00B7675F">
        <w:rPr>
          <w:rFonts w:asciiTheme="majorHAnsi" w:eastAsia="Calibri" w:hAnsiTheme="majorHAnsi" w:cstheme="majorHAnsi"/>
          <w:sz w:val="24"/>
          <w:szCs w:val="24"/>
          <w:lang w:val="ro-MD"/>
        </w:rPr>
        <w:t xml:space="preserve"> acesta</w:t>
      </w:r>
      <w:r w:rsidRPr="00B7675F">
        <w:rPr>
          <w:rFonts w:asciiTheme="majorHAnsi" w:eastAsia="Calibri" w:hAnsiTheme="majorHAnsi" w:cstheme="majorHAnsi"/>
          <w:sz w:val="24"/>
          <w:szCs w:val="24"/>
          <w:lang w:val="ro-MD"/>
        </w:rPr>
        <w:t xml:space="preserve"> a afectat</w:t>
      </w:r>
      <w:r w:rsidR="001141B5" w:rsidRPr="00B7675F">
        <w:rPr>
          <w:rFonts w:asciiTheme="majorHAnsi" w:eastAsia="Calibri" w:hAnsiTheme="majorHAnsi" w:cstheme="majorHAnsi"/>
          <w:sz w:val="24"/>
          <w:szCs w:val="24"/>
          <w:lang w:val="ro-MD"/>
        </w:rPr>
        <w:t xml:space="preserve"> 41 de angajați </w:t>
      </w:r>
      <w:r w:rsidR="00CA1024" w:rsidRPr="00B7675F">
        <w:rPr>
          <w:rFonts w:asciiTheme="majorHAnsi" w:eastAsia="Calibri" w:hAnsiTheme="majorHAnsi" w:cstheme="majorHAnsi"/>
          <w:sz w:val="24"/>
          <w:szCs w:val="24"/>
          <w:lang w:val="ro-MD"/>
        </w:rPr>
        <w:t>prin</w:t>
      </w:r>
      <w:r w:rsidR="001141B5" w:rsidRPr="00B7675F">
        <w:rPr>
          <w:rFonts w:asciiTheme="majorHAnsi" w:eastAsia="Calibri" w:hAnsiTheme="majorHAnsi" w:cstheme="majorHAnsi"/>
          <w:sz w:val="24"/>
          <w:szCs w:val="24"/>
          <w:lang w:val="ro-MD"/>
        </w:rPr>
        <w:t xml:space="preserve"> stabili</w:t>
      </w:r>
      <w:r w:rsidR="00CA1024" w:rsidRPr="00B7675F">
        <w:rPr>
          <w:rFonts w:asciiTheme="majorHAnsi" w:eastAsia="Calibri" w:hAnsiTheme="majorHAnsi" w:cstheme="majorHAnsi"/>
          <w:sz w:val="24"/>
          <w:szCs w:val="24"/>
          <w:lang w:val="ro-MD"/>
        </w:rPr>
        <w:t>rea</w:t>
      </w:r>
      <w:r w:rsidR="001141B5" w:rsidRPr="00B7675F">
        <w:rPr>
          <w:rFonts w:asciiTheme="majorHAnsi" w:eastAsia="Calibri" w:hAnsiTheme="majorHAnsi" w:cstheme="majorHAnsi"/>
          <w:sz w:val="24"/>
          <w:szCs w:val="24"/>
          <w:lang w:val="ro-MD"/>
        </w:rPr>
        <w:t xml:space="preserve"> </w:t>
      </w:r>
      <w:r w:rsidRPr="00B7675F">
        <w:rPr>
          <w:rFonts w:asciiTheme="majorHAnsi" w:eastAsia="Calibri" w:hAnsiTheme="majorHAnsi" w:cstheme="majorHAnsi"/>
          <w:sz w:val="24"/>
          <w:szCs w:val="24"/>
          <w:lang w:val="ro-MD"/>
        </w:rPr>
        <w:t>indemnizați</w:t>
      </w:r>
      <w:r w:rsidR="00CA1024" w:rsidRPr="00B7675F">
        <w:rPr>
          <w:rFonts w:asciiTheme="majorHAnsi" w:eastAsia="Calibri" w:hAnsiTheme="majorHAnsi" w:cstheme="majorHAnsi"/>
          <w:sz w:val="24"/>
          <w:szCs w:val="24"/>
          <w:lang w:val="ro-MD"/>
        </w:rPr>
        <w:t>ei</w:t>
      </w:r>
      <w:r w:rsidRPr="00B7675F">
        <w:rPr>
          <w:rFonts w:asciiTheme="majorHAnsi" w:eastAsia="Calibri" w:hAnsiTheme="majorHAnsi" w:cstheme="majorHAnsi"/>
          <w:sz w:val="24"/>
          <w:szCs w:val="24"/>
          <w:lang w:val="ro-MD"/>
        </w:rPr>
        <w:t xml:space="preserve"> de incapacitate temporară de muncă</w:t>
      </w:r>
      <w:r w:rsidR="001141B5" w:rsidRPr="00B7675F">
        <w:rPr>
          <w:rFonts w:asciiTheme="majorHAnsi" w:eastAsia="Calibri" w:hAnsiTheme="majorHAnsi" w:cstheme="majorHAnsi"/>
          <w:sz w:val="24"/>
          <w:szCs w:val="24"/>
          <w:lang w:val="ro-MD"/>
        </w:rPr>
        <w:t xml:space="preserve"> într-un cuantum mai mic</w:t>
      </w:r>
      <w:r w:rsidR="00CA1024" w:rsidRPr="00B7675F">
        <w:rPr>
          <w:rFonts w:asciiTheme="majorHAnsi" w:eastAsia="Calibri" w:hAnsiTheme="majorHAnsi" w:cstheme="majorHAnsi"/>
          <w:sz w:val="24"/>
          <w:szCs w:val="24"/>
          <w:lang w:val="ro-MD"/>
        </w:rPr>
        <w:t xml:space="preserve">. </w:t>
      </w:r>
      <w:r w:rsidR="000C1876" w:rsidRPr="00B7675F">
        <w:rPr>
          <w:rFonts w:asciiTheme="majorHAnsi" w:eastAsia="Calibri" w:hAnsiTheme="majorHAnsi" w:cstheme="majorHAnsi"/>
          <w:sz w:val="24"/>
          <w:szCs w:val="24"/>
          <w:lang w:val="ro-MD"/>
        </w:rPr>
        <w:t>Situația</w:t>
      </w:r>
      <w:r w:rsidR="00CA1024" w:rsidRPr="00B7675F">
        <w:rPr>
          <w:rFonts w:asciiTheme="majorHAnsi" w:eastAsia="Calibri" w:hAnsiTheme="majorHAnsi" w:cstheme="majorHAnsi"/>
          <w:sz w:val="24"/>
          <w:szCs w:val="24"/>
          <w:lang w:val="ro-MD"/>
        </w:rPr>
        <w:t xml:space="preserve"> a fost cauzată de achitarea</w:t>
      </w:r>
      <w:r w:rsidR="001141B5" w:rsidRPr="00B7675F">
        <w:rPr>
          <w:rFonts w:asciiTheme="majorHAnsi" w:eastAsia="Calibri" w:hAnsiTheme="majorHAnsi" w:cstheme="majorHAnsi"/>
          <w:sz w:val="24"/>
          <w:szCs w:val="24"/>
          <w:lang w:val="ro-MD"/>
        </w:rPr>
        <w:t xml:space="preserve"> </w:t>
      </w:r>
      <w:r w:rsidR="00CA1024" w:rsidRPr="00B7675F">
        <w:rPr>
          <w:rFonts w:asciiTheme="majorHAnsi" w:eastAsia="Calibri" w:hAnsiTheme="majorHAnsi" w:cstheme="majorHAnsi"/>
          <w:sz w:val="24"/>
          <w:szCs w:val="24"/>
          <w:lang w:val="ro-MD"/>
        </w:rPr>
        <w:t xml:space="preserve">parțială a </w:t>
      </w:r>
      <w:r w:rsidR="001141B5" w:rsidRPr="00B7675F">
        <w:rPr>
          <w:rFonts w:asciiTheme="majorHAnsi" w:eastAsia="Calibri" w:hAnsiTheme="majorHAnsi" w:cstheme="majorHAnsi"/>
          <w:sz w:val="24"/>
          <w:szCs w:val="24"/>
          <w:lang w:val="ro-MD"/>
        </w:rPr>
        <w:t>contribuții</w:t>
      </w:r>
      <w:r w:rsidR="00CA1024" w:rsidRPr="00B7675F">
        <w:rPr>
          <w:rFonts w:asciiTheme="majorHAnsi" w:eastAsia="Calibri" w:hAnsiTheme="majorHAnsi" w:cstheme="majorHAnsi"/>
          <w:sz w:val="24"/>
          <w:szCs w:val="24"/>
          <w:lang w:val="ro-MD"/>
        </w:rPr>
        <w:t xml:space="preserve">lor </w:t>
      </w:r>
      <w:r w:rsidR="001141B5" w:rsidRPr="00B7675F">
        <w:rPr>
          <w:rFonts w:asciiTheme="majorHAnsi" w:eastAsia="Calibri" w:hAnsiTheme="majorHAnsi" w:cstheme="majorHAnsi"/>
          <w:sz w:val="24"/>
          <w:szCs w:val="24"/>
          <w:lang w:val="ro-MD"/>
        </w:rPr>
        <w:t>sau au fost achitate de la angajatorul prin cumulare</w:t>
      </w:r>
      <w:r w:rsidRPr="00B7675F">
        <w:rPr>
          <w:rFonts w:asciiTheme="majorHAnsi" w:eastAsia="Calibri" w:hAnsiTheme="majorHAnsi" w:cstheme="majorHAnsi"/>
          <w:sz w:val="24"/>
          <w:szCs w:val="24"/>
          <w:lang w:val="ro-MD"/>
        </w:rPr>
        <w:t xml:space="preserve"> </w:t>
      </w:r>
      <w:r w:rsidR="001141B5" w:rsidRPr="00B7675F">
        <w:rPr>
          <w:rFonts w:asciiTheme="majorHAnsi" w:eastAsia="Calibri" w:hAnsiTheme="majorHAnsi" w:cstheme="majorHAnsi"/>
          <w:sz w:val="24"/>
          <w:szCs w:val="24"/>
          <w:lang w:val="ro-MD"/>
        </w:rPr>
        <w:t>(cod 123). Deși în unele cazuri au fost achitate contribuții cu întârziere de câteva luni, ele însă nu au dus la majorarea prestației sociale</w:t>
      </w:r>
      <w:r w:rsidR="00CA1024" w:rsidRPr="00B7675F">
        <w:rPr>
          <w:rFonts w:asciiTheme="majorHAnsi" w:eastAsia="Calibri" w:hAnsiTheme="majorHAnsi" w:cstheme="majorHAnsi"/>
          <w:sz w:val="24"/>
          <w:szCs w:val="24"/>
          <w:lang w:val="ro-MD"/>
        </w:rPr>
        <w:t>,</w:t>
      </w:r>
      <w:r w:rsidR="001141B5" w:rsidRPr="00B7675F">
        <w:rPr>
          <w:rFonts w:asciiTheme="majorHAnsi" w:eastAsia="Calibri" w:hAnsiTheme="majorHAnsi" w:cstheme="majorHAnsi"/>
          <w:sz w:val="24"/>
          <w:szCs w:val="24"/>
          <w:lang w:val="ro-MD"/>
        </w:rPr>
        <w:t xml:space="preserve"> deoarece indemnizația de incapacitate temporară de muncă, deja stabilită,  conform legislației</w:t>
      </w:r>
      <w:r w:rsidR="001141B5" w:rsidRPr="00B7675F">
        <w:rPr>
          <w:rFonts w:asciiTheme="majorHAnsi" w:hAnsiTheme="majorHAnsi" w:cstheme="majorHAnsi"/>
          <w:sz w:val="24"/>
          <w:szCs w:val="24"/>
          <w:vertAlign w:val="superscript"/>
          <w:lang w:val="ro-MD"/>
        </w:rPr>
        <w:footnoteReference w:id="75"/>
      </w:r>
      <w:r w:rsidR="001141B5" w:rsidRPr="00B7675F">
        <w:rPr>
          <w:rFonts w:asciiTheme="majorHAnsi" w:eastAsia="Calibri" w:hAnsiTheme="majorHAnsi" w:cstheme="majorHAnsi"/>
          <w:sz w:val="24"/>
          <w:szCs w:val="24"/>
          <w:lang w:val="ro-MD"/>
        </w:rPr>
        <w:t xml:space="preserve"> </w:t>
      </w:r>
      <w:r w:rsidR="001141B5" w:rsidRPr="0038225D">
        <w:rPr>
          <w:rFonts w:asciiTheme="majorHAnsi" w:eastAsia="Calibri" w:hAnsiTheme="majorHAnsi" w:cstheme="majorHAnsi"/>
          <w:sz w:val="24"/>
          <w:szCs w:val="24"/>
          <w:lang w:val="ro-MD"/>
        </w:rPr>
        <w:t xml:space="preserve">nu se recalculează. </w:t>
      </w:r>
      <w:r w:rsidR="00CA1024" w:rsidRPr="0038225D">
        <w:rPr>
          <w:rFonts w:asciiTheme="majorHAnsi" w:eastAsia="Calibri" w:hAnsiTheme="majorHAnsi" w:cstheme="majorHAnsi"/>
          <w:sz w:val="24"/>
          <w:szCs w:val="24"/>
          <w:lang w:val="ro-MD"/>
        </w:rPr>
        <w:t xml:space="preserve">În </w:t>
      </w:r>
      <w:r w:rsidR="001141B5" w:rsidRPr="0038225D">
        <w:rPr>
          <w:rFonts w:asciiTheme="majorHAnsi" w:eastAsia="Calibri" w:hAnsiTheme="majorHAnsi" w:cstheme="majorHAnsi"/>
          <w:sz w:val="24"/>
          <w:szCs w:val="24"/>
          <w:lang w:val="ro-MD"/>
        </w:rPr>
        <w:t>consecință</w:t>
      </w:r>
      <w:r w:rsidR="000C1876" w:rsidRPr="00B7675F">
        <w:rPr>
          <w:rFonts w:asciiTheme="majorHAnsi" w:eastAsia="Calibri" w:hAnsiTheme="majorHAnsi" w:cstheme="majorHAnsi"/>
          <w:sz w:val="24"/>
          <w:szCs w:val="24"/>
          <w:lang w:val="ro-MD"/>
        </w:rPr>
        <w:t>,</w:t>
      </w:r>
      <w:r w:rsidR="001141B5" w:rsidRPr="00B7675F">
        <w:rPr>
          <w:rFonts w:asciiTheme="majorHAnsi" w:eastAsia="Calibri" w:hAnsiTheme="majorHAnsi" w:cstheme="majorHAnsi"/>
          <w:sz w:val="24"/>
          <w:szCs w:val="24"/>
          <w:lang w:val="ro-MD"/>
        </w:rPr>
        <w:t xml:space="preserve"> în cazul </w:t>
      </w:r>
      <w:r w:rsidR="000C1876" w:rsidRPr="00B7675F">
        <w:rPr>
          <w:rFonts w:asciiTheme="majorHAnsi" w:eastAsia="Calibri" w:hAnsiTheme="majorHAnsi" w:cstheme="majorHAnsi"/>
          <w:sz w:val="24"/>
          <w:szCs w:val="24"/>
          <w:lang w:val="ro-MD"/>
        </w:rPr>
        <w:t>celor</w:t>
      </w:r>
      <w:r w:rsidR="001141B5" w:rsidRPr="00B7675F">
        <w:rPr>
          <w:rFonts w:asciiTheme="majorHAnsi" w:eastAsia="Calibri" w:hAnsiTheme="majorHAnsi" w:cstheme="majorHAnsi"/>
          <w:sz w:val="24"/>
          <w:szCs w:val="24"/>
          <w:lang w:val="ro-MD"/>
        </w:rPr>
        <w:t xml:space="preserve"> 41 de angajați</w:t>
      </w:r>
      <w:r w:rsidR="000C1876" w:rsidRPr="00B7675F">
        <w:rPr>
          <w:rFonts w:asciiTheme="majorHAnsi" w:eastAsia="Calibri" w:hAnsiTheme="majorHAnsi" w:cstheme="majorHAnsi"/>
          <w:sz w:val="24"/>
          <w:szCs w:val="24"/>
          <w:lang w:val="ro-MD"/>
        </w:rPr>
        <w:t>,</w:t>
      </w:r>
      <w:r w:rsidR="001141B5" w:rsidRPr="00B7675F">
        <w:rPr>
          <w:rFonts w:asciiTheme="majorHAnsi" w:eastAsia="Calibri" w:hAnsiTheme="majorHAnsi" w:cstheme="majorHAnsi"/>
          <w:sz w:val="24"/>
          <w:szCs w:val="24"/>
          <w:lang w:val="ro-MD"/>
        </w:rPr>
        <w:t xml:space="preserve"> le-au fost stabilite indemnizații de incapacitate de m</w:t>
      </w:r>
      <w:r w:rsidR="00CA1024" w:rsidRPr="00B7675F">
        <w:rPr>
          <w:rFonts w:asciiTheme="majorHAnsi" w:eastAsia="Calibri" w:hAnsiTheme="majorHAnsi" w:cstheme="majorHAnsi"/>
          <w:sz w:val="24"/>
          <w:szCs w:val="24"/>
          <w:lang w:val="ro-MD"/>
        </w:rPr>
        <w:t>uncă cu 24,7 mii lei mai puțin decât se cuvenea.</w:t>
      </w:r>
    </w:p>
    <w:p w14:paraId="2E4ECF6C" w14:textId="5382BD75" w:rsidR="001141B5" w:rsidRPr="00B7675F" w:rsidRDefault="001141B5" w:rsidP="001141B5">
      <w:pPr>
        <w:spacing w:after="100" w:afterAutospacing="1" w:line="276" w:lineRule="auto"/>
        <w:jc w:val="both"/>
        <w:rPr>
          <w:rFonts w:asciiTheme="majorHAnsi" w:eastAsia="Calibri" w:hAnsiTheme="majorHAnsi" w:cstheme="majorHAnsi"/>
          <w:sz w:val="24"/>
          <w:szCs w:val="24"/>
          <w:lang w:val="ro-MD"/>
        </w:rPr>
      </w:pPr>
      <w:r w:rsidRPr="00B7675F">
        <w:rPr>
          <w:rFonts w:asciiTheme="majorHAnsi" w:eastAsia="Calibri" w:hAnsiTheme="majorHAnsi" w:cstheme="majorHAnsi"/>
          <w:sz w:val="24"/>
          <w:szCs w:val="24"/>
          <w:lang w:val="ro-MD"/>
        </w:rPr>
        <w:t xml:space="preserve">Mai mult decât atât, în </w:t>
      </w:r>
      <w:r w:rsidR="00CA1024" w:rsidRPr="00B7675F">
        <w:rPr>
          <w:rFonts w:asciiTheme="majorHAnsi" w:eastAsia="Calibri" w:hAnsiTheme="majorHAnsi" w:cstheme="majorHAnsi"/>
          <w:sz w:val="24"/>
          <w:szCs w:val="24"/>
          <w:lang w:val="ro-MD"/>
        </w:rPr>
        <w:t xml:space="preserve">alte </w:t>
      </w:r>
      <w:r w:rsidRPr="00B7675F">
        <w:rPr>
          <w:rFonts w:asciiTheme="majorHAnsi" w:eastAsia="Calibri" w:hAnsiTheme="majorHAnsi" w:cstheme="majorHAnsi"/>
          <w:sz w:val="24"/>
          <w:szCs w:val="24"/>
          <w:lang w:val="ro-MD"/>
        </w:rPr>
        <w:t>14 cazuri angajații au primit refuz din cauza că pentru perioada stabilită lipseau contribuțiile de asigurări sociale virate de către angajator</w:t>
      </w:r>
      <w:r w:rsidR="00CA1024"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w:t>
      </w:r>
      <w:r w:rsidR="00CA1024" w:rsidRPr="00B7675F">
        <w:rPr>
          <w:rFonts w:asciiTheme="majorHAnsi" w:eastAsia="Calibri" w:hAnsiTheme="majorHAnsi" w:cstheme="majorHAnsi"/>
          <w:sz w:val="24"/>
          <w:szCs w:val="24"/>
          <w:lang w:val="ro-MD"/>
        </w:rPr>
        <w:t xml:space="preserve">fiind </w:t>
      </w:r>
      <w:r w:rsidRPr="00B7675F">
        <w:rPr>
          <w:rFonts w:asciiTheme="majorHAnsi" w:eastAsia="Calibri" w:hAnsiTheme="majorHAnsi" w:cstheme="majorHAnsi"/>
          <w:sz w:val="24"/>
          <w:szCs w:val="24"/>
          <w:lang w:val="ro-MD"/>
        </w:rPr>
        <w:t xml:space="preserve"> </w:t>
      </w:r>
      <w:r w:rsidR="00CA1024" w:rsidRPr="00B7675F">
        <w:rPr>
          <w:rFonts w:asciiTheme="majorHAnsi" w:eastAsia="Calibri" w:hAnsiTheme="majorHAnsi" w:cstheme="majorHAnsi"/>
          <w:sz w:val="24"/>
          <w:szCs w:val="24"/>
          <w:lang w:val="ro-MD"/>
        </w:rPr>
        <w:t>lipsiți de prestații în sumă de</w:t>
      </w:r>
      <w:r w:rsidRPr="00B7675F">
        <w:rPr>
          <w:rFonts w:asciiTheme="majorHAnsi" w:eastAsia="Calibri" w:hAnsiTheme="majorHAnsi" w:cstheme="majorHAnsi"/>
          <w:sz w:val="24"/>
          <w:szCs w:val="24"/>
          <w:lang w:val="ro-MD"/>
        </w:rPr>
        <w:t xml:space="preserve"> 30,0 mii lei. Doar </w:t>
      </w:r>
      <w:r w:rsidR="00CA1024" w:rsidRPr="00B7675F">
        <w:rPr>
          <w:rFonts w:asciiTheme="majorHAnsi" w:eastAsia="Calibri" w:hAnsiTheme="majorHAnsi" w:cstheme="majorHAnsi"/>
          <w:sz w:val="24"/>
          <w:szCs w:val="24"/>
          <w:lang w:val="ro-MD"/>
        </w:rPr>
        <w:t>un singur salariat</w:t>
      </w:r>
      <w:r w:rsidRPr="00B7675F">
        <w:rPr>
          <w:rFonts w:asciiTheme="majorHAnsi" w:eastAsia="Calibri" w:hAnsiTheme="majorHAnsi" w:cstheme="majorHAnsi"/>
          <w:sz w:val="24"/>
          <w:szCs w:val="24"/>
          <w:lang w:val="ro-MD"/>
        </w:rPr>
        <w:t xml:space="preserve"> a primit refuz pentru 3 certificate medicale de incapacitate temporară de muncă</w:t>
      </w:r>
      <w:r w:rsidR="00CA1024"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deoarece nu i-au fost achitate contribuții de asigurări sociale pentru toată perioada care intra în baza de calcul, respectiv beneficiarul </w:t>
      </w:r>
      <w:r w:rsidR="00626B68" w:rsidRPr="00B7675F">
        <w:rPr>
          <w:rFonts w:asciiTheme="majorHAnsi" w:eastAsia="Calibri" w:hAnsiTheme="majorHAnsi" w:cstheme="majorHAnsi"/>
          <w:sz w:val="24"/>
          <w:szCs w:val="24"/>
          <w:lang w:val="ro-MD"/>
        </w:rPr>
        <w:t xml:space="preserve">a </w:t>
      </w:r>
      <w:r w:rsidRPr="00B7675F">
        <w:rPr>
          <w:rFonts w:asciiTheme="majorHAnsi" w:eastAsia="Calibri" w:hAnsiTheme="majorHAnsi" w:cstheme="majorHAnsi"/>
          <w:sz w:val="24"/>
          <w:szCs w:val="24"/>
          <w:lang w:val="ro-MD"/>
        </w:rPr>
        <w:t>ratat suma care i s-ar fi cuvenit de 19,8 mii lei.</w:t>
      </w:r>
    </w:p>
    <w:p w14:paraId="624AB004" w14:textId="37FC570B" w:rsidR="00CA1024" w:rsidRPr="00B7675F" w:rsidRDefault="001141B5" w:rsidP="00653E85">
      <w:pPr>
        <w:pStyle w:val="a6"/>
        <w:shd w:val="clear" w:color="auto" w:fill="FFFFFF"/>
        <w:spacing w:after="240" w:line="276" w:lineRule="auto"/>
        <w:ind w:firstLine="0"/>
        <w:rPr>
          <w:rFonts w:asciiTheme="majorHAnsi" w:eastAsia="Calibri" w:hAnsiTheme="majorHAnsi" w:cstheme="majorHAnsi"/>
          <w:lang w:val="ro-MD"/>
        </w:rPr>
      </w:pPr>
      <w:r w:rsidRPr="00B7675F">
        <w:rPr>
          <w:rFonts w:asciiTheme="majorHAnsi" w:eastAsia="Calibri" w:hAnsiTheme="majorHAnsi" w:cstheme="majorHAnsi"/>
          <w:lang w:val="ro-MD"/>
        </w:rPr>
        <w:t xml:space="preserve">Auditul denotă că și </w:t>
      </w:r>
      <w:r w:rsidR="00C42045" w:rsidRPr="00B7675F">
        <w:rPr>
          <w:rFonts w:asciiTheme="majorHAnsi" w:eastAsia="Calibri" w:hAnsiTheme="majorHAnsi" w:cstheme="majorHAnsi"/>
          <w:lang w:val="ro-MD"/>
        </w:rPr>
        <w:t>la</w:t>
      </w:r>
      <w:r w:rsidRPr="00B7675F">
        <w:rPr>
          <w:rFonts w:asciiTheme="majorHAnsi" w:eastAsia="Calibri" w:hAnsiTheme="majorHAnsi" w:cstheme="majorHAnsi"/>
          <w:lang w:val="ro-MD"/>
        </w:rPr>
        <w:t xml:space="preserve"> stabilir</w:t>
      </w:r>
      <w:r w:rsidR="00071D59" w:rsidRPr="00B7675F">
        <w:rPr>
          <w:rFonts w:asciiTheme="majorHAnsi" w:eastAsia="Calibri" w:hAnsiTheme="majorHAnsi" w:cstheme="majorHAnsi"/>
          <w:lang w:val="ro-MD"/>
        </w:rPr>
        <w:t>ea</w:t>
      </w:r>
      <w:r w:rsidRPr="00B7675F">
        <w:rPr>
          <w:rFonts w:asciiTheme="majorHAnsi" w:eastAsia="Calibri" w:hAnsiTheme="majorHAnsi" w:cstheme="majorHAnsi"/>
          <w:lang w:val="ro-MD"/>
        </w:rPr>
        <w:t xml:space="preserve"> pensiilor pentru limită de vârstă au fost identificate 3 cazuri de </w:t>
      </w:r>
      <w:r w:rsidR="00071D59" w:rsidRPr="00B7675F">
        <w:rPr>
          <w:rFonts w:asciiTheme="majorHAnsi" w:eastAsia="Calibri" w:hAnsiTheme="majorHAnsi" w:cstheme="majorHAnsi"/>
          <w:lang w:val="ro-MD"/>
        </w:rPr>
        <w:t xml:space="preserve">calculare </w:t>
      </w:r>
      <w:r w:rsidR="00CA1024" w:rsidRPr="00B7675F">
        <w:rPr>
          <w:rFonts w:asciiTheme="majorHAnsi" w:eastAsia="Calibri" w:hAnsiTheme="majorHAnsi" w:cstheme="majorHAnsi"/>
          <w:lang w:val="ro-MD"/>
        </w:rPr>
        <w:t>a prestației diminuat</w:t>
      </w:r>
      <w:r w:rsidR="00071D59" w:rsidRPr="00B7675F">
        <w:rPr>
          <w:rFonts w:asciiTheme="majorHAnsi" w:eastAsia="Calibri" w:hAnsiTheme="majorHAnsi" w:cstheme="majorHAnsi"/>
          <w:lang w:val="ro-MD"/>
        </w:rPr>
        <w:t>e</w:t>
      </w:r>
      <w:r w:rsidR="00CA1024" w:rsidRPr="00B7675F">
        <w:rPr>
          <w:rFonts w:asciiTheme="majorHAnsi" w:eastAsia="Calibri" w:hAnsiTheme="majorHAnsi" w:cstheme="majorHAnsi"/>
          <w:lang w:val="ro-MD"/>
        </w:rPr>
        <w:t xml:space="preserve">. Astfel, în cazul pensiilor nu este afectat doar venitul asigurat, ci și stagiul de cotizare. Prin urmare, </w:t>
      </w:r>
      <w:r w:rsidRPr="00B7675F">
        <w:rPr>
          <w:rFonts w:asciiTheme="majorHAnsi" w:eastAsia="Calibri" w:hAnsiTheme="majorHAnsi" w:cstheme="majorHAnsi"/>
          <w:lang w:val="ro-MD"/>
        </w:rPr>
        <w:t>din cauza neachitării de către angajator a cont</w:t>
      </w:r>
      <w:r w:rsidR="00CA1024" w:rsidRPr="00B7675F">
        <w:rPr>
          <w:rFonts w:asciiTheme="majorHAnsi" w:eastAsia="Calibri" w:hAnsiTheme="majorHAnsi" w:cstheme="majorHAnsi"/>
          <w:lang w:val="ro-MD"/>
        </w:rPr>
        <w:t xml:space="preserve">ribuțiilor de asigurări sociale, beneficiarilor nu li s-a inclus în stagiu </w:t>
      </w:r>
      <w:r w:rsidRPr="00B7675F">
        <w:rPr>
          <w:rFonts w:asciiTheme="majorHAnsi" w:eastAsia="Calibri" w:hAnsiTheme="majorHAnsi" w:cstheme="majorHAnsi"/>
          <w:lang w:val="ro-MD"/>
        </w:rPr>
        <w:t xml:space="preserve">o perioadă de </w:t>
      </w:r>
      <w:r w:rsidR="00CA1024" w:rsidRPr="00B7675F">
        <w:rPr>
          <w:rFonts w:asciiTheme="majorHAnsi" w:eastAsia="Calibri" w:hAnsiTheme="majorHAnsi" w:cstheme="majorHAnsi"/>
          <w:lang w:val="ro-MD"/>
        </w:rPr>
        <w:t xml:space="preserve">până la </w:t>
      </w:r>
      <w:r w:rsidRPr="00B7675F">
        <w:rPr>
          <w:rFonts w:asciiTheme="majorHAnsi" w:eastAsia="Calibri" w:hAnsiTheme="majorHAnsi" w:cstheme="majorHAnsi"/>
          <w:lang w:val="ro-MD"/>
        </w:rPr>
        <w:t>2 ani. Subsecvent</w:t>
      </w:r>
      <w:r w:rsidR="00CA1024" w:rsidRPr="00B7675F">
        <w:rPr>
          <w:rFonts w:asciiTheme="majorHAnsi" w:eastAsia="Calibri" w:hAnsiTheme="majorHAnsi" w:cstheme="majorHAnsi"/>
          <w:lang w:val="ro-MD"/>
        </w:rPr>
        <w:t>, auditul menționează că un agent economic ulterior</w:t>
      </w:r>
      <w:r w:rsidRPr="00B7675F">
        <w:rPr>
          <w:rFonts w:asciiTheme="majorHAnsi" w:eastAsia="Calibri" w:hAnsiTheme="majorHAnsi" w:cstheme="majorHAnsi"/>
          <w:lang w:val="ro-MD"/>
        </w:rPr>
        <w:t xml:space="preserve"> a achitat contribuții cu întârziere,</w:t>
      </w:r>
      <w:r w:rsidR="00071D59" w:rsidRPr="00B7675F">
        <w:rPr>
          <w:rFonts w:asciiTheme="majorHAnsi" w:eastAsia="Calibri" w:hAnsiTheme="majorHAnsi" w:cstheme="majorHAnsi"/>
          <w:lang w:val="ro-MD"/>
        </w:rPr>
        <w:t xml:space="preserve"> iar</w:t>
      </w:r>
      <w:r w:rsidRPr="00B7675F">
        <w:rPr>
          <w:rFonts w:asciiTheme="majorHAnsi" w:eastAsia="Calibri" w:hAnsiTheme="majorHAnsi" w:cstheme="majorHAnsi"/>
          <w:lang w:val="ro-MD"/>
        </w:rPr>
        <w:t xml:space="preserve"> beneficiarului</w:t>
      </w:r>
      <w:r w:rsidR="00CA1024" w:rsidRPr="00B7675F">
        <w:rPr>
          <w:rFonts w:asciiTheme="majorHAnsi" w:eastAsia="Calibri" w:hAnsiTheme="majorHAnsi" w:cstheme="majorHAnsi"/>
          <w:lang w:val="ro-MD"/>
        </w:rPr>
        <w:t xml:space="preserve"> </w:t>
      </w:r>
      <w:r w:rsidRPr="00B7675F">
        <w:rPr>
          <w:rFonts w:asciiTheme="majorHAnsi" w:eastAsia="Calibri" w:hAnsiTheme="majorHAnsi" w:cstheme="majorHAnsi"/>
          <w:lang w:val="ro-MD"/>
        </w:rPr>
        <w:t>nu i s-a efectuat re</w:t>
      </w:r>
      <w:r w:rsidR="00CA1024" w:rsidRPr="00B7675F">
        <w:rPr>
          <w:rFonts w:asciiTheme="majorHAnsi" w:eastAsia="Calibri" w:hAnsiTheme="majorHAnsi" w:cstheme="majorHAnsi"/>
          <w:lang w:val="ro-MD"/>
        </w:rPr>
        <w:t xml:space="preserve">calcularea prestației sociale. </w:t>
      </w:r>
      <w:r w:rsidRPr="00B7675F">
        <w:rPr>
          <w:rFonts w:asciiTheme="majorHAnsi" w:eastAsia="Calibri" w:hAnsiTheme="majorHAnsi" w:cstheme="majorHAnsi"/>
          <w:lang w:val="ro-MD"/>
        </w:rPr>
        <w:t xml:space="preserve">Deși cadrul legal prevede recalcularea pensiei la încasarea veniturilor, </w:t>
      </w:r>
      <w:r w:rsidR="00CA1024" w:rsidRPr="00B7675F">
        <w:rPr>
          <w:rFonts w:asciiTheme="majorHAnsi" w:eastAsia="Calibri" w:hAnsiTheme="majorHAnsi" w:cstheme="majorHAnsi"/>
          <w:lang w:val="ro-MD"/>
        </w:rPr>
        <w:t xml:space="preserve">aceasta se efectuează </w:t>
      </w:r>
      <w:r w:rsidRPr="00B7675F">
        <w:rPr>
          <w:rFonts w:asciiTheme="majorHAnsi" w:eastAsia="Calibri" w:hAnsiTheme="majorHAnsi" w:cstheme="majorHAnsi"/>
          <w:lang w:val="ro-MD"/>
        </w:rPr>
        <w:t>doa</w:t>
      </w:r>
      <w:r w:rsidR="00CA1024" w:rsidRPr="00B7675F">
        <w:rPr>
          <w:rFonts w:asciiTheme="majorHAnsi" w:eastAsia="Calibri" w:hAnsiTheme="majorHAnsi" w:cstheme="majorHAnsi"/>
          <w:lang w:val="ro-MD"/>
        </w:rPr>
        <w:t xml:space="preserve">r la solicitarea beneficiarului. </w:t>
      </w:r>
    </w:p>
    <w:p w14:paraId="76483B36" w14:textId="4B62E726" w:rsidR="00C63D72" w:rsidRPr="00B7675F" w:rsidRDefault="001141B5" w:rsidP="006F55A0">
      <w:pPr>
        <w:pStyle w:val="a6"/>
        <w:shd w:val="clear" w:color="auto" w:fill="FFFFFF"/>
        <w:spacing w:after="240" w:line="276" w:lineRule="auto"/>
        <w:ind w:firstLine="0"/>
        <w:rPr>
          <w:rFonts w:asciiTheme="majorHAnsi" w:eastAsia="Calibri" w:hAnsiTheme="majorHAnsi" w:cstheme="majorHAnsi"/>
          <w:lang w:val="ro-MD"/>
        </w:rPr>
      </w:pPr>
      <w:r w:rsidRPr="00B7675F">
        <w:rPr>
          <w:rFonts w:asciiTheme="majorHAnsi" w:hAnsiTheme="majorHAnsi" w:cstheme="majorHAnsi"/>
          <w:lang w:val="ro-MD"/>
        </w:rPr>
        <w:t>În altă ordine de idei, este de remarcat că distribuirea masei debitoare realizate prin executare stabilește un rang inferior pentru creanțele fiscale și contribuțiile de asigurări sociale.</w:t>
      </w:r>
      <w:r w:rsidR="00CA1024" w:rsidRPr="00B7675F">
        <w:rPr>
          <w:rFonts w:asciiTheme="majorHAnsi" w:eastAsia="Calibri" w:hAnsiTheme="majorHAnsi" w:cstheme="majorHAnsi"/>
          <w:lang w:val="ro-MD"/>
        </w:rPr>
        <w:t xml:space="preserve"> Astfel</w:t>
      </w:r>
      <w:r w:rsidR="00071D59" w:rsidRPr="00B7675F">
        <w:rPr>
          <w:rFonts w:asciiTheme="majorHAnsi" w:eastAsia="Calibri" w:hAnsiTheme="majorHAnsi" w:cstheme="majorHAnsi"/>
          <w:lang w:val="ro-MD"/>
        </w:rPr>
        <w:t>,</w:t>
      </w:r>
      <w:r w:rsidR="00CA1024" w:rsidRPr="00B7675F">
        <w:rPr>
          <w:rFonts w:asciiTheme="majorHAnsi" w:eastAsia="Calibri" w:hAnsiTheme="majorHAnsi" w:cstheme="majorHAnsi"/>
          <w:lang w:val="ro-MD"/>
        </w:rPr>
        <w:t xml:space="preserve"> remarcăm că </w:t>
      </w:r>
      <w:r w:rsidRPr="00B7675F">
        <w:rPr>
          <w:rFonts w:asciiTheme="majorHAnsi" w:eastAsia="Calibri" w:hAnsiTheme="majorHAnsi" w:cstheme="majorHAnsi"/>
          <w:lang w:val="ro-MD"/>
        </w:rPr>
        <w:t xml:space="preserve">neexecutarea obligațiilor bănești la scadență produce consecințe negative nu numai asupra BASS, ci și față de beneficiari. Ținând cont de interconexiunea raporturilor juridice în care se află angajații cu angajatorii și cu statul, concluzionăm că nerespectarea obligațiilor privind achitarea impozitelor și contribuțiilor de asigurări sociale generează consecințe </w:t>
      </w:r>
      <w:r w:rsidR="00C63D72" w:rsidRPr="00B7675F">
        <w:rPr>
          <w:rFonts w:asciiTheme="majorHAnsi" w:eastAsia="Calibri" w:hAnsiTheme="majorHAnsi" w:cstheme="majorHAnsi"/>
          <w:lang w:val="ro-MD"/>
        </w:rPr>
        <w:t xml:space="preserve">asupra </w:t>
      </w:r>
      <w:r w:rsidRPr="00B7675F">
        <w:rPr>
          <w:rFonts w:asciiTheme="majorHAnsi" w:eastAsia="Calibri" w:hAnsiTheme="majorHAnsi" w:cstheme="majorHAnsi"/>
          <w:lang w:val="ro-MD"/>
        </w:rPr>
        <w:t>benef</w:t>
      </w:r>
      <w:r w:rsidR="00C63D72" w:rsidRPr="00B7675F">
        <w:rPr>
          <w:rFonts w:asciiTheme="majorHAnsi" w:eastAsia="Calibri" w:hAnsiTheme="majorHAnsi" w:cstheme="majorHAnsi"/>
          <w:lang w:val="ro-MD"/>
        </w:rPr>
        <w:t>iciarilor de prestații sociale. Totodată, auditul menționează că</w:t>
      </w:r>
      <w:r w:rsidR="00071D59" w:rsidRPr="00B7675F">
        <w:rPr>
          <w:rFonts w:asciiTheme="majorHAnsi" w:eastAsia="Calibri" w:hAnsiTheme="majorHAnsi" w:cstheme="majorHAnsi"/>
          <w:lang w:val="ro-MD"/>
        </w:rPr>
        <w:t>,</w:t>
      </w:r>
      <w:r w:rsidR="00C63D72" w:rsidRPr="00B7675F">
        <w:rPr>
          <w:rFonts w:asciiTheme="majorHAnsi" w:eastAsia="Calibri" w:hAnsiTheme="majorHAnsi" w:cstheme="majorHAnsi"/>
          <w:lang w:val="ro-MD"/>
        </w:rPr>
        <w:t xml:space="preserve"> deși Codul </w:t>
      </w:r>
      <w:r w:rsidR="00071D59" w:rsidRPr="00B7675F">
        <w:rPr>
          <w:rFonts w:asciiTheme="majorHAnsi" w:eastAsia="Calibri" w:hAnsiTheme="majorHAnsi" w:cstheme="majorHAnsi"/>
          <w:lang w:val="ro-MD"/>
        </w:rPr>
        <w:t>m</w:t>
      </w:r>
      <w:r w:rsidR="00C63D72" w:rsidRPr="00B7675F">
        <w:rPr>
          <w:rFonts w:asciiTheme="majorHAnsi" w:eastAsia="Calibri" w:hAnsiTheme="majorHAnsi" w:cstheme="majorHAnsi"/>
          <w:lang w:val="ro-MD"/>
        </w:rPr>
        <w:t>uncii</w:t>
      </w:r>
      <w:r w:rsidR="00C63D72" w:rsidRPr="00B7675F">
        <w:rPr>
          <w:rStyle w:val="a5"/>
          <w:rFonts w:asciiTheme="majorHAnsi" w:eastAsia="Calibri" w:hAnsiTheme="majorHAnsi" w:cstheme="majorHAnsi"/>
          <w:lang w:val="ro-MD"/>
        </w:rPr>
        <w:footnoteReference w:id="76"/>
      </w:r>
      <w:r w:rsidR="00C63D72" w:rsidRPr="00B7675F">
        <w:rPr>
          <w:rFonts w:asciiTheme="majorHAnsi" w:eastAsia="Calibri" w:hAnsiTheme="majorHAnsi" w:cstheme="majorHAnsi"/>
          <w:lang w:val="ro-MD"/>
        </w:rPr>
        <w:t xml:space="preserve"> </w:t>
      </w:r>
      <w:r w:rsidR="00C63D72" w:rsidRPr="00653E85">
        <w:rPr>
          <w:rFonts w:asciiTheme="majorHAnsi" w:eastAsia="Calibri" w:hAnsiTheme="majorHAnsi" w:cstheme="majorHAnsi"/>
          <w:color w:val="000000" w:themeColor="text1"/>
          <w:lang w:val="ro-MD"/>
        </w:rPr>
        <w:t xml:space="preserve">prevede că </w:t>
      </w:r>
      <w:r w:rsidR="00C63D72" w:rsidRPr="00653E85">
        <w:rPr>
          <w:rFonts w:asciiTheme="majorHAnsi" w:eastAsia="Calibri" w:hAnsiTheme="majorHAnsi" w:cstheme="majorHAnsi"/>
          <w:i/>
          <w:color w:val="000000" w:themeColor="text1"/>
          <w:lang w:val="ro-MD"/>
        </w:rPr>
        <w:t>„p</w:t>
      </w:r>
      <w:r w:rsidR="00C63D72" w:rsidRPr="00653E85">
        <w:rPr>
          <w:rFonts w:asciiTheme="majorHAnsi" w:hAnsiTheme="majorHAnsi" w:cstheme="majorHAnsi"/>
          <w:i/>
          <w:color w:val="000000" w:themeColor="text1"/>
          <w:shd w:val="clear" w:color="auto" w:fill="FFFFFF"/>
          <w:lang w:val="ro-MD"/>
        </w:rPr>
        <w:t xml:space="preserve">lata salariilor este efectuată de angajator în mod prioritar </w:t>
      </w:r>
      <w:r w:rsidR="00D3178C" w:rsidRPr="00653E85">
        <w:rPr>
          <w:rFonts w:asciiTheme="majorHAnsi" w:hAnsiTheme="majorHAnsi" w:cstheme="majorHAnsi"/>
          <w:i/>
          <w:color w:val="000000" w:themeColor="text1"/>
          <w:shd w:val="clear" w:color="auto" w:fill="FFFFFF"/>
          <w:lang w:val="ro-MD"/>
        </w:rPr>
        <w:t>față</w:t>
      </w:r>
      <w:r w:rsidR="00C63D72" w:rsidRPr="00653E85">
        <w:rPr>
          <w:rFonts w:asciiTheme="majorHAnsi" w:hAnsiTheme="majorHAnsi" w:cstheme="majorHAnsi"/>
          <w:i/>
          <w:color w:val="000000" w:themeColor="text1"/>
          <w:shd w:val="clear" w:color="auto" w:fill="FFFFFF"/>
          <w:lang w:val="ro-MD"/>
        </w:rPr>
        <w:t xml:space="preserve"> de alte </w:t>
      </w:r>
      <w:r w:rsidR="00D3178C" w:rsidRPr="00653E85">
        <w:rPr>
          <w:rFonts w:asciiTheme="majorHAnsi" w:hAnsiTheme="majorHAnsi" w:cstheme="majorHAnsi"/>
          <w:i/>
          <w:color w:val="000000" w:themeColor="text1"/>
          <w:shd w:val="clear" w:color="auto" w:fill="FFFFFF"/>
          <w:lang w:val="ro-MD"/>
        </w:rPr>
        <w:t>plăți</w:t>
      </w:r>
      <w:r w:rsidR="00C63D72" w:rsidRPr="00653E85">
        <w:rPr>
          <w:rFonts w:asciiTheme="majorHAnsi" w:hAnsiTheme="majorHAnsi" w:cstheme="majorHAnsi"/>
          <w:i/>
          <w:color w:val="000000" w:themeColor="text1"/>
          <w:shd w:val="clear" w:color="auto" w:fill="FFFFFF"/>
          <w:lang w:val="ro-MD"/>
        </w:rPr>
        <w:t xml:space="preserve">, inclusiv în caz de insolvabilitate a </w:t>
      </w:r>
      <w:r w:rsidR="00D3178C" w:rsidRPr="00653E85">
        <w:rPr>
          <w:rFonts w:asciiTheme="majorHAnsi" w:hAnsiTheme="majorHAnsi" w:cstheme="majorHAnsi"/>
          <w:i/>
          <w:color w:val="000000" w:themeColor="text1"/>
          <w:shd w:val="clear" w:color="auto" w:fill="FFFFFF"/>
          <w:lang w:val="ro-MD"/>
        </w:rPr>
        <w:t>unității</w:t>
      </w:r>
      <w:r w:rsidR="00C63D72" w:rsidRPr="00653E85">
        <w:rPr>
          <w:rFonts w:asciiTheme="majorHAnsi" w:hAnsiTheme="majorHAnsi" w:cstheme="majorHAnsi"/>
          <w:color w:val="000000" w:themeColor="text1"/>
          <w:shd w:val="clear" w:color="auto" w:fill="FFFFFF"/>
          <w:lang w:val="ro-MD"/>
        </w:rPr>
        <w:t xml:space="preserve">”, cadrul legal nu prevede și achitarea concomitentă a contribuțiilor, condiție necesară pentru asigurarea riscurilor. Mai mult decât atât, Constituția Republicii Moldova </w:t>
      </w:r>
      <w:r w:rsidR="006F55A0" w:rsidRPr="00653E85">
        <w:rPr>
          <w:rFonts w:asciiTheme="majorHAnsi" w:hAnsiTheme="majorHAnsi" w:cstheme="majorHAnsi"/>
          <w:color w:val="000000" w:themeColor="text1"/>
          <w:shd w:val="clear" w:color="auto" w:fill="FFFFFF"/>
          <w:lang w:val="ro-MD"/>
        </w:rPr>
        <w:t xml:space="preserve">indică că </w:t>
      </w:r>
      <w:r w:rsidR="006F55A0" w:rsidRPr="00653E85">
        <w:rPr>
          <w:rFonts w:asciiTheme="majorHAnsi" w:hAnsiTheme="majorHAnsi" w:cstheme="majorHAnsi"/>
          <w:i/>
          <w:color w:val="000000" w:themeColor="text1"/>
          <w:shd w:val="clear" w:color="auto" w:fill="FFFFFF"/>
          <w:lang w:val="ro-MD"/>
        </w:rPr>
        <w:t>„</w:t>
      </w:r>
      <w:r w:rsidR="00D3178C" w:rsidRPr="00653E85">
        <w:rPr>
          <w:rFonts w:asciiTheme="majorHAnsi" w:hAnsiTheme="majorHAnsi" w:cstheme="majorHAnsi"/>
          <w:i/>
          <w:color w:val="000000" w:themeColor="text1"/>
          <w:shd w:val="clear" w:color="auto" w:fill="FFFFFF"/>
          <w:lang w:val="ro-MD"/>
        </w:rPr>
        <w:t>c</w:t>
      </w:r>
      <w:r w:rsidR="00D3178C" w:rsidRPr="00653E85">
        <w:rPr>
          <w:rFonts w:asciiTheme="majorHAnsi" w:hAnsiTheme="majorHAnsi" w:cstheme="majorHAnsi"/>
          <w:i/>
          <w:color w:val="000000" w:themeColor="text1"/>
          <w:lang w:val="ro-MD"/>
        </w:rPr>
        <w:t>etățenii</w:t>
      </w:r>
      <w:r w:rsidR="00C63D72" w:rsidRPr="00653E85">
        <w:rPr>
          <w:rFonts w:asciiTheme="majorHAnsi" w:hAnsiTheme="majorHAnsi" w:cstheme="majorHAnsi"/>
          <w:i/>
          <w:color w:val="000000" w:themeColor="text1"/>
          <w:lang w:val="ro-MD"/>
        </w:rPr>
        <w:t xml:space="preserve"> au dreptul la asigurare în caz de: </w:t>
      </w:r>
      <w:r w:rsidR="00D3178C" w:rsidRPr="00653E85">
        <w:rPr>
          <w:rFonts w:asciiTheme="majorHAnsi" w:hAnsiTheme="majorHAnsi" w:cstheme="majorHAnsi"/>
          <w:i/>
          <w:color w:val="000000" w:themeColor="text1"/>
          <w:lang w:val="ro-MD"/>
        </w:rPr>
        <w:t>șomaj</w:t>
      </w:r>
      <w:r w:rsidR="00C63D72" w:rsidRPr="00653E85">
        <w:rPr>
          <w:rFonts w:asciiTheme="majorHAnsi" w:hAnsiTheme="majorHAnsi" w:cstheme="majorHAnsi"/>
          <w:i/>
          <w:color w:val="000000" w:themeColor="text1"/>
          <w:lang w:val="ro-MD"/>
        </w:rPr>
        <w:t xml:space="preserve">, boală, invaliditate, văduvie, </w:t>
      </w:r>
      <w:r w:rsidR="00D3178C" w:rsidRPr="00653E85">
        <w:rPr>
          <w:rFonts w:asciiTheme="majorHAnsi" w:hAnsiTheme="majorHAnsi" w:cstheme="majorHAnsi"/>
          <w:i/>
          <w:color w:val="000000" w:themeColor="text1"/>
          <w:lang w:val="ro-MD"/>
        </w:rPr>
        <w:t>bătrânețe</w:t>
      </w:r>
      <w:r w:rsidR="00C63D72" w:rsidRPr="00653E85">
        <w:rPr>
          <w:rFonts w:asciiTheme="majorHAnsi" w:hAnsiTheme="majorHAnsi" w:cstheme="majorHAnsi"/>
          <w:i/>
          <w:color w:val="000000" w:themeColor="text1"/>
          <w:lang w:val="ro-MD"/>
        </w:rPr>
        <w:t xml:space="preserve"> sau în celelalte cazuri de pierdere a mijloacelor de </w:t>
      </w:r>
      <w:r w:rsidR="00D3178C" w:rsidRPr="00653E85">
        <w:rPr>
          <w:rFonts w:asciiTheme="majorHAnsi" w:hAnsiTheme="majorHAnsi" w:cstheme="majorHAnsi"/>
          <w:i/>
          <w:color w:val="000000" w:themeColor="text1"/>
          <w:lang w:val="ro-MD"/>
        </w:rPr>
        <w:t>subzistență</w:t>
      </w:r>
      <w:r w:rsidR="00C63D72" w:rsidRPr="00653E85">
        <w:rPr>
          <w:rFonts w:asciiTheme="majorHAnsi" w:hAnsiTheme="majorHAnsi" w:cstheme="majorHAnsi"/>
          <w:i/>
          <w:color w:val="000000" w:themeColor="text1"/>
          <w:lang w:val="ro-MD"/>
        </w:rPr>
        <w:t xml:space="preserve">, în urma unor împrejurări independente de </w:t>
      </w:r>
      <w:r w:rsidR="00D3178C" w:rsidRPr="00653E85">
        <w:rPr>
          <w:rFonts w:asciiTheme="majorHAnsi" w:hAnsiTheme="majorHAnsi" w:cstheme="majorHAnsi"/>
          <w:i/>
          <w:color w:val="000000" w:themeColor="text1"/>
          <w:lang w:val="ro-MD"/>
        </w:rPr>
        <w:t>voința</w:t>
      </w:r>
      <w:r w:rsidR="00C63D72" w:rsidRPr="00653E85">
        <w:rPr>
          <w:rFonts w:asciiTheme="majorHAnsi" w:hAnsiTheme="majorHAnsi" w:cstheme="majorHAnsi"/>
          <w:i/>
          <w:color w:val="000000" w:themeColor="text1"/>
          <w:lang w:val="ro-MD"/>
        </w:rPr>
        <w:t xml:space="preserve"> lor</w:t>
      </w:r>
      <w:r w:rsidR="00C63D72" w:rsidRPr="00653E85">
        <w:rPr>
          <w:rFonts w:asciiTheme="majorHAnsi" w:hAnsiTheme="majorHAnsi" w:cstheme="majorHAnsi"/>
          <w:color w:val="000000" w:themeColor="text1"/>
          <w:lang w:val="ro-MD"/>
        </w:rPr>
        <w:t>.</w:t>
      </w:r>
      <w:r w:rsidR="006F55A0" w:rsidRPr="00653E85">
        <w:rPr>
          <w:rFonts w:asciiTheme="majorHAnsi" w:hAnsiTheme="majorHAnsi" w:cstheme="majorHAnsi"/>
          <w:color w:val="000000" w:themeColor="text1"/>
          <w:lang w:val="ro-MD"/>
        </w:rPr>
        <w:t>”</w:t>
      </w:r>
    </w:p>
    <w:p w14:paraId="75634C84" w14:textId="779A7668" w:rsidR="00FF2496" w:rsidRPr="00B7675F" w:rsidRDefault="00C63D72" w:rsidP="004A63BF">
      <w:pPr>
        <w:pStyle w:val="a8"/>
        <w:tabs>
          <w:tab w:val="left" w:pos="284"/>
          <w:tab w:val="left" w:pos="425"/>
        </w:tabs>
        <w:spacing w:after="240" w:line="276" w:lineRule="auto"/>
        <w:jc w:val="both"/>
        <w:rPr>
          <w:rFonts w:asciiTheme="majorHAnsi" w:hAnsiTheme="majorHAnsi" w:cstheme="majorHAnsi"/>
          <w:sz w:val="24"/>
          <w:szCs w:val="24"/>
          <w:lang w:val="ro-MD"/>
        </w:rPr>
      </w:pPr>
      <w:r w:rsidRPr="0038225D">
        <w:rPr>
          <w:rFonts w:asciiTheme="majorHAnsi" w:hAnsiTheme="majorHAnsi" w:cstheme="majorHAnsi"/>
          <w:sz w:val="24"/>
          <w:szCs w:val="24"/>
          <w:lang w:val="ro-MD"/>
        </w:rPr>
        <w:t xml:space="preserve">În aceste condiții, </w:t>
      </w:r>
      <w:r w:rsidR="006F55A0" w:rsidRPr="0038225D">
        <w:rPr>
          <w:rFonts w:asciiTheme="majorHAnsi" w:hAnsiTheme="majorHAnsi" w:cstheme="majorHAnsi"/>
          <w:sz w:val="24"/>
          <w:szCs w:val="24"/>
          <w:lang w:val="ro-MD"/>
        </w:rPr>
        <w:t>cele constatate de audit indică necesitatea ajustării cadru</w:t>
      </w:r>
      <w:r w:rsidR="00071D59" w:rsidRPr="00B7675F">
        <w:rPr>
          <w:rFonts w:asciiTheme="majorHAnsi" w:hAnsiTheme="majorHAnsi" w:cstheme="majorHAnsi"/>
          <w:sz w:val="24"/>
          <w:szCs w:val="24"/>
          <w:lang w:val="ro-MD"/>
        </w:rPr>
        <w:t>lui</w:t>
      </w:r>
      <w:r w:rsidR="006F55A0" w:rsidRPr="00B7675F">
        <w:rPr>
          <w:rFonts w:asciiTheme="majorHAnsi" w:hAnsiTheme="majorHAnsi" w:cstheme="majorHAnsi"/>
          <w:sz w:val="24"/>
          <w:szCs w:val="24"/>
          <w:lang w:val="ro-MD"/>
        </w:rPr>
        <w:t xml:space="preserve"> legal, în scopul </w:t>
      </w:r>
      <w:r w:rsidRPr="00B7675F">
        <w:rPr>
          <w:rFonts w:asciiTheme="majorHAnsi" w:hAnsiTheme="majorHAnsi" w:cstheme="majorHAnsi"/>
          <w:sz w:val="24"/>
          <w:szCs w:val="24"/>
          <w:lang w:val="ro-MD"/>
        </w:rPr>
        <w:t>cre</w:t>
      </w:r>
      <w:r w:rsidR="006F55A0" w:rsidRPr="00B7675F">
        <w:rPr>
          <w:rFonts w:asciiTheme="majorHAnsi" w:hAnsiTheme="majorHAnsi" w:cstheme="majorHAnsi"/>
          <w:sz w:val="24"/>
          <w:szCs w:val="24"/>
          <w:lang w:val="ro-MD"/>
        </w:rPr>
        <w:t>ării</w:t>
      </w:r>
      <w:r w:rsidRPr="00B7675F">
        <w:rPr>
          <w:rFonts w:asciiTheme="majorHAnsi" w:hAnsiTheme="majorHAnsi" w:cstheme="majorHAnsi"/>
          <w:sz w:val="24"/>
          <w:szCs w:val="24"/>
          <w:lang w:val="ro-MD"/>
        </w:rPr>
        <w:t xml:space="preserve"> proceduri</w:t>
      </w:r>
      <w:r w:rsidR="006F55A0" w:rsidRPr="00B7675F">
        <w:rPr>
          <w:rFonts w:asciiTheme="majorHAnsi" w:hAnsiTheme="majorHAnsi" w:cstheme="majorHAnsi"/>
          <w:sz w:val="24"/>
          <w:szCs w:val="24"/>
          <w:lang w:val="ro-MD"/>
        </w:rPr>
        <w:t>lor</w:t>
      </w:r>
      <w:r w:rsidRPr="00B7675F">
        <w:rPr>
          <w:rFonts w:asciiTheme="majorHAnsi" w:hAnsiTheme="majorHAnsi" w:cstheme="majorHAnsi"/>
          <w:sz w:val="24"/>
          <w:szCs w:val="24"/>
          <w:lang w:val="ro-MD"/>
        </w:rPr>
        <w:t xml:space="preserve"> efective care îi preocupă pe debitorii care intră în insolvență</w:t>
      </w:r>
      <w:r w:rsidR="006F55A0" w:rsidRPr="00B7675F">
        <w:rPr>
          <w:rFonts w:asciiTheme="majorHAnsi" w:hAnsiTheme="majorHAnsi" w:cstheme="majorHAnsi"/>
          <w:sz w:val="24"/>
          <w:szCs w:val="24"/>
          <w:lang w:val="ro-MD"/>
        </w:rPr>
        <w:t xml:space="preserve">, </w:t>
      </w:r>
      <w:r w:rsidR="00071D59" w:rsidRPr="00B7675F">
        <w:rPr>
          <w:rFonts w:asciiTheme="majorHAnsi" w:hAnsiTheme="majorHAnsi" w:cstheme="majorHAnsi"/>
          <w:sz w:val="24"/>
          <w:szCs w:val="24"/>
          <w:lang w:val="ro-MD"/>
        </w:rPr>
        <w:t xml:space="preserve">pe </w:t>
      </w:r>
      <w:r w:rsidRPr="00B7675F">
        <w:rPr>
          <w:rFonts w:asciiTheme="majorHAnsi" w:hAnsiTheme="majorHAnsi" w:cstheme="majorHAnsi"/>
          <w:sz w:val="24"/>
          <w:szCs w:val="24"/>
          <w:lang w:val="ro-MD"/>
        </w:rPr>
        <w:t>angajați și</w:t>
      </w:r>
      <w:r w:rsidR="00071D59"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nu în ultimul rând</w:t>
      </w:r>
      <w:r w:rsidR="00071D59"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statul. </w:t>
      </w:r>
    </w:p>
    <w:p w14:paraId="44272355" w14:textId="3E8D4271" w:rsidR="001141B5" w:rsidRPr="00B7675F" w:rsidRDefault="00FF2496" w:rsidP="004A63BF">
      <w:pPr>
        <w:shd w:val="clear" w:color="auto" w:fill="FFFFFF" w:themeFill="background1"/>
        <w:tabs>
          <w:tab w:val="left" w:pos="851"/>
        </w:tabs>
        <w:spacing w:line="276" w:lineRule="auto"/>
        <w:jc w:val="both"/>
        <w:rPr>
          <w:rFonts w:asciiTheme="majorHAnsi" w:eastAsia="Calibri" w:hAnsiTheme="majorHAnsi" w:cstheme="majorHAnsi"/>
          <w:i/>
          <w:sz w:val="24"/>
          <w:szCs w:val="24"/>
          <w:highlight w:val="yellow"/>
          <w:lang w:val="ro-MD"/>
        </w:rPr>
      </w:pPr>
      <w:r w:rsidRPr="00B7675F">
        <w:rPr>
          <w:rFonts w:asciiTheme="majorHAnsi" w:hAnsiTheme="majorHAnsi" w:cstheme="majorHAnsi"/>
          <w:sz w:val="24"/>
          <w:szCs w:val="24"/>
          <w:lang w:val="ro-MD"/>
        </w:rPr>
        <w:t>În același timp, la SFS valoarea creanțelor agenților economici insolvenți constituia 73,4 mil. lei</w:t>
      </w:r>
      <w:r w:rsidRPr="00B7675F">
        <w:rPr>
          <w:rFonts w:asciiTheme="majorHAnsi" w:eastAsia="Calibri" w:hAnsiTheme="majorHAnsi" w:cstheme="majorHAnsi"/>
          <w:sz w:val="24"/>
          <w:szCs w:val="24"/>
          <w:lang w:val="ro-MD"/>
        </w:rPr>
        <w:t>. Conform tabelului de validare a creanțelor prezentat de SFS</w:t>
      </w:r>
      <w:r w:rsidR="00071D59"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în anul 2022 au fost luați </w:t>
      </w:r>
      <w:r w:rsidR="00071D59" w:rsidRPr="00B7675F">
        <w:rPr>
          <w:rFonts w:asciiTheme="majorHAnsi" w:eastAsia="Calibri" w:hAnsiTheme="majorHAnsi" w:cstheme="majorHAnsi"/>
          <w:sz w:val="24"/>
          <w:szCs w:val="24"/>
          <w:lang w:val="ro-MD"/>
        </w:rPr>
        <w:t>în evidență</w:t>
      </w:r>
      <w:r w:rsidRPr="00B7675F">
        <w:rPr>
          <w:rFonts w:asciiTheme="majorHAnsi" w:eastAsia="Calibri" w:hAnsiTheme="majorHAnsi" w:cstheme="majorHAnsi"/>
          <w:sz w:val="24"/>
          <w:szCs w:val="24"/>
          <w:lang w:val="ro-MD"/>
        </w:rPr>
        <w:t xml:space="preserve"> 65 de operatori economici insolvenți</w:t>
      </w:r>
      <w:r w:rsidR="00071D59"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cu 152 mai puțini în comparație cu datele aferente ace</w:t>
      </w:r>
      <w:r w:rsidR="00071D59" w:rsidRPr="00B7675F">
        <w:rPr>
          <w:rFonts w:asciiTheme="majorHAnsi" w:eastAsia="Calibri" w:hAnsiTheme="majorHAnsi" w:cstheme="majorHAnsi"/>
          <w:sz w:val="24"/>
          <w:szCs w:val="24"/>
          <w:lang w:val="ro-MD"/>
        </w:rPr>
        <w:t>l</w:t>
      </w:r>
      <w:r w:rsidRPr="00B7675F">
        <w:rPr>
          <w:rFonts w:asciiTheme="majorHAnsi" w:eastAsia="Calibri" w:hAnsiTheme="majorHAnsi" w:cstheme="majorHAnsi"/>
          <w:sz w:val="24"/>
          <w:szCs w:val="24"/>
          <w:lang w:val="ro-MD"/>
        </w:rPr>
        <w:t>e</w:t>
      </w:r>
      <w:r w:rsidR="00071D59" w:rsidRPr="00B7675F">
        <w:rPr>
          <w:rFonts w:asciiTheme="majorHAnsi" w:eastAsia="Calibri" w:hAnsiTheme="majorHAnsi" w:cstheme="majorHAnsi"/>
          <w:sz w:val="24"/>
          <w:szCs w:val="24"/>
          <w:lang w:val="ro-MD"/>
        </w:rPr>
        <w:t>i</w:t>
      </w:r>
      <w:r w:rsidRPr="00B7675F">
        <w:rPr>
          <w:rFonts w:asciiTheme="majorHAnsi" w:eastAsia="Calibri" w:hAnsiTheme="majorHAnsi" w:cstheme="majorHAnsi"/>
          <w:sz w:val="24"/>
          <w:szCs w:val="24"/>
          <w:lang w:val="ro-MD"/>
        </w:rPr>
        <w:t>ași perioade deținute de către CNAS. Totodată</w:t>
      </w:r>
      <w:r w:rsidR="003220AC"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și suma creanțelor constitui</w:t>
      </w:r>
      <w:r w:rsidR="003220AC" w:rsidRPr="00B7675F">
        <w:rPr>
          <w:rFonts w:asciiTheme="majorHAnsi" w:eastAsia="Calibri" w:hAnsiTheme="majorHAnsi" w:cstheme="majorHAnsi"/>
          <w:sz w:val="24"/>
          <w:szCs w:val="24"/>
          <w:lang w:val="ro-MD"/>
        </w:rPr>
        <w:t>a</w:t>
      </w:r>
      <w:r w:rsidRPr="00B7675F">
        <w:rPr>
          <w:rFonts w:asciiTheme="majorHAnsi" w:eastAsia="Calibri" w:hAnsiTheme="majorHAnsi" w:cstheme="majorHAnsi"/>
          <w:sz w:val="24"/>
          <w:szCs w:val="24"/>
          <w:lang w:val="ro-MD"/>
        </w:rPr>
        <w:t xml:space="preserve"> 14,7 mil.lei</w:t>
      </w:r>
      <w:r w:rsidR="003220AC" w:rsidRPr="00B7675F">
        <w:rPr>
          <w:rFonts w:asciiTheme="majorHAnsi" w:eastAsia="Calibri" w:hAnsiTheme="majorHAnsi" w:cstheme="majorHAnsi"/>
          <w:sz w:val="24"/>
          <w:szCs w:val="24"/>
          <w:lang w:val="ro-MD"/>
        </w:rPr>
        <w:t>,</w:t>
      </w:r>
      <w:r w:rsidRPr="00B7675F">
        <w:rPr>
          <w:rFonts w:asciiTheme="majorHAnsi" w:eastAsia="Calibri" w:hAnsiTheme="majorHAnsi" w:cstheme="majorHAnsi"/>
          <w:sz w:val="24"/>
          <w:szCs w:val="24"/>
          <w:lang w:val="ro-MD"/>
        </w:rPr>
        <w:t xml:space="preserve"> cu 11,1 mil. lei mai puțin în comparație cu datele deținute de CNAS. </w:t>
      </w:r>
      <w:r w:rsidR="00F36CD7" w:rsidRPr="00B7675F">
        <w:rPr>
          <w:rFonts w:asciiTheme="majorHAnsi" w:eastAsia="Calibri" w:hAnsiTheme="majorHAnsi" w:cstheme="majorHAnsi"/>
          <w:sz w:val="24"/>
          <w:szCs w:val="24"/>
          <w:lang w:val="ro-MD"/>
        </w:rPr>
        <w:t>Potrivit motivațiilor CNAS</w:t>
      </w:r>
      <w:r w:rsidR="003220AC" w:rsidRPr="00B7675F">
        <w:rPr>
          <w:rFonts w:asciiTheme="majorHAnsi" w:eastAsia="Calibri" w:hAnsiTheme="majorHAnsi" w:cstheme="majorHAnsi"/>
          <w:sz w:val="24"/>
          <w:szCs w:val="24"/>
          <w:lang w:val="ro-MD"/>
        </w:rPr>
        <w:t>,</w:t>
      </w:r>
      <w:r w:rsidR="00F36CD7" w:rsidRPr="00B7675F">
        <w:rPr>
          <w:rFonts w:asciiTheme="majorHAnsi" w:eastAsia="Calibri" w:hAnsiTheme="majorHAnsi" w:cstheme="majorHAnsi"/>
          <w:sz w:val="24"/>
          <w:szCs w:val="24"/>
          <w:lang w:val="ro-MD"/>
        </w:rPr>
        <w:t xml:space="preserve"> </w:t>
      </w:r>
      <w:r w:rsidR="00F36CD7" w:rsidRPr="00653E85">
        <w:rPr>
          <w:rFonts w:asciiTheme="majorHAnsi" w:eastAsia="Calibri" w:hAnsiTheme="majorHAnsi" w:cstheme="majorHAnsi"/>
          <w:sz w:val="24"/>
          <w:szCs w:val="24"/>
          <w:lang w:val="ro-MD"/>
        </w:rPr>
        <w:t>„</w:t>
      </w:r>
      <w:r w:rsidR="00F36CD7" w:rsidRPr="00B7675F">
        <w:rPr>
          <w:rFonts w:asciiTheme="majorHAnsi" w:eastAsia="Calibri" w:hAnsiTheme="majorHAnsi" w:cstheme="majorHAnsi"/>
          <w:i/>
          <w:sz w:val="24"/>
          <w:szCs w:val="24"/>
          <w:lang w:val="ro-MD"/>
        </w:rPr>
        <w:t>în procedura de insolvabilitate, creditor al creanțelor față de BASS este CNAS, iar creditor față de bugetul de stat este SFS, respectiv, fiecare instituție separat își înaintează creanța în instanța de insolvabilitate. Debitoru</w:t>
      </w:r>
      <w:r w:rsidR="00F36CD7" w:rsidRPr="0038225D">
        <w:rPr>
          <w:rFonts w:asciiTheme="majorHAnsi" w:eastAsia="Calibri" w:hAnsiTheme="majorHAnsi" w:cstheme="majorHAnsi"/>
          <w:i/>
          <w:sz w:val="24"/>
          <w:szCs w:val="24"/>
          <w:lang w:val="ro-MD"/>
        </w:rPr>
        <w:t>l insolvabil (agentul economic) poate avea creanță față de ambele bugete</w:t>
      </w:r>
      <w:r w:rsidR="00F36CD7" w:rsidRPr="00B7675F">
        <w:rPr>
          <w:rFonts w:asciiTheme="majorHAnsi" w:eastAsia="Calibri" w:hAnsiTheme="majorHAnsi" w:cstheme="majorHAnsi"/>
          <w:i/>
          <w:sz w:val="24"/>
          <w:szCs w:val="24"/>
          <w:lang w:val="ro-MD"/>
        </w:rPr>
        <w:t xml:space="preserve"> ori separat. Astfel, agentul economic insolvabil care are datorii doar față de BASS, nu figurează în registrul SFS, și invers. Respectiv, Registrul de evidență al agenților economici insolvabili al CNAS nu poate fi identic cu cel al </w:t>
      </w:r>
      <w:r w:rsidR="00665E0C" w:rsidRPr="00B7675F">
        <w:rPr>
          <w:rFonts w:asciiTheme="majorHAnsi" w:eastAsia="Calibri" w:hAnsiTheme="majorHAnsi" w:cstheme="majorHAnsi"/>
          <w:i/>
          <w:sz w:val="24"/>
          <w:szCs w:val="24"/>
          <w:lang w:val="ro-MD"/>
        </w:rPr>
        <w:t>SFS, c</w:t>
      </w:r>
      <w:r w:rsidR="003220AC" w:rsidRPr="00B7675F">
        <w:rPr>
          <w:rFonts w:asciiTheme="majorHAnsi" w:eastAsia="Calibri" w:hAnsiTheme="majorHAnsi" w:cstheme="majorHAnsi"/>
          <w:i/>
          <w:sz w:val="24"/>
          <w:szCs w:val="24"/>
          <w:lang w:val="ro-MD"/>
        </w:rPr>
        <w:t>â</w:t>
      </w:r>
      <w:r w:rsidR="00665E0C" w:rsidRPr="00B7675F">
        <w:rPr>
          <w:rFonts w:asciiTheme="majorHAnsi" w:eastAsia="Calibri" w:hAnsiTheme="majorHAnsi" w:cstheme="majorHAnsi"/>
          <w:i/>
          <w:sz w:val="24"/>
          <w:szCs w:val="24"/>
          <w:lang w:val="ro-MD"/>
        </w:rPr>
        <w:t>t și mărimea creanțelor.”</w:t>
      </w:r>
    </w:p>
    <w:p w14:paraId="7696C5C4" w14:textId="4C3AC942" w:rsidR="00F36CD7" w:rsidRPr="00B7675F" w:rsidRDefault="0045297C" w:rsidP="004A63BF">
      <w:pPr>
        <w:shd w:val="clear" w:color="auto" w:fill="FFFFFF" w:themeFill="background1"/>
        <w:tabs>
          <w:tab w:val="left" w:pos="851"/>
        </w:tabs>
        <w:spacing w:line="276" w:lineRule="auto"/>
        <w:jc w:val="both"/>
        <w:rPr>
          <w:rFonts w:asciiTheme="majorHAnsi" w:eastAsia="Calibri" w:hAnsiTheme="majorHAnsi" w:cstheme="majorHAnsi"/>
          <w:sz w:val="24"/>
          <w:szCs w:val="24"/>
          <w:lang w:val="ro-MD"/>
        </w:rPr>
      </w:pPr>
      <w:r w:rsidRPr="00653E85">
        <w:rPr>
          <w:rFonts w:asciiTheme="majorHAnsi" w:hAnsiTheme="majorHAnsi" w:cstheme="majorHAnsi"/>
          <w:sz w:val="24"/>
          <w:szCs w:val="24"/>
          <w:lang w:val="ro-MD"/>
        </w:rPr>
        <w:t>Totodată, cadrul legal stabilește că sumele datorate sub orice formă Casei Naţionale se vor urmări, ca şi veniturile statului, prin Serviciul Fiscal de Stat şi prin intermediul judecătoriilor</w:t>
      </w:r>
      <w:r w:rsidRPr="00653E85">
        <w:rPr>
          <w:rStyle w:val="a5"/>
          <w:rFonts w:asciiTheme="majorHAnsi" w:hAnsiTheme="majorHAnsi" w:cstheme="majorHAnsi"/>
          <w:sz w:val="24"/>
          <w:szCs w:val="24"/>
          <w:lang w:val="ro-MD"/>
        </w:rPr>
        <w:footnoteReference w:id="77"/>
      </w:r>
      <w:r w:rsidRPr="00653E85">
        <w:rPr>
          <w:rFonts w:asciiTheme="majorHAnsi" w:hAnsiTheme="majorHAnsi" w:cstheme="majorHAnsi"/>
          <w:sz w:val="24"/>
          <w:szCs w:val="24"/>
          <w:lang w:val="ro-MD"/>
        </w:rPr>
        <w:t>.</w:t>
      </w:r>
    </w:p>
    <w:p w14:paraId="23DE4531" w14:textId="0EEC43B6" w:rsidR="00143F9A" w:rsidRPr="00653E85" w:rsidRDefault="00143F9A" w:rsidP="00504EDB">
      <w:pPr>
        <w:pStyle w:val="aa"/>
        <w:numPr>
          <w:ilvl w:val="1"/>
          <w:numId w:val="2"/>
        </w:numPr>
        <w:spacing w:line="276" w:lineRule="auto"/>
        <w:ind w:left="0" w:firstLine="0"/>
        <w:jc w:val="both"/>
        <w:outlineLvl w:val="1"/>
        <w:rPr>
          <w:rFonts w:asciiTheme="majorHAnsi" w:hAnsiTheme="majorHAnsi" w:cstheme="majorHAnsi"/>
          <w:b/>
          <w:bCs/>
          <w:sz w:val="24"/>
          <w:szCs w:val="24"/>
          <w:lang w:val="ro-MD"/>
        </w:rPr>
      </w:pPr>
      <w:r w:rsidRPr="00653E85">
        <w:rPr>
          <w:rFonts w:asciiTheme="majorHAnsi" w:hAnsiTheme="majorHAnsi" w:cstheme="majorHAnsi"/>
          <w:b/>
          <w:bCs/>
          <w:sz w:val="24"/>
          <w:szCs w:val="24"/>
          <w:lang w:val="ro-MD"/>
        </w:rPr>
        <w:t xml:space="preserve">Prezentarea informațiilor eronate în Registrul de stat al evidenței individuale de către angajatori, </w:t>
      </w:r>
      <w:r w:rsidR="00E76BA8" w:rsidRPr="00653E85">
        <w:rPr>
          <w:rFonts w:asciiTheme="majorHAnsi" w:hAnsiTheme="majorHAnsi" w:cstheme="majorHAnsi"/>
          <w:b/>
          <w:bCs/>
          <w:sz w:val="24"/>
          <w:szCs w:val="24"/>
          <w:lang w:val="ro-MD"/>
        </w:rPr>
        <w:t>cât</w:t>
      </w:r>
      <w:r w:rsidRPr="00653E85">
        <w:rPr>
          <w:rFonts w:asciiTheme="majorHAnsi" w:hAnsiTheme="majorHAnsi" w:cstheme="majorHAnsi"/>
          <w:b/>
          <w:bCs/>
          <w:sz w:val="24"/>
          <w:szCs w:val="24"/>
          <w:lang w:val="ro-MD"/>
        </w:rPr>
        <w:t xml:space="preserve"> și transmiterea tardivă de către </w:t>
      </w:r>
      <w:r w:rsidR="00E76BA8" w:rsidRPr="00653E85">
        <w:rPr>
          <w:rFonts w:asciiTheme="majorHAnsi" w:hAnsiTheme="majorHAnsi" w:cstheme="majorHAnsi"/>
          <w:b/>
          <w:bCs/>
          <w:sz w:val="24"/>
          <w:szCs w:val="24"/>
          <w:lang w:val="ro-MD"/>
        </w:rPr>
        <w:t>instituțiile</w:t>
      </w:r>
      <w:r w:rsidRPr="00653E85">
        <w:rPr>
          <w:rFonts w:asciiTheme="majorHAnsi" w:hAnsiTheme="majorHAnsi" w:cstheme="majorHAnsi"/>
          <w:b/>
          <w:bCs/>
          <w:sz w:val="24"/>
          <w:szCs w:val="24"/>
          <w:lang w:val="ro-MD"/>
        </w:rPr>
        <w:t xml:space="preserve"> medicale a </w:t>
      </w:r>
      <w:r w:rsidR="00E76BA8" w:rsidRPr="00653E85">
        <w:rPr>
          <w:rFonts w:asciiTheme="majorHAnsi" w:hAnsiTheme="majorHAnsi" w:cstheme="majorHAnsi"/>
          <w:b/>
          <w:bCs/>
          <w:sz w:val="24"/>
          <w:szCs w:val="24"/>
          <w:lang w:val="ro-MD"/>
        </w:rPr>
        <w:t>informației</w:t>
      </w:r>
      <w:r w:rsidRPr="00653E85">
        <w:rPr>
          <w:rFonts w:asciiTheme="majorHAnsi" w:hAnsiTheme="majorHAnsi" w:cstheme="majorHAnsi"/>
          <w:b/>
          <w:bCs/>
          <w:sz w:val="24"/>
          <w:szCs w:val="24"/>
          <w:lang w:val="ro-MD"/>
        </w:rPr>
        <w:t xml:space="preserve"> în Portalul certificatelor medicale, într-un termen de până la 365 de zile, a afectat calitatea serviciilor acordate beneficiarilor şi a determinat întârzierea calculării şi neplata în termen a </w:t>
      </w:r>
      <w:r w:rsidR="00E76BA8" w:rsidRPr="00653E85">
        <w:rPr>
          <w:rFonts w:asciiTheme="majorHAnsi" w:hAnsiTheme="majorHAnsi" w:cstheme="majorHAnsi"/>
          <w:b/>
          <w:bCs/>
          <w:sz w:val="24"/>
          <w:szCs w:val="24"/>
          <w:lang w:val="ro-MD"/>
        </w:rPr>
        <w:t>prestației</w:t>
      </w:r>
      <w:r w:rsidRPr="00653E85">
        <w:rPr>
          <w:rFonts w:asciiTheme="majorHAnsi" w:hAnsiTheme="majorHAnsi" w:cstheme="majorHAnsi"/>
          <w:b/>
          <w:bCs/>
          <w:sz w:val="24"/>
          <w:szCs w:val="24"/>
          <w:lang w:val="ro-MD"/>
        </w:rPr>
        <w:t xml:space="preserve"> sociale în sumă de 235,9 mii lei. </w:t>
      </w:r>
    </w:p>
    <w:p w14:paraId="21112592" w14:textId="11074692" w:rsidR="00143F9A" w:rsidRPr="00653E85" w:rsidRDefault="00143F9A" w:rsidP="00143F9A">
      <w:pPr>
        <w:spacing w:after="0" w:line="276" w:lineRule="auto"/>
        <w:jc w:val="both"/>
        <w:rPr>
          <w:rFonts w:asciiTheme="majorHAnsi" w:hAnsiTheme="majorHAnsi" w:cstheme="majorHAnsi"/>
          <w:b/>
          <w:bCs/>
          <w:sz w:val="24"/>
          <w:szCs w:val="24"/>
          <w:lang w:val="ro-MD"/>
        </w:rPr>
      </w:pPr>
      <w:bookmarkStart w:id="5" w:name="_Hlk132964112"/>
      <w:r w:rsidRPr="00653E85">
        <w:rPr>
          <w:rFonts w:asciiTheme="majorHAnsi" w:hAnsiTheme="majorHAnsi" w:cstheme="majorHAnsi"/>
          <w:sz w:val="24"/>
          <w:szCs w:val="24"/>
          <w:lang w:val="ro-MD"/>
        </w:rPr>
        <w:t>În anul 2022 au fost executate 776,3 mil.lei</w:t>
      </w:r>
      <w:bookmarkEnd w:id="5"/>
      <w:r w:rsidRPr="00653E85">
        <w:rPr>
          <w:rFonts w:asciiTheme="majorHAnsi" w:hAnsiTheme="majorHAnsi" w:cstheme="majorHAnsi"/>
          <w:sz w:val="24"/>
          <w:szCs w:val="24"/>
          <w:lang w:val="ro-MD"/>
        </w:rPr>
        <w:t xml:space="preserve"> pentru asigurarea dreptului la </w:t>
      </w:r>
      <w:r w:rsidR="00E76BA8" w:rsidRPr="00653E85">
        <w:rPr>
          <w:rFonts w:asciiTheme="majorHAnsi" w:hAnsiTheme="majorHAnsi" w:cstheme="majorHAnsi"/>
          <w:sz w:val="24"/>
          <w:szCs w:val="24"/>
          <w:lang w:val="ro-MD"/>
        </w:rPr>
        <w:t>indemnizație</w:t>
      </w:r>
      <w:r w:rsidRPr="00653E85">
        <w:rPr>
          <w:rFonts w:asciiTheme="majorHAnsi" w:hAnsiTheme="majorHAnsi" w:cstheme="majorHAnsi"/>
          <w:sz w:val="24"/>
          <w:szCs w:val="24"/>
          <w:lang w:val="ro-MD"/>
        </w:rPr>
        <w:t xml:space="preserve"> pentru incapacitate temporară de muncă cauzată de boli </w:t>
      </w:r>
      <w:r w:rsidR="00E76BA8" w:rsidRPr="00653E85">
        <w:rPr>
          <w:rFonts w:asciiTheme="majorHAnsi" w:hAnsiTheme="majorHAnsi" w:cstheme="majorHAnsi"/>
          <w:sz w:val="24"/>
          <w:szCs w:val="24"/>
          <w:lang w:val="ro-MD"/>
        </w:rPr>
        <w:t>obișnuite</w:t>
      </w:r>
      <w:r w:rsidRPr="00653E85">
        <w:rPr>
          <w:rFonts w:asciiTheme="majorHAnsi" w:hAnsiTheme="majorHAnsi" w:cstheme="majorHAnsi"/>
          <w:sz w:val="24"/>
          <w:szCs w:val="24"/>
          <w:lang w:val="ro-MD"/>
        </w:rPr>
        <w:t xml:space="preserve"> sau de accidente nelegate de muncă, cu 197,2 mil.lei mai puțin decât în anul 2021.</w:t>
      </w:r>
    </w:p>
    <w:p w14:paraId="0D80C590" w14:textId="50AE54CA" w:rsidR="00205D36" w:rsidRPr="00653E85" w:rsidRDefault="00F80827" w:rsidP="00205D36">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La acordarea i</w:t>
      </w:r>
      <w:r w:rsidR="00143F9A" w:rsidRPr="00653E85">
        <w:rPr>
          <w:rFonts w:asciiTheme="majorHAnsi" w:hAnsiTheme="majorHAnsi" w:cstheme="majorHAnsi"/>
          <w:sz w:val="24"/>
          <w:szCs w:val="24"/>
          <w:lang w:val="ro-MD"/>
        </w:rPr>
        <w:t>ndemnizațiil</w:t>
      </w:r>
      <w:r w:rsidRPr="00653E85">
        <w:rPr>
          <w:rFonts w:asciiTheme="majorHAnsi" w:hAnsiTheme="majorHAnsi" w:cstheme="majorHAnsi"/>
          <w:sz w:val="24"/>
          <w:szCs w:val="24"/>
          <w:lang w:val="ro-MD"/>
        </w:rPr>
        <w:t>or</w:t>
      </w:r>
      <w:r w:rsidR="00143F9A" w:rsidRPr="00653E85">
        <w:rPr>
          <w:rFonts w:asciiTheme="majorHAnsi" w:hAnsiTheme="majorHAnsi" w:cstheme="majorHAnsi"/>
          <w:sz w:val="24"/>
          <w:szCs w:val="24"/>
          <w:lang w:val="ro-MD"/>
        </w:rPr>
        <w:t xml:space="preserve"> pentru incapacitate temporară de muncă, </w:t>
      </w:r>
      <w:r w:rsidRPr="00653E85">
        <w:rPr>
          <w:rFonts w:asciiTheme="majorHAnsi" w:hAnsiTheme="majorHAnsi" w:cstheme="majorHAnsi"/>
          <w:sz w:val="24"/>
          <w:szCs w:val="24"/>
          <w:lang w:val="ro-MD"/>
        </w:rPr>
        <w:t xml:space="preserve">sunt implicate mai multe instituții, responsabile de </w:t>
      </w:r>
      <w:r w:rsidR="00E76BA8" w:rsidRPr="00653E85">
        <w:rPr>
          <w:rFonts w:asciiTheme="majorHAnsi" w:hAnsiTheme="majorHAnsi" w:cstheme="majorHAnsi"/>
          <w:sz w:val="24"/>
          <w:szCs w:val="24"/>
          <w:lang w:val="ro-MD"/>
        </w:rPr>
        <w:t>un</w:t>
      </w:r>
      <w:r w:rsidRPr="00653E85">
        <w:rPr>
          <w:rFonts w:asciiTheme="majorHAnsi" w:hAnsiTheme="majorHAnsi" w:cstheme="majorHAnsi"/>
          <w:sz w:val="24"/>
          <w:szCs w:val="24"/>
          <w:lang w:val="ro-MD"/>
        </w:rPr>
        <w:t xml:space="preserve"> anumit segment. Astfel, </w:t>
      </w:r>
      <w:r w:rsidR="00143F9A" w:rsidRPr="00653E85">
        <w:rPr>
          <w:rFonts w:asciiTheme="majorHAnsi" w:hAnsiTheme="majorHAnsi" w:cstheme="majorHAnsi"/>
          <w:sz w:val="24"/>
          <w:szCs w:val="24"/>
          <w:lang w:val="ro-MD"/>
        </w:rPr>
        <w:t xml:space="preserve">începând cu 01.07.2019, se stabilesc de către casele teritoriale în temeiul </w:t>
      </w:r>
      <w:r w:rsidR="00E76BA8" w:rsidRPr="00653E85">
        <w:rPr>
          <w:rFonts w:asciiTheme="majorHAnsi" w:hAnsiTheme="majorHAnsi" w:cstheme="majorHAnsi"/>
          <w:sz w:val="24"/>
          <w:szCs w:val="24"/>
          <w:lang w:val="ro-MD"/>
        </w:rPr>
        <w:t>informației</w:t>
      </w:r>
      <w:r w:rsidR="00143F9A" w:rsidRPr="00653E85">
        <w:rPr>
          <w:rFonts w:asciiTheme="majorHAnsi" w:hAnsiTheme="majorHAnsi" w:cstheme="majorHAnsi"/>
          <w:sz w:val="24"/>
          <w:szCs w:val="24"/>
          <w:lang w:val="ro-MD"/>
        </w:rPr>
        <w:t xml:space="preserve"> din certificatele medicale, transmise prin intermediul conexiunilor intersistemice securizate şi autentificate prin semnătura electronică a persoanei responsabile din cadrul prestatorilor de </w:t>
      </w:r>
      <w:r w:rsidR="00E76BA8" w:rsidRPr="00653E85">
        <w:rPr>
          <w:rFonts w:asciiTheme="majorHAnsi" w:hAnsiTheme="majorHAnsi" w:cstheme="majorHAnsi"/>
          <w:sz w:val="24"/>
          <w:szCs w:val="24"/>
          <w:lang w:val="ro-MD"/>
        </w:rPr>
        <w:t>asistență</w:t>
      </w:r>
      <w:r w:rsidR="00143F9A" w:rsidRPr="00653E85">
        <w:rPr>
          <w:rFonts w:asciiTheme="majorHAnsi" w:hAnsiTheme="majorHAnsi" w:cstheme="majorHAnsi"/>
          <w:sz w:val="24"/>
          <w:szCs w:val="24"/>
          <w:lang w:val="ro-MD"/>
        </w:rPr>
        <w:t xml:space="preserve"> medicală. Ulterior, </w:t>
      </w:r>
      <w:r w:rsidR="00E76BA8" w:rsidRPr="00653E85">
        <w:rPr>
          <w:rFonts w:asciiTheme="majorHAnsi" w:hAnsiTheme="majorHAnsi" w:cstheme="majorHAnsi"/>
          <w:sz w:val="24"/>
          <w:szCs w:val="24"/>
          <w:lang w:val="ro-MD"/>
        </w:rPr>
        <w:t>indemnizația</w:t>
      </w:r>
      <w:r w:rsidR="00143F9A" w:rsidRPr="00653E85">
        <w:rPr>
          <w:rFonts w:asciiTheme="majorHAnsi" w:hAnsiTheme="majorHAnsi" w:cstheme="majorHAnsi"/>
          <w:sz w:val="24"/>
          <w:szCs w:val="24"/>
          <w:lang w:val="ro-MD"/>
        </w:rPr>
        <w:t xml:space="preserve"> se achită de către AGE prin intermediul prestatorilor de servicii de plată.</w:t>
      </w:r>
      <w:r w:rsidR="00205D36" w:rsidRPr="00653E85">
        <w:rPr>
          <w:rFonts w:asciiTheme="majorHAnsi" w:hAnsiTheme="majorHAnsi" w:cstheme="majorHAnsi"/>
          <w:sz w:val="24"/>
          <w:szCs w:val="24"/>
          <w:lang w:val="ro-MD"/>
        </w:rPr>
        <w:t xml:space="preserve"> Procesul de recepționare a informației aferente concediilor medicale este redat în figura de mai jos.</w:t>
      </w:r>
    </w:p>
    <w:p w14:paraId="29DB116E" w14:textId="4AF08E53" w:rsidR="00143F9A" w:rsidRPr="00653E85" w:rsidRDefault="00143F9A" w:rsidP="00F80827">
      <w:pPr>
        <w:spacing w:after="0" w:line="276" w:lineRule="auto"/>
        <w:jc w:val="both"/>
        <w:rPr>
          <w:rFonts w:asciiTheme="majorHAnsi" w:hAnsiTheme="majorHAnsi" w:cstheme="majorHAnsi"/>
          <w:sz w:val="24"/>
          <w:szCs w:val="24"/>
          <w:lang w:val="ro-MD"/>
        </w:rPr>
      </w:pPr>
    </w:p>
    <w:p w14:paraId="0284747C" w14:textId="0AE72BC1" w:rsidR="00F80827" w:rsidRPr="00653E85" w:rsidRDefault="00F80827" w:rsidP="00F80827">
      <w:pPr>
        <w:spacing w:after="0" w:line="276" w:lineRule="auto"/>
        <w:jc w:val="both"/>
        <w:rPr>
          <w:rFonts w:asciiTheme="majorHAnsi" w:hAnsiTheme="majorHAnsi" w:cstheme="majorHAnsi"/>
          <w:sz w:val="24"/>
          <w:szCs w:val="24"/>
          <w:lang w:val="ro-MD"/>
        </w:rPr>
      </w:pPr>
      <w:r w:rsidRPr="00653E85">
        <w:rPr>
          <w:noProof/>
          <w:lang w:val="ru-RU" w:eastAsia="ru-RU"/>
        </w:rPr>
        <w:drawing>
          <wp:inline distT="0" distB="0" distL="0" distR="0" wp14:anchorId="61864901" wp14:editId="77CDA0B4">
            <wp:extent cx="5861538" cy="3217984"/>
            <wp:effectExtent l="57150" t="38100" r="63500" b="7810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2E7575AA" w14:textId="03DC6D98" w:rsidR="00F80827" w:rsidRPr="00653E85" w:rsidRDefault="00FE1814" w:rsidP="00F80827">
      <w:pPr>
        <w:spacing w:after="0" w:line="276" w:lineRule="auto"/>
        <w:jc w:val="both"/>
        <w:rPr>
          <w:rFonts w:asciiTheme="majorHAnsi" w:hAnsiTheme="majorHAnsi" w:cstheme="majorHAnsi"/>
          <w:i/>
          <w:sz w:val="20"/>
          <w:szCs w:val="20"/>
          <w:lang w:val="ro-MD"/>
        </w:rPr>
      </w:pPr>
      <w:r w:rsidRPr="00653E85">
        <w:rPr>
          <w:rFonts w:asciiTheme="majorHAnsi" w:hAnsiTheme="majorHAnsi" w:cstheme="majorHAnsi"/>
          <w:i/>
          <w:sz w:val="20"/>
          <w:szCs w:val="20"/>
          <w:lang w:val="ro-MD"/>
        </w:rPr>
        <w:t>F</w:t>
      </w:r>
      <w:r w:rsidR="008D1DF2" w:rsidRPr="00653E85">
        <w:rPr>
          <w:rFonts w:asciiTheme="majorHAnsi" w:hAnsiTheme="majorHAnsi" w:cstheme="majorHAnsi"/>
          <w:i/>
          <w:sz w:val="20"/>
          <w:szCs w:val="20"/>
          <w:lang w:val="ro-MD"/>
        </w:rPr>
        <w:t>igura nr.5</w:t>
      </w:r>
      <w:r w:rsidR="00F80827" w:rsidRPr="00653E85">
        <w:rPr>
          <w:rFonts w:asciiTheme="majorHAnsi" w:hAnsiTheme="majorHAnsi" w:cstheme="majorHAnsi"/>
          <w:i/>
          <w:sz w:val="20"/>
          <w:szCs w:val="20"/>
          <w:lang w:val="ro-MD"/>
        </w:rPr>
        <w:t xml:space="preserve"> Procesul de recepționare a informației aferente concediilor medicale</w:t>
      </w:r>
    </w:p>
    <w:p w14:paraId="01A34FF2" w14:textId="77777777" w:rsidR="00F80827" w:rsidRPr="00653E85" w:rsidRDefault="00F80827" w:rsidP="00F80827">
      <w:pPr>
        <w:spacing w:after="0" w:line="276" w:lineRule="auto"/>
        <w:jc w:val="both"/>
        <w:rPr>
          <w:rFonts w:asciiTheme="majorHAnsi" w:hAnsiTheme="majorHAnsi" w:cstheme="majorHAnsi"/>
          <w:sz w:val="24"/>
          <w:szCs w:val="24"/>
          <w:lang w:val="ro-MD"/>
        </w:rPr>
      </w:pPr>
    </w:p>
    <w:p w14:paraId="67C7342D" w14:textId="1C7C4E02" w:rsidR="00194D58" w:rsidRPr="00653E85" w:rsidRDefault="00143F9A" w:rsidP="00F80827">
      <w:p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 xml:space="preserve">În cadrul auditării </w:t>
      </w:r>
      <w:r w:rsidR="00E76BA8" w:rsidRPr="00653E85">
        <w:rPr>
          <w:rFonts w:asciiTheme="majorHAnsi" w:hAnsiTheme="majorHAnsi" w:cstheme="majorHAnsi"/>
          <w:sz w:val="24"/>
          <w:szCs w:val="24"/>
          <w:lang w:val="ro-MD"/>
        </w:rPr>
        <w:t>indemnizațiilor</w:t>
      </w:r>
      <w:r w:rsidRPr="00653E85">
        <w:rPr>
          <w:rFonts w:asciiTheme="majorHAnsi" w:hAnsiTheme="majorHAnsi" w:cstheme="majorHAnsi"/>
          <w:sz w:val="24"/>
          <w:szCs w:val="24"/>
          <w:lang w:val="ro-MD"/>
        </w:rPr>
        <w:t xml:space="preserve"> pentru incapacitate temporară de muncă, au fost verificate 105 decizii de stabilire</w:t>
      </w:r>
      <w:r w:rsidR="00A224D3" w:rsidRPr="00653E85">
        <w:rPr>
          <w:rFonts w:asciiTheme="majorHAnsi" w:hAnsiTheme="majorHAnsi" w:cstheme="majorHAnsi"/>
          <w:sz w:val="24"/>
          <w:szCs w:val="24"/>
          <w:lang w:val="ro-MD"/>
        </w:rPr>
        <w:t>,</w:t>
      </w:r>
      <w:r w:rsidR="00CE6865" w:rsidRPr="00653E85">
        <w:rPr>
          <w:rFonts w:asciiTheme="majorHAnsi" w:hAnsiTheme="majorHAnsi" w:cstheme="majorHAnsi"/>
          <w:sz w:val="24"/>
          <w:szCs w:val="24"/>
          <w:lang w:val="ro-MD"/>
        </w:rPr>
        <w:t xml:space="preserve"> prin prisma întregului proces</w:t>
      </w:r>
      <w:r w:rsidRPr="00653E85">
        <w:rPr>
          <w:rFonts w:asciiTheme="majorHAnsi" w:hAnsiTheme="majorHAnsi" w:cstheme="majorHAnsi"/>
          <w:sz w:val="24"/>
          <w:szCs w:val="24"/>
          <w:lang w:val="ro-MD"/>
        </w:rPr>
        <w:t xml:space="preserve">. Astfel, </w:t>
      </w:r>
      <w:r w:rsidR="00194D58" w:rsidRPr="00653E85">
        <w:rPr>
          <w:rFonts w:asciiTheme="majorHAnsi" w:hAnsiTheme="majorHAnsi" w:cstheme="majorHAnsi"/>
          <w:sz w:val="24"/>
          <w:szCs w:val="24"/>
          <w:lang w:val="ro-MD"/>
        </w:rPr>
        <w:t xml:space="preserve">în 79 </w:t>
      </w:r>
      <w:r w:rsidR="00A224D3" w:rsidRPr="00653E85">
        <w:rPr>
          <w:rFonts w:asciiTheme="majorHAnsi" w:hAnsiTheme="majorHAnsi" w:cstheme="majorHAnsi"/>
          <w:sz w:val="24"/>
          <w:szCs w:val="24"/>
          <w:lang w:val="ro-MD"/>
        </w:rPr>
        <w:t xml:space="preserve">de </w:t>
      </w:r>
      <w:r w:rsidR="00194D58" w:rsidRPr="00653E85">
        <w:rPr>
          <w:rFonts w:asciiTheme="majorHAnsi" w:hAnsiTheme="majorHAnsi" w:cstheme="majorHAnsi"/>
          <w:sz w:val="24"/>
          <w:szCs w:val="24"/>
          <w:lang w:val="ro-MD"/>
        </w:rPr>
        <w:t>cazuri</w:t>
      </w:r>
      <w:r w:rsidR="00A224D3" w:rsidRPr="00653E85">
        <w:rPr>
          <w:rFonts w:asciiTheme="majorHAnsi" w:hAnsiTheme="majorHAnsi" w:cstheme="majorHAnsi"/>
          <w:sz w:val="24"/>
          <w:szCs w:val="24"/>
          <w:lang w:val="ro-MD"/>
        </w:rPr>
        <w:t>,</w:t>
      </w:r>
      <w:r w:rsidR="00194D58" w:rsidRPr="00653E85">
        <w:rPr>
          <w:rFonts w:asciiTheme="majorHAnsi" w:hAnsiTheme="majorHAnsi" w:cstheme="majorHAnsi"/>
          <w:sz w:val="24"/>
          <w:szCs w:val="24"/>
          <w:lang w:val="ro-MD"/>
        </w:rPr>
        <w:t xml:space="preserve"> sau 75%, </w:t>
      </w:r>
      <w:r w:rsidR="00CE6865" w:rsidRPr="00653E85">
        <w:rPr>
          <w:rFonts w:asciiTheme="majorHAnsi" w:hAnsiTheme="majorHAnsi" w:cstheme="majorHAnsi"/>
          <w:sz w:val="24"/>
          <w:szCs w:val="24"/>
          <w:lang w:val="ro-MD"/>
        </w:rPr>
        <w:t xml:space="preserve">serviciile de acordare/plată a indemnizațiilor către beneficiar au fost afectate de acordarea tardivă </w:t>
      </w:r>
      <w:r w:rsidR="00194D58" w:rsidRPr="00653E85">
        <w:rPr>
          <w:rFonts w:asciiTheme="majorHAnsi" w:hAnsiTheme="majorHAnsi" w:cstheme="majorHAnsi"/>
          <w:sz w:val="24"/>
          <w:szCs w:val="24"/>
          <w:lang w:val="ro-MD"/>
        </w:rPr>
        <w:t xml:space="preserve">de la </w:t>
      </w:r>
      <w:r w:rsidR="00727823" w:rsidRPr="00653E85">
        <w:rPr>
          <w:rFonts w:asciiTheme="majorHAnsi" w:hAnsiTheme="majorHAnsi" w:cstheme="majorHAnsi"/>
          <w:sz w:val="24"/>
          <w:szCs w:val="24"/>
          <w:lang w:val="ro-MD"/>
        </w:rPr>
        <w:t>1 zi</w:t>
      </w:r>
      <w:r w:rsidR="00194D58" w:rsidRPr="00653E85">
        <w:rPr>
          <w:rFonts w:asciiTheme="majorHAnsi" w:hAnsiTheme="majorHAnsi" w:cstheme="majorHAnsi"/>
          <w:sz w:val="24"/>
          <w:szCs w:val="24"/>
          <w:lang w:val="ro-MD"/>
        </w:rPr>
        <w:t xml:space="preserve"> </w:t>
      </w:r>
      <w:r w:rsidR="00E76BA8" w:rsidRPr="00653E85">
        <w:rPr>
          <w:rFonts w:asciiTheme="majorHAnsi" w:hAnsiTheme="majorHAnsi" w:cstheme="majorHAnsi"/>
          <w:sz w:val="24"/>
          <w:szCs w:val="24"/>
          <w:lang w:val="ro-MD"/>
        </w:rPr>
        <w:t>până</w:t>
      </w:r>
      <w:r w:rsidR="00194D58" w:rsidRPr="00653E85">
        <w:rPr>
          <w:rFonts w:asciiTheme="majorHAnsi" w:hAnsiTheme="majorHAnsi" w:cstheme="majorHAnsi"/>
          <w:sz w:val="24"/>
          <w:szCs w:val="24"/>
          <w:lang w:val="ro-MD"/>
        </w:rPr>
        <w:t xml:space="preserve"> la 466 </w:t>
      </w:r>
      <w:r w:rsidR="00A224D3" w:rsidRPr="00653E85">
        <w:rPr>
          <w:rFonts w:asciiTheme="majorHAnsi" w:hAnsiTheme="majorHAnsi" w:cstheme="majorHAnsi"/>
          <w:sz w:val="24"/>
          <w:szCs w:val="24"/>
          <w:lang w:val="ro-MD"/>
        </w:rPr>
        <w:t xml:space="preserve">de </w:t>
      </w:r>
      <w:r w:rsidR="00194D58" w:rsidRPr="00653E85">
        <w:rPr>
          <w:rFonts w:asciiTheme="majorHAnsi" w:hAnsiTheme="majorHAnsi" w:cstheme="majorHAnsi"/>
          <w:sz w:val="24"/>
          <w:szCs w:val="24"/>
          <w:lang w:val="ro-MD"/>
        </w:rPr>
        <w:t>zile (sau 1 an și 3 luni). Printre motivele de bază</w:t>
      </w:r>
      <w:r w:rsidR="00A224D3" w:rsidRPr="00653E85">
        <w:rPr>
          <w:rFonts w:asciiTheme="majorHAnsi" w:hAnsiTheme="majorHAnsi" w:cstheme="majorHAnsi"/>
          <w:sz w:val="24"/>
          <w:szCs w:val="24"/>
          <w:lang w:val="ro-MD"/>
        </w:rPr>
        <w:t>,</w:t>
      </w:r>
      <w:r w:rsidR="00194D58" w:rsidRPr="00653E85">
        <w:rPr>
          <w:rFonts w:asciiTheme="majorHAnsi" w:hAnsiTheme="majorHAnsi" w:cstheme="majorHAnsi"/>
          <w:sz w:val="24"/>
          <w:szCs w:val="24"/>
          <w:lang w:val="ro-MD"/>
        </w:rPr>
        <w:t xml:space="preserve"> se menționează:</w:t>
      </w:r>
    </w:p>
    <w:p w14:paraId="73C94707" w14:textId="572FDE6E" w:rsidR="009030C4" w:rsidRPr="00736448" w:rsidRDefault="00040D51" w:rsidP="00E46FC8">
      <w:pPr>
        <w:pStyle w:val="aa"/>
        <w:numPr>
          <w:ilvl w:val="0"/>
          <w:numId w:val="7"/>
        </w:numPr>
        <w:spacing w:after="0" w:line="276" w:lineRule="auto"/>
        <w:jc w:val="both"/>
        <w:rPr>
          <w:rFonts w:asciiTheme="majorHAnsi" w:hAnsiTheme="majorHAnsi" w:cstheme="majorHAnsi"/>
          <w:sz w:val="24"/>
          <w:szCs w:val="24"/>
          <w:lang w:val="ro-MD"/>
        </w:rPr>
      </w:pPr>
      <w:r w:rsidRPr="00653E85">
        <w:rPr>
          <w:rFonts w:asciiTheme="majorHAnsi" w:hAnsiTheme="majorHAnsi" w:cstheme="majorHAnsi"/>
          <w:sz w:val="24"/>
          <w:szCs w:val="24"/>
          <w:lang w:val="ro-MD"/>
        </w:rPr>
        <w:t>în 59 de cazuri</w:t>
      </w:r>
      <w:r w:rsidR="00A224D3" w:rsidRPr="00653E85">
        <w:rPr>
          <w:rFonts w:asciiTheme="majorHAnsi" w:hAnsiTheme="majorHAnsi" w:cstheme="majorHAnsi"/>
          <w:sz w:val="24"/>
          <w:szCs w:val="24"/>
          <w:lang w:val="ro-MD"/>
        </w:rPr>
        <w:t>,</w:t>
      </w:r>
      <w:r w:rsidRPr="00653E85">
        <w:rPr>
          <w:rFonts w:asciiTheme="majorHAnsi" w:hAnsiTheme="majorHAnsi" w:cstheme="majorHAnsi"/>
          <w:sz w:val="24"/>
          <w:szCs w:val="24"/>
          <w:lang w:val="ro-MD"/>
        </w:rPr>
        <w:t xml:space="preserve"> auditul a stabilit transmiterea informației din certificatele de concediu medical cu </w:t>
      </w:r>
      <w:r w:rsidR="00E76BA8" w:rsidRPr="00FE54EB">
        <w:rPr>
          <w:rFonts w:asciiTheme="majorHAnsi" w:hAnsiTheme="majorHAnsi" w:cstheme="majorHAnsi"/>
          <w:sz w:val="24"/>
          <w:szCs w:val="24"/>
          <w:lang w:val="ro-MD"/>
        </w:rPr>
        <w:t>întârziere</w:t>
      </w:r>
      <w:r w:rsidRPr="00FE54EB">
        <w:rPr>
          <w:rFonts w:asciiTheme="majorHAnsi" w:hAnsiTheme="majorHAnsi" w:cstheme="majorHAnsi"/>
          <w:sz w:val="24"/>
          <w:szCs w:val="24"/>
          <w:lang w:val="ro-MD"/>
        </w:rPr>
        <w:t xml:space="preserve"> de la </w:t>
      </w:r>
      <w:r w:rsidR="000F0E02" w:rsidRPr="00FE54EB">
        <w:rPr>
          <w:rFonts w:asciiTheme="majorHAnsi" w:hAnsiTheme="majorHAnsi" w:cstheme="majorHAnsi"/>
          <w:sz w:val="24"/>
          <w:szCs w:val="24"/>
          <w:lang w:val="ro-MD"/>
        </w:rPr>
        <w:t xml:space="preserve">1 zi </w:t>
      </w:r>
      <w:r w:rsidR="00E76BA8" w:rsidRPr="00FE54EB">
        <w:rPr>
          <w:rFonts w:asciiTheme="majorHAnsi" w:hAnsiTheme="majorHAnsi" w:cstheme="majorHAnsi"/>
          <w:sz w:val="24"/>
          <w:szCs w:val="24"/>
          <w:lang w:val="ro-MD"/>
        </w:rPr>
        <w:t>până</w:t>
      </w:r>
      <w:r w:rsidRPr="00FE54EB">
        <w:rPr>
          <w:rFonts w:asciiTheme="majorHAnsi" w:hAnsiTheme="majorHAnsi" w:cstheme="majorHAnsi"/>
          <w:sz w:val="24"/>
          <w:szCs w:val="24"/>
          <w:lang w:val="ro-MD"/>
        </w:rPr>
        <w:t xml:space="preserve"> la 365 </w:t>
      </w:r>
      <w:r w:rsidR="00A224D3" w:rsidRPr="00FE54EB">
        <w:rPr>
          <w:rFonts w:asciiTheme="majorHAnsi" w:hAnsiTheme="majorHAnsi" w:cstheme="majorHAnsi"/>
          <w:sz w:val="24"/>
          <w:szCs w:val="24"/>
          <w:lang w:val="ro-MD"/>
        </w:rPr>
        <w:t xml:space="preserve">de </w:t>
      </w:r>
      <w:r w:rsidRPr="00FE54EB">
        <w:rPr>
          <w:rFonts w:asciiTheme="majorHAnsi" w:hAnsiTheme="majorHAnsi" w:cstheme="majorHAnsi"/>
          <w:sz w:val="24"/>
          <w:szCs w:val="24"/>
          <w:lang w:val="ro-MD"/>
        </w:rPr>
        <w:t>zile, deși actele normative prevăd înregistrarea și transmiterea datelor în termen de cel mult 5 zile</w:t>
      </w:r>
      <w:r w:rsidRPr="00653E85">
        <w:rPr>
          <w:rFonts w:asciiTheme="majorHAnsi" w:hAnsiTheme="majorHAnsi" w:cstheme="majorHAnsi"/>
          <w:sz w:val="24"/>
          <w:szCs w:val="24"/>
          <w:lang w:val="ro-MD"/>
        </w:rPr>
        <w:t xml:space="preserve"> de la data închiderii certificatului medical. Aceasta a determinat întârzierea calculării şi neplata în termen a </w:t>
      </w:r>
      <w:r w:rsidR="00E76BA8" w:rsidRPr="00653E85">
        <w:rPr>
          <w:rFonts w:asciiTheme="majorHAnsi" w:hAnsiTheme="majorHAnsi" w:cstheme="majorHAnsi"/>
          <w:sz w:val="24"/>
          <w:szCs w:val="24"/>
          <w:lang w:val="ro-MD"/>
        </w:rPr>
        <w:t>prestației</w:t>
      </w:r>
      <w:r w:rsidRPr="00653E85">
        <w:rPr>
          <w:rFonts w:asciiTheme="majorHAnsi" w:hAnsiTheme="majorHAnsi" w:cstheme="majorHAnsi"/>
          <w:sz w:val="24"/>
          <w:szCs w:val="24"/>
          <w:lang w:val="ro-MD"/>
        </w:rPr>
        <w:t xml:space="preserve"> sociale în sumă de 168,3 mii lei. </w:t>
      </w:r>
      <w:r w:rsidRPr="00736448">
        <w:rPr>
          <w:rFonts w:asciiTheme="majorHAnsi" w:hAnsiTheme="majorHAnsi" w:cstheme="majorHAnsi"/>
          <w:sz w:val="24"/>
          <w:szCs w:val="24"/>
          <w:lang w:val="ro-MD"/>
        </w:rPr>
        <w:t>În acest context, auditul a solicitat explicațiile prestatorilor de servicii medicale vizate. Astfel, se denotă că în 5 cazuri persoanele responsabile din instituțiile medicale nu au asigurat introducerea informației în termenul aprobat, iar în celelalte s-a constat</w:t>
      </w:r>
      <w:r w:rsidR="00A224D3" w:rsidRPr="00736448">
        <w:rPr>
          <w:rFonts w:asciiTheme="majorHAnsi" w:hAnsiTheme="majorHAnsi" w:cstheme="majorHAnsi"/>
          <w:sz w:val="24"/>
          <w:szCs w:val="24"/>
          <w:lang w:val="ro-MD"/>
        </w:rPr>
        <w:t>at</w:t>
      </w:r>
      <w:r w:rsidRPr="00736448">
        <w:rPr>
          <w:rFonts w:asciiTheme="majorHAnsi" w:hAnsiTheme="majorHAnsi" w:cstheme="majorHAnsi"/>
          <w:sz w:val="24"/>
          <w:szCs w:val="24"/>
          <w:lang w:val="ro-MD"/>
        </w:rPr>
        <w:t xml:space="preserve"> disfuncționalități ale SI. La introducerea certificatelor medicale cu statut de continuare, instituțiile medicale înt</w:t>
      </w:r>
      <w:r w:rsidRPr="00B7675F">
        <w:rPr>
          <w:rFonts w:asciiTheme="majorHAnsi" w:hAnsiTheme="majorHAnsi" w:cstheme="majorHAnsi"/>
          <w:sz w:val="24"/>
          <w:szCs w:val="24"/>
          <w:lang w:val="ro-MD"/>
        </w:rPr>
        <w:t>â</w:t>
      </w:r>
      <w:r w:rsidRPr="00736448">
        <w:rPr>
          <w:rFonts w:asciiTheme="majorHAnsi" w:hAnsiTheme="majorHAnsi" w:cstheme="majorHAnsi"/>
          <w:sz w:val="24"/>
          <w:szCs w:val="24"/>
          <w:lang w:val="ro-MD"/>
        </w:rPr>
        <w:t>mpină dificultăți. Cu toate că introducerea certificatelor medicale cu statut de continuare a fost asigurată în termen și incluse în Portal, validarea și transmiterea acestora cu întârziere a fost condiționată de statutul certificatului medical primar. Astfel, s-a constat</w:t>
      </w:r>
      <w:r w:rsidR="00E76BA8" w:rsidRPr="00736448">
        <w:rPr>
          <w:rFonts w:asciiTheme="majorHAnsi" w:hAnsiTheme="majorHAnsi" w:cstheme="majorHAnsi"/>
          <w:sz w:val="24"/>
          <w:szCs w:val="24"/>
          <w:lang w:val="ro-MD"/>
        </w:rPr>
        <w:t>at</w:t>
      </w:r>
      <w:r w:rsidRPr="00736448">
        <w:rPr>
          <w:rFonts w:asciiTheme="majorHAnsi" w:hAnsiTheme="majorHAnsi" w:cstheme="majorHAnsi"/>
          <w:sz w:val="24"/>
          <w:szCs w:val="24"/>
          <w:lang w:val="ro-MD"/>
        </w:rPr>
        <w:t xml:space="preserve"> că informația în extrasul de cont conținea erori </w:t>
      </w:r>
      <w:r w:rsidR="009030C4" w:rsidRPr="00736448">
        <w:rPr>
          <w:rFonts w:asciiTheme="majorHAnsi" w:hAnsiTheme="majorHAnsi" w:cstheme="majorHAnsi"/>
          <w:sz w:val="24"/>
          <w:szCs w:val="24"/>
          <w:lang w:val="ro-MD"/>
        </w:rPr>
        <w:t>admise de angajator, care au determinat CNAS să emită refuz de stabilire.</w:t>
      </w:r>
      <w:r w:rsidRPr="00736448">
        <w:rPr>
          <w:rFonts w:asciiTheme="majorHAnsi" w:hAnsiTheme="majorHAnsi" w:cstheme="majorHAnsi"/>
          <w:sz w:val="24"/>
          <w:szCs w:val="24"/>
          <w:lang w:val="ro-MD"/>
        </w:rPr>
        <w:t xml:space="preserve"> Decizia de refuz în stabilirea indemnizației, în cazul certificatului medical primar introdus, restricționa transmiterea în termen a certificatului medical cu statut de continuare. Menționăm că</w:t>
      </w:r>
      <w:r w:rsidR="00A224D3"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potrivit pct. 8 din Ordinul MSMPS nr. 933 din 15.08.2019  </w:t>
      </w:r>
      <w:r w:rsidR="00A224D3"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Cu privire la aprobarea Regulamentului privind </w:t>
      </w:r>
      <w:r w:rsidR="00E76BA8" w:rsidRPr="00736448">
        <w:rPr>
          <w:rFonts w:asciiTheme="majorHAnsi" w:hAnsiTheme="majorHAnsi" w:cstheme="majorHAnsi"/>
          <w:sz w:val="24"/>
          <w:szCs w:val="24"/>
          <w:lang w:val="ro-MD"/>
        </w:rPr>
        <w:t>organizarea</w:t>
      </w:r>
      <w:r w:rsidRPr="00736448">
        <w:rPr>
          <w:rFonts w:asciiTheme="majorHAnsi" w:hAnsiTheme="majorHAnsi" w:cstheme="majorHAnsi"/>
          <w:sz w:val="24"/>
          <w:szCs w:val="24"/>
          <w:lang w:val="ro-MD"/>
        </w:rPr>
        <w:t xml:space="preserve"> și funcționarea Portalului certificatelor medicale”</w:t>
      </w:r>
      <w:r w:rsidR="00AB48B2"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w:t>
      </w:r>
      <w:r w:rsidR="00AB48B2"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Deținătorul Portalului este CNAM”. </w:t>
      </w:r>
      <w:r w:rsidR="00F6469F" w:rsidRPr="00736448">
        <w:rPr>
          <w:rFonts w:asciiTheme="majorHAnsi" w:hAnsiTheme="majorHAnsi" w:cstheme="majorHAnsi"/>
          <w:sz w:val="24"/>
          <w:szCs w:val="24"/>
          <w:lang w:val="ro-MD"/>
        </w:rPr>
        <w:t>Prin urmare, sistemul informațional imperfect</w:t>
      </w:r>
      <w:r w:rsidR="00AB48B2" w:rsidRPr="00736448">
        <w:rPr>
          <w:rFonts w:asciiTheme="majorHAnsi" w:hAnsiTheme="majorHAnsi" w:cstheme="majorHAnsi"/>
          <w:sz w:val="24"/>
          <w:szCs w:val="24"/>
          <w:lang w:val="ro-MD"/>
        </w:rPr>
        <w:t>,</w:t>
      </w:r>
      <w:r w:rsidR="00F6469F" w:rsidRPr="00736448">
        <w:rPr>
          <w:rFonts w:asciiTheme="majorHAnsi" w:hAnsiTheme="majorHAnsi" w:cstheme="majorHAnsi"/>
          <w:sz w:val="24"/>
          <w:szCs w:val="24"/>
          <w:lang w:val="ro-MD"/>
        </w:rPr>
        <w:t xml:space="preserve"> precum și iresponsabilitatea factorilor implicați nu a</w:t>
      </w:r>
      <w:r w:rsidR="00AB48B2" w:rsidRPr="00736448">
        <w:rPr>
          <w:rFonts w:asciiTheme="majorHAnsi" w:hAnsiTheme="majorHAnsi" w:cstheme="majorHAnsi"/>
          <w:sz w:val="24"/>
          <w:szCs w:val="24"/>
          <w:lang w:val="ro-MD"/>
        </w:rPr>
        <w:t>u</w:t>
      </w:r>
      <w:r w:rsidR="00F6469F" w:rsidRPr="00736448">
        <w:rPr>
          <w:rFonts w:asciiTheme="majorHAnsi" w:hAnsiTheme="majorHAnsi" w:cstheme="majorHAnsi"/>
          <w:sz w:val="24"/>
          <w:szCs w:val="24"/>
          <w:lang w:val="ro-MD"/>
        </w:rPr>
        <w:t xml:space="preserve"> asigurat acordarea/plata în termen a indemnizației către beneficiarul aflat în incapacitate de muncă.</w:t>
      </w:r>
    </w:p>
    <w:p w14:paraId="5EA6E9DB" w14:textId="5EA53B23" w:rsidR="00040D51" w:rsidRPr="00736448" w:rsidRDefault="00AB48B2" w:rsidP="009030C4">
      <w:pPr>
        <w:pStyle w:val="aa"/>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Ca u</w:t>
      </w:r>
      <w:r w:rsidR="009030C4" w:rsidRPr="00736448">
        <w:rPr>
          <w:rFonts w:asciiTheme="majorHAnsi" w:hAnsiTheme="majorHAnsi" w:cstheme="majorHAnsi"/>
          <w:sz w:val="24"/>
          <w:szCs w:val="24"/>
          <w:lang w:val="ro-MD"/>
        </w:rPr>
        <w:t>rmare a sesizărilor IMSP</w:t>
      </w:r>
      <w:r w:rsidRPr="00736448">
        <w:rPr>
          <w:rFonts w:asciiTheme="majorHAnsi" w:hAnsiTheme="majorHAnsi" w:cstheme="majorHAnsi"/>
          <w:sz w:val="24"/>
          <w:szCs w:val="24"/>
          <w:lang w:val="ro-MD"/>
        </w:rPr>
        <w:t>,</w:t>
      </w:r>
      <w:r w:rsidR="00F6469F" w:rsidRPr="00736448">
        <w:rPr>
          <w:rFonts w:asciiTheme="majorHAnsi" w:hAnsiTheme="majorHAnsi" w:cstheme="majorHAnsi"/>
          <w:sz w:val="24"/>
          <w:szCs w:val="24"/>
          <w:lang w:val="ro-MD"/>
        </w:rPr>
        <w:t xml:space="preserve"> câ</w:t>
      </w:r>
      <w:r w:rsidR="009030C4" w:rsidRPr="00736448">
        <w:rPr>
          <w:rFonts w:asciiTheme="majorHAnsi" w:hAnsiTheme="majorHAnsi" w:cstheme="majorHAnsi"/>
          <w:sz w:val="24"/>
          <w:szCs w:val="24"/>
          <w:lang w:val="ro-MD"/>
        </w:rPr>
        <w:t>t și a</w:t>
      </w:r>
      <w:r w:rsidR="00EA6F56">
        <w:rPr>
          <w:rFonts w:asciiTheme="majorHAnsi" w:hAnsiTheme="majorHAnsi" w:cstheme="majorHAnsi"/>
          <w:sz w:val="24"/>
          <w:szCs w:val="24"/>
          <w:lang w:val="ro-MD"/>
        </w:rPr>
        <w:t>le</w:t>
      </w:r>
      <w:r w:rsidR="009030C4" w:rsidRPr="00736448">
        <w:rPr>
          <w:rFonts w:asciiTheme="majorHAnsi" w:hAnsiTheme="majorHAnsi" w:cstheme="majorHAnsi"/>
          <w:sz w:val="24"/>
          <w:szCs w:val="24"/>
          <w:lang w:val="ro-MD"/>
        </w:rPr>
        <w:t xml:space="preserve"> beneficiarilor privind lipsa acordării indemnizației în termen, au fost </w:t>
      </w:r>
      <w:r w:rsidR="00F6469F" w:rsidRPr="00736448">
        <w:rPr>
          <w:rFonts w:asciiTheme="majorHAnsi" w:hAnsiTheme="majorHAnsi" w:cstheme="majorHAnsi"/>
          <w:sz w:val="24"/>
          <w:szCs w:val="24"/>
          <w:lang w:val="ro-MD"/>
        </w:rPr>
        <w:t xml:space="preserve">elaborate modificări și </w:t>
      </w:r>
      <w:r w:rsidRPr="00736448">
        <w:rPr>
          <w:rFonts w:asciiTheme="majorHAnsi" w:hAnsiTheme="majorHAnsi" w:cstheme="majorHAnsi"/>
          <w:sz w:val="24"/>
          <w:szCs w:val="24"/>
          <w:lang w:val="ro-MD"/>
        </w:rPr>
        <w:t>„</w:t>
      </w:r>
      <w:r w:rsidR="00040D51" w:rsidRPr="00736448">
        <w:rPr>
          <w:rFonts w:asciiTheme="majorHAnsi" w:hAnsiTheme="majorHAnsi" w:cstheme="majorHAnsi"/>
          <w:sz w:val="24"/>
          <w:szCs w:val="24"/>
          <w:lang w:val="ro-MD"/>
        </w:rPr>
        <w:t xml:space="preserve">eliminată restricția de înregistrare a certificatelor de concediu medical cu statut de </w:t>
      </w:r>
      <w:r w:rsidR="00E76BA8" w:rsidRPr="00736448">
        <w:rPr>
          <w:rFonts w:asciiTheme="majorHAnsi" w:hAnsiTheme="majorHAnsi" w:cstheme="majorHAnsi"/>
          <w:sz w:val="24"/>
          <w:szCs w:val="24"/>
          <w:lang w:val="ro-MD"/>
        </w:rPr>
        <w:t>continuare</w:t>
      </w:r>
      <w:r w:rsidR="00040D51" w:rsidRPr="00736448">
        <w:rPr>
          <w:rFonts w:asciiTheme="majorHAnsi" w:hAnsiTheme="majorHAnsi" w:cstheme="majorHAnsi"/>
          <w:sz w:val="24"/>
          <w:szCs w:val="24"/>
          <w:lang w:val="ro-MD"/>
        </w:rPr>
        <w:t>, dacă pentru certificatul medical anterior a fost aprobată decizi</w:t>
      </w:r>
      <w:r w:rsidRPr="00736448">
        <w:rPr>
          <w:rFonts w:asciiTheme="majorHAnsi" w:hAnsiTheme="majorHAnsi" w:cstheme="majorHAnsi"/>
          <w:sz w:val="24"/>
          <w:szCs w:val="24"/>
          <w:lang w:val="ro-MD"/>
        </w:rPr>
        <w:t>a</w:t>
      </w:r>
      <w:r w:rsidR="00040D51" w:rsidRPr="00736448">
        <w:rPr>
          <w:rFonts w:asciiTheme="majorHAnsi" w:hAnsiTheme="majorHAnsi" w:cstheme="majorHAnsi"/>
          <w:sz w:val="24"/>
          <w:szCs w:val="24"/>
          <w:lang w:val="ro-MD"/>
        </w:rPr>
        <w:t xml:space="preserve"> de refuz în stabilire”</w:t>
      </w:r>
      <w:r w:rsidR="009030C4" w:rsidRPr="00736448">
        <w:rPr>
          <w:rStyle w:val="a5"/>
          <w:rFonts w:asciiTheme="majorHAnsi" w:hAnsiTheme="majorHAnsi" w:cstheme="majorHAnsi"/>
          <w:sz w:val="24"/>
          <w:szCs w:val="24"/>
          <w:lang w:val="ro-MD"/>
        </w:rPr>
        <w:footnoteReference w:id="78"/>
      </w:r>
      <w:r w:rsidR="00040D51" w:rsidRPr="00736448">
        <w:rPr>
          <w:rFonts w:asciiTheme="majorHAnsi" w:hAnsiTheme="majorHAnsi" w:cstheme="majorHAnsi"/>
          <w:sz w:val="24"/>
          <w:szCs w:val="24"/>
          <w:lang w:val="ro-MD"/>
        </w:rPr>
        <w:t xml:space="preserve">. Această modificare în algoritmul Portalului va permite validarea și </w:t>
      </w:r>
      <w:r w:rsidR="00E76BA8" w:rsidRPr="00736448">
        <w:rPr>
          <w:rFonts w:asciiTheme="majorHAnsi" w:hAnsiTheme="majorHAnsi" w:cstheme="majorHAnsi"/>
          <w:sz w:val="24"/>
          <w:szCs w:val="24"/>
          <w:lang w:val="ro-MD"/>
        </w:rPr>
        <w:t>transmiterea</w:t>
      </w:r>
      <w:r w:rsidR="00040D51" w:rsidRPr="00736448">
        <w:rPr>
          <w:rFonts w:asciiTheme="majorHAnsi" w:hAnsiTheme="majorHAnsi" w:cstheme="majorHAnsi"/>
          <w:sz w:val="24"/>
          <w:szCs w:val="24"/>
          <w:lang w:val="ro-MD"/>
        </w:rPr>
        <w:t xml:space="preserve"> în termen a certificatelor medicale</w:t>
      </w:r>
      <w:r w:rsidRPr="00736448">
        <w:rPr>
          <w:rFonts w:asciiTheme="majorHAnsi" w:hAnsiTheme="majorHAnsi" w:cstheme="majorHAnsi"/>
          <w:sz w:val="24"/>
          <w:szCs w:val="24"/>
          <w:lang w:val="ro-MD"/>
        </w:rPr>
        <w:t>;</w:t>
      </w:r>
    </w:p>
    <w:p w14:paraId="4C73E53A" w14:textId="50B48422" w:rsidR="00061CCE" w:rsidRPr="00736448" w:rsidRDefault="00061CCE" w:rsidP="00061CCE">
      <w:pPr>
        <w:pStyle w:val="aa"/>
        <w:numPr>
          <w:ilvl w:val="0"/>
          <w:numId w:val="3"/>
        </w:numPr>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în alte </w:t>
      </w:r>
      <w:r w:rsidRPr="00736448">
        <w:rPr>
          <w:rFonts w:asciiTheme="majorHAnsi" w:eastAsia="Calibri" w:hAnsiTheme="majorHAnsi" w:cstheme="majorHAnsi"/>
          <w:noProof/>
          <w:sz w:val="24"/>
          <w:szCs w:val="24"/>
          <w:lang w:val="ro-MD"/>
        </w:rPr>
        <w:t>20 de cazuri, deciziile au fost aprobate tardiv de către CNAS</w:t>
      </w:r>
      <w:r w:rsidR="00AB48B2" w:rsidRPr="00736448">
        <w:rPr>
          <w:rFonts w:asciiTheme="majorHAnsi" w:eastAsia="Calibri" w:hAnsiTheme="majorHAnsi" w:cstheme="majorHAnsi"/>
          <w:noProof/>
          <w:sz w:val="24"/>
          <w:szCs w:val="24"/>
          <w:lang w:val="ro-MD"/>
        </w:rPr>
        <w:t>,</w:t>
      </w:r>
      <w:r w:rsidRPr="00736448">
        <w:rPr>
          <w:rFonts w:asciiTheme="majorHAnsi" w:eastAsia="Calibri" w:hAnsiTheme="majorHAnsi" w:cstheme="majorHAnsi"/>
          <w:noProof/>
          <w:sz w:val="24"/>
          <w:szCs w:val="24"/>
          <w:lang w:val="ro-MD"/>
        </w:rPr>
        <w:t xml:space="preserve"> de la 13 la 466 </w:t>
      </w:r>
      <w:r w:rsidR="00AB48B2" w:rsidRPr="00736448">
        <w:rPr>
          <w:rFonts w:asciiTheme="majorHAnsi" w:eastAsia="Calibri" w:hAnsiTheme="majorHAnsi" w:cstheme="majorHAnsi"/>
          <w:noProof/>
          <w:sz w:val="24"/>
          <w:szCs w:val="24"/>
          <w:lang w:val="ro-MD"/>
        </w:rPr>
        <w:t xml:space="preserve">de </w:t>
      </w:r>
      <w:r w:rsidRPr="00736448">
        <w:rPr>
          <w:rFonts w:asciiTheme="majorHAnsi" w:eastAsia="Calibri" w:hAnsiTheme="majorHAnsi" w:cstheme="majorHAnsi"/>
          <w:noProof/>
          <w:sz w:val="24"/>
          <w:szCs w:val="24"/>
          <w:lang w:val="ro-MD"/>
        </w:rPr>
        <w:t>zile înt</w:t>
      </w:r>
      <w:r w:rsidR="00AB48B2" w:rsidRPr="00736448">
        <w:rPr>
          <w:rFonts w:asciiTheme="majorHAnsi" w:eastAsia="Calibri" w:hAnsiTheme="majorHAnsi" w:cstheme="majorHAnsi"/>
          <w:noProof/>
          <w:sz w:val="24"/>
          <w:szCs w:val="24"/>
          <w:lang w:val="ro-MD"/>
        </w:rPr>
        <w:t>â</w:t>
      </w:r>
      <w:r w:rsidRPr="00736448">
        <w:rPr>
          <w:rFonts w:asciiTheme="majorHAnsi" w:eastAsia="Calibri" w:hAnsiTheme="majorHAnsi" w:cstheme="majorHAnsi"/>
          <w:noProof/>
          <w:sz w:val="24"/>
          <w:szCs w:val="24"/>
          <w:lang w:val="ro-MD"/>
        </w:rPr>
        <w:t>rziere, afect</w:t>
      </w:r>
      <w:r w:rsidR="00AB48B2" w:rsidRPr="00736448">
        <w:rPr>
          <w:rFonts w:asciiTheme="majorHAnsi" w:eastAsia="Calibri" w:hAnsiTheme="majorHAnsi" w:cstheme="majorHAnsi"/>
          <w:noProof/>
          <w:sz w:val="24"/>
          <w:szCs w:val="24"/>
          <w:lang w:val="ro-MD"/>
        </w:rPr>
        <w:t>â</w:t>
      </w:r>
      <w:r w:rsidRPr="00736448">
        <w:rPr>
          <w:rFonts w:asciiTheme="majorHAnsi" w:eastAsia="Calibri" w:hAnsiTheme="majorHAnsi" w:cstheme="majorHAnsi"/>
          <w:noProof/>
          <w:sz w:val="24"/>
          <w:szCs w:val="24"/>
          <w:lang w:val="ro-MD"/>
        </w:rPr>
        <w:t>nd dreptul beneficiarului de a primi în timp util indemnizația pentru incapacitate temporară de muncă în sumă de 67,6 mii lei. Potrivit explicațiilor CNAS, la recepționarea datelor din certifictele medicale au fost emise decizii de refuz în stabilirea indemnizației, pe motiv că în contu</w:t>
      </w:r>
      <w:r w:rsidR="00F7511C" w:rsidRPr="00736448">
        <w:rPr>
          <w:rFonts w:asciiTheme="majorHAnsi" w:eastAsia="Calibri" w:hAnsiTheme="majorHAnsi" w:cstheme="majorHAnsi"/>
          <w:noProof/>
          <w:sz w:val="24"/>
          <w:szCs w:val="24"/>
          <w:lang w:val="ro-MD"/>
        </w:rPr>
        <w:t>ri</w:t>
      </w:r>
      <w:r w:rsidRPr="00736448">
        <w:rPr>
          <w:rFonts w:asciiTheme="majorHAnsi" w:eastAsia="Calibri" w:hAnsiTheme="majorHAnsi" w:cstheme="majorHAnsi"/>
          <w:noProof/>
          <w:sz w:val="24"/>
          <w:szCs w:val="24"/>
          <w:lang w:val="ro-MD"/>
        </w:rPr>
        <w:t>l</w:t>
      </w:r>
      <w:r w:rsidR="00F7511C" w:rsidRPr="00736448">
        <w:rPr>
          <w:rFonts w:asciiTheme="majorHAnsi" w:eastAsia="Calibri" w:hAnsiTheme="majorHAnsi" w:cstheme="majorHAnsi"/>
          <w:noProof/>
          <w:sz w:val="24"/>
          <w:szCs w:val="24"/>
          <w:lang w:val="ro-MD"/>
        </w:rPr>
        <w:t>e</w:t>
      </w:r>
      <w:r w:rsidRPr="00736448">
        <w:rPr>
          <w:rFonts w:asciiTheme="majorHAnsi" w:eastAsia="Calibri" w:hAnsiTheme="majorHAnsi" w:cstheme="majorHAnsi"/>
          <w:noProof/>
          <w:sz w:val="24"/>
          <w:szCs w:val="24"/>
          <w:lang w:val="ro-MD"/>
        </w:rPr>
        <w:t xml:space="preserve"> personal</w:t>
      </w:r>
      <w:r w:rsidR="00F7511C" w:rsidRPr="00736448">
        <w:rPr>
          <w:rFonts w:asciiTheme="majorHAnsi" w:eastAsia="Calibri" w:hAnsiTheme="majorHAnsi" w:cstheme="majorHAnsi"/>
          <w:noProof/>
          <w:sz w:val="24"/>
          <w:szCs w:val="24"/>
          <w:lang w:val="ro-MD"/>
        </w:rPr>
        <w:t>e</w:t>
      </w:r>
      <w:r w:rsidRPr="00736448">
        <w:rPr>
          <w:rFonts w:asciiTheme="majorHAnsi" w:eastAsia="Calibri" w:hAnsiTheme="majorHAnsi" w:cstheme="majorHAnsi"/>
          <w:noProof/>
          <w:sz w:val="24"/>
          <w:szCs w:val="24"/>
          <w:lang w:val="ro-MD"/>
        </w:rPr>
        <w:t xml:space="preserve"> al</w:t>
      </w:r>
      <w:r w:rsidR="00F7511C" w:rsidRPr="00736448">
        <w:rPr>
          <w:rFonts w:asciiTheme="majorHAnsi" w:eastAsia="Calibri" w:hAnsiTheme="majorHAnsi" w:cstheme="majorHAnsi"/>
          <w:noProof/>
          <w:sz w:val="24"/>
          <w:szCs w:val="24"/>
          <w:lang w:val="ro-MD"/>
        </w:rPr>
        <w:t>e</w:t>
      </w:r>
      <w:r w:rsidRPr="00736448">
        <w:rPr>
          <w:rFonts w:asciiTheme="majorHAnsi" w:eastAsia="Calibri" w:hAnsiTheme="majorHAnsi" w:cstheme="majorHAnsi"/>
          <w:noProof/>
          <w:sz w:val="24"/>
          <w:szCs w:val="24"/>
          <w:lang w:val="ro-MD"/>
        </w:rPr>
        <w:t xml:space="preserve"> beneficiarului, conform informației declarate de angajator, persoanele au activat în perioada concediului medical sau informația în extrasul de cont necesară la stabilirea prestației era incorectă/incompletă. Ulterior, după prezentarea informației de corectare de către angajator și vizualizarea acesteia în extrasul de cont, dreptul a fost revizuit și indemnizația </w:t>
      </w:r>
      <w:r w:rsidR="00F7511C" w:rsidRPr="00736448">
        <w:rPr>
          <w:rFonts w:asciiTheme="majorHAnsi" w:eastAsia="Calibri" w:hAnsiTheme="majorHAnsi" w:cstheme="majorHAnsi"/>
          <w:noProof/>
          <w:sz w:val="24"/>
          <w:szCs w:val="24"/>
          <w:lang w:val="ro-MD"/>
        </w:rPr>
        <w:t xml:space="preserve">a fost </w:t>
      </w:r>
      <w:r w:rsidRPr="00736448">
        <w:rPr>
          <w:rFonts w:asciiTheme="majorHAnsi" w:eastAsia="Calibri" w:hAnsiTheme="majorHAnsi" w:cstheme="majorHAnsi"/>
          <w:noProof/>
          <w:sz w:val="24"/>
          <w:szCs w:val="24"/>
          <w:lang w:val="ro-MD"/>
        </w:rPr>
        <w:t>stabilită în baza datelor din certificatele medicale transmise de instituția medicală inițial. Astfel, termenul de stabilire a indemnizației pentru incapacitate tempor</w:t>
      </w:r>
      <w:r w:rsidR="00C87A3D" w:rsidRPr="00736448">
        <w:rPr>
          <w:rFonts w:asciiTheme="majorHAnsi" w:eastAsia="Calibri" w:hAnsiTheme="majorHAnsi" w:cstheme="majorHAnsi"/>
          <w:noProof/>
          <w:sz w:val="24"/>
          <w:szCs w:val="24"/>
          <w:lang w:val="ro-MD"/>
        </w:rPr>
        <w:t>ară de muncă a fost condiționat</w:t>
      </w:r>
      <w:r w:rsidRPr="00736448">
        <w:rPr>
          <w:rFonts w:asciiTheme="majorHAnsi" w:eastAsia="Calibri" w:hAnsiTheme="majorHAnsi" w:cstheme="majorHAnsi"/>
          <w:noProof/>
          <w:sz w:val="24"/>
          <w:szCs w:val="24"/>
          <w:lang w:val="ro-MD"/>
        </w:rPr>
        <w:t xml:space="preserve"> </w:t>
      </w:r>
      <w:r w:rsidR="00C87A3D" w:rsidRPr="00736448">
        <w:rPr>
          <w:rFonts w:asciiTheme="majorHAnsi" w:eastAsia="Calibri" w:hAnsiTheme="majorHAnsi" w:cstheme="majorHAnsi"/>
          <w:noProof/>
          <w:sz w:val="24"/>
          <w:szCs w:val="24"/>
          <w:lang w:val="ro-MD"/>
        </w:rPr>
        <w:t xml:space="preserve">de informațiile eronate prezentate </w:t>
      </w:r>
      <w:r w:rsidRPr="00736448">
        <w:rPr>
          <w:rFonts w:asciiTheme="majorHAnsi" w:eastAsia="Calibri" w:hAnsiTheme="majorHAnsi" w:cstheme="majorHAnsi"/>
          <w:noProof/>
          <w:sz w:val="24"/>
          <w:szCs w:val="24"/>
          <w:lang w:val="ro-MD"/>
        </w:rPr>
        <w:t>de către angajatori.</w:t>
      </w:r>
    </w:p>
    <w:p w14:paraId="152DC521" w14:textId="1D452C7B" w:rsidR="00061CCE" w:rsidRPr="00736448" w:rsidRDefault="00061CCE" w:rsidP="00061CCE">
      <w:pPr>
        <w:spacing w:after="0" w:line="276" w:lineRule="auto"/>
        <w:jc w:val="both"/>
        <w:rPr>
          <w:rFonts w:asciiTheme="majorHAnsi" w:hAnsiTheme="majorHAnsi" w:cstheme="majorHAnsi"/>
          <w:sz w:val="24"/>
          <w:szCs w:val="24"/>
          <w:lang w:val="ro-MD"/>
        </w:rPr>
      </w:pPr>
      <w:r w:rsidRPr="00736448">
        <w:rPr>
          <w:rFonts w:asciiTheme="majorHAnsi" w:hAnsiTheme="majorHAnsi" w:cstheme="majorHAnsi"/>
          <w:b/>
          <w:i/>
          <w:sz w:val="24"/>
          <w:szCs w:val="24"/>
          <w:lang w:val="ro-MD"/>
        </w:rPr>
        <w:t xml:space="preserve"> </w:t>
      </w:r>
      <w:r w:rsidRPr="00736448">
        <w:rPr>
          <w:rFonts w:asciiTheme="majorHAnsi" w:hAnsiTheme="majorHAnsi" w:cstheme="majorHAnsi"/>
          <w:sz w:val="24"/>
          <w:szCs w:val="24"/>
          <w:lang w:val="ro-MD"/>
        </w:rPr>
        <w:t>Prin urmare,</w:t>
      </w:r>
      <w:r w:rsidR="00C87A3D" w:rsidRPr="00736448">
        <w:rPr>
          <w:rFonts w:asciiTheme="majorHAnsi" w:hAnsiTheme="majorHAnsi" w:cstheme="majorHAnsi"/>
          <w:sz w:val="24"/>
          <w:szCs w:val="24"/>
          <w:lang w:val="ro-MD"/>
        </w:rPr>
        <w:t xml:space="preserve"> disfuncționalitatea Portalului certificatelor de concediu medical, precum </w:t>
      </w:r>
      <w:r w:rsidRPr="00736448">
        <w:rPr>
          <w:rFonts w:asciiTheme="majorHAnsi" w:hAnsiTheme="majorHAnsi" w:cstheme="majorHAnsi"/>
          <w:sz w:val="24"/>
          <w:szCs w:val="24"/>
          <w:lang w:val="ro-MD"/>
        </w:rPr>
        <w:t>și prezentarea informației eronate de către angajatori</w:t>
      </w:r>
      <w:r w:rsidR="00C87A3D" w:rsidRPr="00736448">
        <w:rPr>
          <w:rFonts w:asciiTheme="majorHAnsi" w:hAnsiTheme="majorHAnsi" w:cstheme="majorHAnsi"/>
          <w:sz w:val="24"/>
          <w:szCs w:val="24"/>
          <w:lang w:val="ro-MD"/>
        </w:rPr>
        <w:t xml:space="preserve"> privind perioada de activitate în perioada concediului medical a</w:t>
      </w:r>
      <w:r w:rsidR="00F7511C" w:rsidRPr="00736448">
        <w:rPr>
          <w:rFonts w:asciiTheme="majorHAnsi" w:hAnsiTheme="majorHAnsi" w:cstheme="majorHAnsi"/>
          <w:sz w:val="24"/>
          <w:szCs w:val="24"/>
          <w:lang w:val="ro-MD"/>
        </w:rPr>
        <w:t>u</w:t>
      </w:r>
      <w:r w:rsidRPr="00736448">
        <w:rPr>
          <w:rFonts w:asciiTheme="majorHAnsi" w:hAnsiTheme="majorHAnsi" w:cstheme="majorHAnsi"/>
          <w:sz w:val="24"/>
          <w:szCs w:val="24"/>
          <w:lang w:val="ro-MD"/>
        </w:rPr>
        <w:t xml:space="preserve"> afectat calitatea serviciilor oferite cetățenilor. </w:t>
      </w:r>
      <w:r w:rsidR="00F7511C" w:rsidRPr="00736448">
        <w:rPr>
          <w:rFonts w:asciiTheme="majorHAnsi" w:hAnsiTheme="majorHAnsi" w:cstheme="majorHAnsi"/>
          <w:sz w:val="24"/>
          <w:szCs w:val="24"/>
          <w:lang w:val="ro-MD"/>
        </w:rPr>
        <w:t>Astfel,</w:t>
      </w:r>
      <w:r w:rsidRPr="00736448">
        <w:rPr>
          <w:rFonts w:asciiTheme="majorHAnsi" w:hAnsiTheme="majorHAnsi" w:cstheme="majorHAnsi"/>
          <w:sz w:val="24"/>
          <w:szCs w:val="24"/>
          <w:lang w:val="ro-MD"/>
        </w:rPr>
        <w:t xml:space="preserve"> beneficiarii anual</w:t>
      </w:r>
      <w:r w:rsidRPr="00736448">
        <w:rPr>
          <w:rStyle w:val="a5"/>
          <w:rFonts w:asciiTheme="majorHAnsi" w:hAnsiTheme="majorHAnsi" w:cstheme="majorHAnsi"/>
          <w:sz w:val="24"/>
          <w:szCs w:val="24"/>
          <w:lang w:val="ro-MD"/>
        </w:rPr>
        <w:footnoteReference w:id="79"/>
      </w:r>
      <w:r w:rsidRPr="00736448">
        <w:rPr>
          <w:rFonts w:asciiTheme="majorHAnsi" w:hAnsiTheme="majorHAnsi" w:cstheme="majorHAnsi"/>
          <w:sz w:val="24"/>
          <w:szCs w:val="24"/>
          <w:lang w:val="ro-MD"/>
        </w:rPr>
        <w:t xml:space="preserve"> sunt privați de obținerea prestației în termen, </w:t>
      </w:r>
      <w:r w:rsidR="00F7511C" w:rsidRPr="00736448">
        <w:rPr>
          <w:rFonts w:asciiTheme="majorHAnsi" w:hAnsiTheme="majorHAnsi" w:cstheme="majorHAnsi"/>
          <w:sz w:val="24"/>
          <w:szCs w:val="24"/>
          <w:lang w:val="ro-MD"/>
        </w:rPr>
        <w:t xml:space="preserve">prin ce </w:t>
      </w:r>
      <w:r w:rsidRPr="00736448">
        <w:rPr>
          <w:rFonts w:asciiTheme="majorHAnsi" w:hAnsiTheme="majorHAnsi" w:cstheme="majorHAnsi"/>
          <w:sz w:val="24"/>
          <w:szCs w:val="24"/>
          <w:lang w:val="ro-MD"/>
        </w:rPr>
        <w:t>este afectată calitatea serviciilor acordate beneficiarilor și</w:t>
      </w:r>
      <w:r w:rsidR="00B23607" w:rsidRPr="00736448">
        <w:rPr>
          <w:rFonts w:asciiTheme="majorHAnsi" w:hAnsiTheme="majorHAnsi" w:cstheme="majorHAnsi"/>
          <w:sz w:val="24"/>
          <w:szCs w:val="24"/>
          <w:lang w:val="ro-MD"/>
        </w:rPr>
        <w:t>, implicit,</w:t>
      </w:r>
      <w:r w:rsidRPr="00736448">
        <w:rPr>
          <w:rFonts w:asciiTheme="majorHAnsi" w:hAnsiTheme="majorHAnsi" w:cstheme="majorHAnsi"/>
          <w:bCs/>
          <w:iCs/>
          <w:sz w:val="24"/>
          <w:szCs w:val="24"/>
          <w:lang w:val="ro-MD"/>
        </w:rPr>
        <w:t xml:space="preserve"> întârzierea calculării</w:t>
      </w:r>
      <w:r w:rsidR="00B23607" w:rsidRPr="00736448">
        <w:rPr>
          <w:rFonts w:asciiTheme="majorHAnsi" w:hAnsiTheme="majorHAnsi" w:cstheme="majorHAnsi"/>
          <w:bCs/>
          <w:iCs/>
          <w:sz w:val="24"/>
          <w:szCs w:val="24"/>
          <w:lang w:val="ro-MD"/>
        </w:rPr>
        <w:t>/</w:t>
      </w:r>
      <w:r w:rsidRPr="00736448">
        <w:rPr>
          <w:rFonts w:asciiTheme="majorHAnsi" w:hAnsiTheme="majorHAnsi" w:cstheme="majorHAnsi"/>
          <w:bCs/>
          <w:iCs/>
          <w:sz w:val="24"/>
          <w:szCs w:val="24"/>
          <w:lang w:val="ro-MD"/>
        </w:rPr>
        <w:t>neplata în termen a prestației sociale</w:t>
      </w:r>
      <w:r w:rsidRPr="00736448">
        <w:rPr>
          <w:rFonts w:asciiTheme="majorHAnsi" w:hAnsiTheme="majorHAnsi" w:cstheme="majorHAnsi"/>
          <w:sz w:val="24"/>
          <w:szCs w:val="24"/>
          <w:lang w:val="ro-MD"/>
        </w:rPr>
        <w:t>.</w:t>
      </w:r>
    </w:p>
    <w:p w14:paraId="61A53B92" w14:textId="77777777" w:rsidR="00143F9A" w:rsidRPr="00736448" w:rsidRDefault="00143F9A" w:rsidP="00143F9A">
      <w:pPr>
        <w:shd w:val="clear" w:color="auto" w:fill="FFFFFF" w:themeFill="background1"/>
        <w:spacing w:line="276" w:lineRule="auto"/>
        <w:jc w:val="both"/>
        <w:rPr>
          <w:rFonts w:asciiTheme="majorHAnsi" w:hAnsiTheme="majorHAnsi" w:cstheme="majorHAnsi"/>
          <w:b/>
          <w:sz w:val="24"/>
          <w:szCs w:val="24"/>
          <w:lang w:val="ro-MD"/>
        </w:rPr>
      </w:pPr>
    </w:p>
    <w:p w14:paraId="71B47EC5" w14:textId="7F08FA2A" w:rsidR="00053CBC" w:rsidRPr="00736448" w:rsidRDefault="00053CBC" w:rsidP="00E4042E">
      <w:pPr>
        <w:pStyle w:val="aa"/>
        <w:numPr>
          <w:ilvl w:val="1"/>
          <w:numId w:val="2"/>
        </w:numPr>
        <w:shd w:val="clear" w:color="auto" w:fill="FFFFFF" w:themeFill="background1"/>
        <w:spacing w:line="276" w:lineRule="auto"/>
        <w:ind w:left="0" w:firstLine="0"/>
        <w:jc w:val="both"/>
        <w:outlineLvl w:val="1"/>
        <w:rPr>
          <w:rFonts w:asciiTheme="majorHAnsi" w:hAnsiTheme="majorHAnsi" w:cstheme="majorHAnsi"/>
          <w:b/>
          <w:sz w:val="24"/>
          <w:szCs w:val="24"/>
          <w:lang w:val="ro-MD"/>
        </w:rPr>
      </w:pPr>
      <w:r w:rsidRPr="00736448">
        <w:rPr>
          <w:rFonts w:asciiTheme="majorHAnsi" w:hAnsiTheme="majorHAnsi" w:cstheme="majorHAnsi"/>
          <w:b/>
          <w:sz w:val="24"/>
          <w:szCs w:val="24"/>
          <w:lang w:val="ro-MD"/>
        </w:rPr>
        <w:t>Transmiterea tardivă de către angajatori a documentelor de cercetare a accidentului de muncă sau de constatare a îmbolnăvirii profesionale întocmite de autoritățile competente, a determinat depășirea termenului de stabilire a indemnizațiilor pentru incapacitate temporară de muncă cauzată de accidente de muncă sau boală profesională</w:t>
      </w:r>
      <w:r w:rsidR="00B23607" w:rsidRPr="00736448">
        <w:rPr>
          <w:rFonts w:asciiTheme="majorHAnsi" w:hAnsiTheme="majorHAnsi" w:cstheme="majorHAnsi"/>
          <w:b/>
          <w:sz w:val="24"/>
          <w:szCs w:val="24"/>
          <w:lang w:val="ro-MD"/>
        </w:rPr>
        <w:t>,</w:t>
      </w:r>
      <w:r w:rsidRPr="00736448">
        <w:rPr>
          <w:rFonts w:asciiTheme="majorHAnsi" w:hAnsiTheme="majorHAnsi" w:cstheme="majorHAnsi"/>
          <w:b/>
          <w:sz w:val="24"/>
          <w:szCs w:val="24"/>
          <w:lang w:val="ro-MD"/>
        </w:rPr>
        <w:t xml:space="preserve"> de la 1 zi </w:t>
      </w:r>
      <w:r w:rsidR="00E76BA8" w:rsidRPr="00736448">
        <w:rPr>
          <w:rFonts w:asciiTheme="majorHAnsi" w:hAnsiTheme="majorHAnsi" w:cstheme="majorHAnsi"/>
          <w:b/>
          <w:sz w:val="24"/>
          <w:szCs w:val="24"/>
          <w:lang w:val="ro-MD"/>
        </w:rPr>
        <w:t>până</w:t>
      </w:r>
      <w:r w:rsidRPr="00736448">
        <w:rPr>
          <w:rFonts w:asciiTheme="majorHAnsi" w:hAnsiTheme="majorHAnsi" w:cstheme="majorHAnsi"/>
          <w:b/>
          <w:sz w:val="24"/>
          <w:szCs w:val="24"/>
          <w:lang w:val="ro-MD"/>
        </w:rPr>
        <w:t xml:space="preserve"> la 265 de zile </w:t>
      </w:r>
      <w:r w:rsidR="00E76BA8" w:rsidRPr="00736448">
        <w:rPr>
          <w:rFonts w:asciiTheme="majorHAnsi" w:hAnsiTheme="majorHAnsi" w:cstheme="majorHAnsi"/>
          <w:b/>
          <w:sz w:val="24"/>
          <w:szCs w:val="24"/>
          <w:lang w:val="ro-MD"/>
        </w:rPr>
        <w:t>întârziere</w:t>
      </w:r>
      <w:r w:rsidRPr="00736448">
        <w:rPr>
          <w:rFonts w:asciiTheme="majorHAnsi" w:hAnsiTheme="majorHAnsi" w:cstheme="majorHAnsi"/>
          <w:b/>
          <w:sz w:val="24"/>
          <w:szCs w:val="24"/>
          <w:lang w:val="ro-MD"/>
        </w:rPr>
        <w:t xml:space="preserve">, </w:t>
      </w:r>
      <w:r w:rsidR="00B23607" w:rsidRPr="00736448">
        <w:rPr>
          <w:rFonts w:asciiTheme="majorHAnsi" w:hAnsiTheme="majorHAnsi" w:cstheme="majorHAnsi"/>
          <w:b/>
          <w:sz w:val="24"/>
          <w:szCs w:val="24"/>
          <w:lang w:val="ro-MD"/>
        </w:rPr>
        <w:t xml:space="preserve">ceea </w:t>
      </w:r>
      <w:r w:rsidRPr="00736448">
        <w:rPr>
          <w:rFonts w:asciiTheme="majorHAnsi" w:hAnsiTheme="majorHAnsi" w:cstheme="majorHAnsi"/>
          <w:b/>
          <w:sz w:val="24"/>
          <w:szCs w:val="24"/>
          <w:lang w:val="ro-MD"/>
        </w:rPr>
        <w:t>ce a privat beneficiarii de a primi în timp util prestația în sumă de 134,7 mii lei.</w:t>
      </w:r>
    </w:p>
    <w:p w14:paraId="631440BE" w14:textId="712A53C1" w:rsidR="00296C7A" w:rsidRPr="00736448" w:rsidRDefault="00053CBC" w:rsidP="00296C7A">
      <w:pPr>
        <w:shd w:val="clear" w:color="auto" w:fill="FFFFFF" w:themeFill="background1"/>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Potrivit prev</w:t>
      </w:r>
      <w:r w:rsidR="00296C7A" w:rsidRPr="00736448">
        <w:rPr>
          <w:rFonts w:asciiTheme="majorHAnsi" w:hAnsiTheme="majorHAnsi" w:cstheme="majorHAnsi"/>
          <w:sz w:val="24"/>
          <w:szCs w:val="24"/>
          <w:lang w:val="ro-MD"/>
        </w:rPr>
        <w:t>ederilor legale</w:t>
      </w:r>
      <w:r w:rsidR="00296C7A" w:rsidRPr="00736448">
        <w:rPr>
          <w:rStyle w:val="a5"/>
          <w:rFonts w:asciiTheme="majorHAnsi" w:hAnsiTheme="majorHAnsi" w:cstheme="majorHAnsi"/>
          <w:sz w:val="24"/>
          <w:szCs w:val="24"/>
          <w:lang w:val="ro-MD"/>
        </w:rPr>
        <w:footnoteReference w:id="80"/>
      </w:r>
      <w:r w:rsidRPr="00736448">
        <w:rPr>
          <w:rFonts w:asciiTheme="majorHAnsi" w:hAnsiTheme="majorHAnsi" w:cstheme="majorHAnsi"/>
          <w:sz w:val="24"/>
          <w:szCs w:val="24"/>
          <w:lang w:val="ro-MD"/>
        </w:rPr>
        <w:t xml:space="preserve">, pe durata </w:t>
      </w:r>
      <w:r w:rsidR="00E76BA8" w:rsidRPr="00736448">
        <w:rPr>
          <w:rFonts w:asciiTheme="majorHAnsi" w:hAnsiTheme="majorHAnsi" w:cstheme="majorHAnsi"/>
          <w:sz w:val="24"/>
          <w:szCs w:val="24"/>
          <w:lang w:val="ro-MD"/>
        </w:rPr>
        <w:t>incapacității</w:t>
      </w:r>
      <w:r w:rsidRPr="00736448">
        <w:rPr>
          <w:rFonts w:asciiTheme="majorHAnsi" w:hAnsiTheme="majorHAnsi" w:cstheme="majorHAnsi"/>
          <w:sz w:val="24"/>
          <w:szCs w:val="24"/>
          <w:lang w:val="ro-MD"/>
        </w:rPr>
        <w:t xml:space="preserve"> temporare de muncă cauzate de un accident de muncă sau de o boală profesională, </w:t>
      </w:r>
      <w:r w:rsidR="00E76BA8" w:rsidRPr="00736448">
        <w:rPr>
          <w:rFonts w:asciiTheme="majorHAnsi" w:hAnsiTheme="majorHAnsi" w:cstheme="majorHAnsi"/>
          <w:sz w:val="24"/>
          <w:szCs w:val="24"/>
          <w:lang w:val="ro-MD"/>
        </w:rPr>
        <w:t>asigurații</w:t>
      </w:r>
      <w:r w:rsidRPr="00736448">
        <w:rPr>
          <w:rFonts w:asciiTheme="majorHAnsi" w:hAnsiTheme="majorHAnsi" w:cstheme="majorHAnsi"/>
          <w:sz w:val="24"/>
          <w:szCs w:val="24"/>
          <w:lang w:val="ro-MD"/>
        </w:rPr>
        <w:t xml:space="preserve"> beneficiază de </w:t>
      </w:r>
      <w:r w:rsidR="00E76BA8" w:rsidRPr="00736448">
        <w:rPr>
          <w:rFonts w:asciiTheme="majorHAnsi" w:hAnsiTheme="majorHAnsi" w:cstheme="majorHAnsi"/>
          <w:sz w:val="24"/>
          <w:szCs w:val="24"/>
          <w:lang w:val="ro-MD"/>
        </w:rPr>
        <w:t>indemnizație</w:t>
      </w:r>
      <w:r w:rsidRPr="00736448">
        <w:rPr>
          <w:rFonts w:asciiTheme="majorHAnsi" w:hAnsiTheme="majorHAnsi" w:cstheme="majorHAnsi"/>
          <w:sz w:val="24"/>
          <w:szCs w:val="24"/>
          <w:lang w:val="ro-MD"/>
        </w:rPr>
        <w:t xml:space="preserve">. </w:t>
      </w:r>
      <w:r w:rsidR="00E76BA8" w:rsidRPr="00736448">
        <w:rPr>
          <w:rFonts w:asciiTheme="majorHAnsi" w:hAnsiTheme="majorHAnsi" w:cstheme="majorHAnsi"/>
          <w:sz w:val="24"/>
          <w:szCs w:val="24"/>
          <w:lang w:val="ro-MD"/>
        </w:rPr>
        <w:t>Indemnizația</w:t>
      </w:r>
      <w:r w:rsidRPr="00736448">
        <w:rPr>
          <w:rFonts w:asciiTheme="majorHAnsi" w:hAnsiTheme="majorHAnsi" w:cstheme="majorHAnsi"/>
          <w:sz w:val="24"/>
          <w:szCs w:val="24"/>
          <w:lang w:val="ro-MD"/>
        </w:rPr>
        <w:t xml:space="preserve"> pentru incapacitate temporară de muncă se </w:t>
      </w:r>
      <w:r w:rsidR="00E76BA8" w:rsidRPr="00736448">
        <w:rPr>
          <w:rFonts w:asciiTheme="majorHAnsi" w:hAnsiTheme="majorHAnsi" w:cstheme="majorHAnsi"/>
          <w:sz w:val="24"/>
          <w:szCs w:val="24"/>
          <w:lang w:val="ro-MD"/>
        </w:rPr>
        <w:t>plătește</w:t>
      </w:r>
      <w:r w:rsidRPr="00736448">
        <w:rPr>
          <w:rFonts w:asciiTheme="majorHAnsi" w:hAnsiTheme="majorHAnsi" w:cstheme="majorHAnsi"/>
          <w:sz w:val="24"/>
          <w:szCs w:val="24"/>
          <w:lang w:val="ro-MD"/>
        </w:rPr>
        <w:t xml:space="preserve"> pentru 20 de zile calendaristice, calculate de la data pierderii temporare a </w:t>
      </w:r>
      <w:r w:rsidR="00E76BA8" w:rsidRPr="00736448">
        <w:rPr>
          <w:rFonts w:asciiTheme="majorHAnsi" w:hAnsiTheme="majorHAnsi" w:cstheme="majorHAnsi"/>
          <w:sz w:val="24"/>
          <w:szCs w:val="24"/>
          <w:lang w:val="ro-MD"/>
        </w:rPr>
        <w:t>capacității</w:t>
      </w:r>
      <w:r w:rsidRPr="00736448">
        <w:rPr>
          <w:rFonts w:asciiTheme="majorHAnsi" w:hAnsiTheme="majorHAnsi" w:cstheme="majorHAnsi"/>
          <w:sz w:val="24"/>
          <w:szCs w:val="24"/>
          <w:lang w:val="ro-MD"/>
        </w:rPr>
        <w:t xml:space="preserve"> de muncă, de către angajatorul la care s-a produs accidentul de muncă sau s-a constatat îmbolnăvirea profesională, din mijloacele proprii, iar din a 21-a zi calendaristică – de către Casa </w:t>
      </w:r>
      <w:r w:rsidR="00E76BA8" w:rsidRPr="00736448">
        <w:rPr>
          <w:rFonts w:asciiTheme="majorHAnsi" w:hAnsiTheme="majorHAnsi" w:cstheme="majorHAnsi"/>
          <w:sz w:val="24"/>
          <w:szCs w:val="24"/>
          <w:lang w:val="ro-MD"/>
        </w:rPr>
        <w:t>Națională</w:t>
      </w:r>
      <w:r w:rsidRPr="00736448">
        <w:rPr>
          <w:rFonts w:asciiTheme="majorHAnsi" w:hAnsiTheme="majorHAnsi" w:cstheme="majorHAnsi"/>
          <w:sz w:val="24"/>
          <w:szCs w:val="24"/>
          <w:lang w:val="ro-MD"/>
        </w:rPr>
        <w:t xml:space="preserve"> de Asigurări Sociale, din mijloacele bugetului asigurărilor sociale de stat. </w:t>
      </w:r>
      <w:r w:rsidR="00296C7A" w:rsidRPr="00736448">
        <w:rPr>
          <w:rFonts w:asciiTheme="majorHAnsi" w:hAnsiTheme="majorHAnsi" w:cstheme="majorHAnsi"/>
          <w:sz w:val="24"/>
          <w:szCs w:val="24"/>
          <w:lang w:val="ro-MD"/>
        </w:rPr>
        <w:t xml:space="preserve">Astfel, </w:t>
      </w:r>
      <w:r w:rsidR="00296C7A" w:rsidRPr="00B7675F">
        <w:rPr>
          <w:rFonts w:asciiTheme="majorHAnsi" w:hAnsiTheme="majorHAnsi" w:cstheme="majorHAnsi"/>
          <w:sz w:val="24"/>
          <w:szCs w:val="24"/>
          <w:lang w:val="ro-MD"/>
        </w:rPr>
        <w:t>î</w:t>
      </w:r>
      <w:r w:rsidR="00296C7A" w:rsidRPr="00736448">
        <w:rPr>
          <w:rFonts w:asciiTheme="majorHAnsi" w:hAnsiTheme="majorHAnsi" w:cstheme="majorHAnsi"/>
          <w:sz w:val="24"/>
          <w:szCs w:val="24"/>
          <w:lang w:val="ro-MD"/>
        </w:rPr>
        <w:t xml:space="preserve">n anul 2022, au fost stabilite 692 de decizii privind indemnizațiile pentru incapacitate temporară de muncă cauzată de accidente de muncă sau boală profesională, pentru 337 de beneficiari, față de 343 de beneficiari </w:t>
      </w:r>
      <w:r w:rsidR="00B23607" w:rsidRPr="00736448">
        <w:rPr>
          <w:rFonts w:asciiTheme="majorHAnsi" w:hAnsiTheme="majorHAnsi" w:cstheme="majorHAnsi"/>
          <w:sz w:val="24"/>
          <w:szCs w:val="24"/>
          <w:lang w:val="ro-MD"/>
        </w:rPr>
        <w:t xml:space="preserve">în </w:t>
      </w:r>
      <w:r w:rsidR="00296C7A" w:rsidRPr="00736448">
        <w:rPr>
          <w:rFonts w:asciiTheme="majorHAnsi" w:hAnsiTheme="majorHAnsi" w:cstheme="majorHAnsi"/>
          <w:sz w:val="24"/>
          <w:szCs w:val="24"/>
          <w:lang w:val="ro-MD"/>
        </w:rPr>
        <w:t>anul precedent.</w:t>
      </w:r>
    </w:p>
    <w:p w14:paraId="0B4C9EF1" w14:textId="67AD939F" w:rsidR="00053CBC" w:rsidRPr="00736448" w:rsidRDefault="00296C7A" w:rsidP="00053CBC">
      <w:pPr>
        <w:shd w:val="clear" w:color="auto" w:fill="FFFFFF" w:themeFill="background1"/>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Deși numărul de beneficiari este mai mic, CNAS a înregistrat pentru anul 2022 cheltuieli efective în sumă de 4 097,4 mii lei, cu 1 440,4 mii lei, sau cu 54,2%</w:t>
      </w:r>
      <w:r w:rsidR="00B23607"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mai mult comparativ cu anul 2021, creșterea fiind cauzată de sporirea mărimii medii a acestui tip de prestație.</w:t>
      </w:r>
    </w:p>
    <w:p w14:paraId="3C574A85" w14:textId="2F02FE86" w:rsidR="00782913" w:rsidRPr="00736448" w:rsidRDefault="00053CBC" w:rsidP="004720C1">
      <w:pPr>
        <w:shd w:val="clear" w:color="auto" w:fill="FFFFFF" w:themeFill="background1"/>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S-a constatat că, pentru 31,4% din </w:t>
      </w:r>
      <w:r w:rsidR="00E76BA8" w:rsidRPr="00736448">
        <w:rPr>
          <w:rFonts w:asciiTheme="majorHAnsi" w:hAnsiTheme="majorHAnsi" w:cstheme="majorHAnsi"/>
          <w:sz w:val="24"/>
          <w:szCs w:val="24"/>
          <w:lang w:val="ro-MD"/>
        </w:rPr>
        <w:t>indemnizațiile</w:t>
      </w:r>
      <w:r w:rsidRPr="00736448">
        <w:rPr>
          <w:rFonts w:asciiTheme="majorHAnsi" w:hAnsiTheme="majorHAnsi" w:cstheme="majorHAnsi"/>
          <w:sz w:val="24"/>
          <w:szCs w:val="24"/>
          <w:lang w:val="ro-MD"/>
        </w:rPr>
        <w:t xml:space="preserve"> pentru incapacitatea temporară de muncă verificate (86 </w:t>
      </w:r>
      <w:r w:rsidR="00B23607" w:rsidRPr="00736448">
        <w:rPr>
          <w:rFonts w:asciiTheme="majorHAnsi" w:hAnsiTheme="majorHAnsi" w:cstheme="majorHAnsi"/>
          <w:sz w:val="24"/>
          <w:szCs w:val="24"/>
          <w:lang w:val="ro-MD"/>
        </w:rPr>
        <w:t xml:space="preserve">de </w:t>
      </w:r>
      <w:r w:rsidRPr="00736448">
        <w:rPr>
          <w:rFonts w:asciiTheme="majorHAnsi" w:hAnsiTheme="majorHAnsi" w:cstheme="majorHAnsi"/>
          <w:sz w:val="24"/>
          <w:szCs w:val="24"/>
          <w:lang w:val="ro-MD"/>
        </w:rPr>
        <w:t xml:space="preserve">decizii), termenul de 30 </w:t>
      </w:r>
      <w:r w:rsidR="00B23607" w:rsidRPr="00736448">
        <w:rPr>
          <w:rFonts w:asciiTheme="majorHAnsi" w:hAnsiTheme="majorHAnsi" w:cstheme="majorHAnsi"/>
          <w:sz w:val="24"/>
          <w:szCs w:val="24"/>
          <w:lang w:val="ro-MD"/>
        </w:rPr>
        <w:t xml:space="preserve">de </w:t>
      </w:r>
      <w:r w:rsidRPr="00736448">
        <w:rPr>
          <w:rFonts w:asciiTheme="majorHAnsi" w:hAnsiTheme="majorHAnsi" w:cstheme="majorHAnsi"/>
          <w:sz w:val="24"/>
          <w:szCs w:val="24"/>
          <w:lang w:val="ro-MD"/>
        </w:rPr>
        <w:t xml:space="preserve">zile de examinare a acordării </w:t>
      </w:r>
      <w:r w:rsidR="00E76BA8" w:rsidRPr="00736448">
        <w:rPr>
          <w:rFonts w:asciiTheme="majorHAnsi" w:hAnsiTheme="majorHAnsi" w:cstheme="majorHAnsi"/>
          <w:sz w:val="24"/>
          <w:szCs w:val="24"/>
          <w:lang w:val="ro-MD"/>
        </w:rPr>
        <w:t>indemnizației</w:t>
      </w:r>
      <w:r w:rsidRPr="00736448">
        <w:rPr>
          <w:rFonts w:asciiTheme="majorHAnsi" w:hAnsiTheme="majorHAnsi" w:cstheme="majorHAnsi"/>
          <w:sz w:val="24"/>
          <w:szCs w:val="24"/>
          <w:lang w:val="ro-MD"/>
        </w:rPr>
        <w:t xml:space="preserve"> a fost </w:t>
      </w:r>
      <w:r w:rsidR="00E76BA8" w:rsidRPr="00736448">
        <w:rPr>
          <w:rFonts w:asciiTheme="majorHAnsi" w:hAnsiTheme="majorHAnsi" w:cstheme="majorHAnsi"/>
          <w:sz w:val="24"/>
          <w:szCs w:val="24"/>
          <w:lang w:val="ro-MD"/>
        </w:rPr>
        <w:t>depășit</w:t>
      </w:r>
      <w:r w:rsidRPr="00736448">
        <w:rPr>
          <w:rFonts w:asciiTheme="majorHAnsi" w:hAnsiTheme="majorHAnsi" w:cstheme="majorHAnsi"/>
          <w:sz w:val="24"/>
          <w:szCs w:val="24"/>
          <w:lang w:val="ro-MD"/>
        </w:rPr>
        <w:t xml:space="preserve"> de la 1 zi până la 265 de zile. </w:t>
      </w:r>
      <w:r w:rsidR="00E76BA8" w:rsidRPr="00736448">
        <w:rPr>
          <w:rFonts w:asciiTheme="majorHAnsi" w:hAnsiTheme="majorHAnsi" w:cstheme="majorHAnsi"/>
          <w:sz w:val="24"/>
          <w:szCs w:val="24"/>
          <w:lang w:val="ro-MD"/>
        </w:rPr>
        <w:t>Situația</w:t>
      </w:r>
      <w:r w:rsidRPr="00736448">
        <w:rPr>
          <w:rFonts w:asciiTheme="majorHAnsi" w:hAnsiTheme="majorHAnsi" w:cstheme="majorHAnsi"/>
          <w:sz w:val="24"/>
          <w:szCs w:val="24"/>
          <w:lang w:val="ro-MD"/>
        </w:rPr>
        <w:t xml:space="preserve"> a fost cauzată de transmiterea tardivă de către angajatori a documentelor de cercetare a accidentului de muncă sau de constatare a îmbolnăvirii profesionale întocmite de autoritățile competente. Aceste </w:t>
      </w:r>
      <w:r w:rsidR="00E76BA8" w:rsidRPr="00736448">
        <w:rPr>
          <w:rFonts w:asciiTheme="majorHAnsi" w:hAnsiTheme="majorHAnsi" w:cstheme="majorHAnsi"/>
          <w:sz w:val="24"/>
          <w:szCs w:val="24"/>
          <w:lang w:val="ro-MD"/>
        </w:rPr>
        <w:t>circumstanțe</w:t>
      </w:r>
      <w:r w:rsidRPr="00736448">
        <w:rPr>
          <w:rFonts w:asciiTheme="majorHAnsi" w:hAnsiTheme="majorHAnsi" w:cstheme="majorHAnsi"/>
          <w:sz w:val="24"/>
          <w:szCs w:val="24"/>
          <w:lang w:val="ro-MD"/>
        </w:rPr>
        <w:t xml:space="preserve"> au condus la reflectarea a 134,7 mii lei necorespunzător perioadei de gestiune şi privarea beneficiarilor de dreptul la </w:t>
      </w:r>
      <w:r w:rsidR="00FE1814" w:rsidRPr="00736448">
        <w:rPr>
          <w:rFonts w:asciiTheme="majorHAnsi" w:hAnsiTheme="majorHAnsi" w:cstheme="majorHAnsi"/>
          <w:sz w:val="24"/>
          <w:szCs w:val="24"/>
          <w:lang w:val="ro-MD"/>
        </w:rPr>
        <w:t>indemnizație</w:t>
      </w:r>
      <w:r w:rsidRPr="00736448">
        <w:rPr>
          <w:rFonts w:asciiTheme="majorHAnsi" w:hAnsiTheme="majorHAnsi" w:cstheme="majorHAnsi"/>
          <w:sz w:val="24"/>
          <w:szCs w:val="24"/>
          <w:lang w:val="ro-MD"/>
        </w:rPr>
        <w:t xml:space="preserve"> în termenele prevăzute.</w:t>
      </w:r>
    </w:p>
    <w:p w14:paraId="0AEFF96B" w14:textId="69D7AD91" w:rsidR="00C87A3D" w:rsidRPr="00B7675F" w:rsidRDefault="00C87A3D" w:rsidP="00C87A3D">
      <w:pPr>
        <w:pStyle w:val="aa"/>
        <w:numPr>
          <w:ilvl w:val="1"/>
          <w:numId w:val="2"/>
        </w:numPr>
        <w:shd w:val="clear" w:color="auto" w:fill="FFFFFF" w:themeFill="background1"/>
        <w:spacing w:line="276" w:lineRule="auto"/>
        <w:ind w:left="0" w:firstLine="0"/>
        <w:jc w:val="both"/>
        <w:outlineLvl w:val="1"/>
        <w:rPr>
          <w:rFonts w:asciiTheme="majorHAnsi" w:hAnsiTheme="majorHAnsi" w:cstheme="majorHAnsi"/>
          <w:sz w:val="24"/>
          <w:szCs w:val="24"/>
          <w:lang w:val="ro-MD"/>
        </w:rPr>
      </w:pPr>
      <w:r w:rsidRPr="00736448">
        <w:rPr>
          <w:rFonts w:asciiTheme="majorHAnsi" w:hAnsiTheme="majorHAnsi" w:cstheme="majorHAnsi"/>
          <w:b/>
          <w:sz w:val="24"/>
          <w:szCs w:val="24"/>
          <w:lang w:val="ro-MD"/>
        </w:rPr>
        <w:t>Normele interpretative și ambiguitățile cadrului legal creează incertitudini la stabilirea cua</w:t>
      </w:r>
      <w:r w:rsidR="00B23607" w:rsidRPr="00736448">
        <w:rPr>
          <w:rFonts w:asciiTheme="majorHAnsi" w:hAnsiTheme="majorHAnsi" w:cstheme="majorHAnsi"/>
          <w:b/>
          <w:sz w:val="24"/>
          <w:szCs w:val="24"/>
          <w:lang w:val="ro-MD"/>
        </w:rPr>
        <w:t>n</w:t>
      </w:r>
      <w:r w:rsidRPr="00736448">
        <w:rPr>
          <w:rFonts w:asciiTheme="majorHAnsi" w:hAnsiTheme="majorHAnsi" w:cstheme="majorHAnsi"/>
          <w:b/>
          <w:sz w:val="24"/>
          <w:szCs w:val="24"/>
          <w:lang w:val="ro-MD"/>
        </w:rPr>
        <w:t>tumului  pensiilor</w:t>
      </w:r>
      <w:r w:rsidR="004720C1" w:rsidRPr="00736448">
        <w:rPr>
          <w:rFonts w:asciiTheme="majorHAnsi" w:hAnsiTheme="majorHAnsi" w:cstheme="majorHAnsi"/>
          <w:b/>
          <w:sz w:val="24"/>
          <w:szCs w:val="24"/>
          <w:lang w:val="ro-MD"/>
        </w:rPr>
        <w:t xml:space="preserve"> pentru</w:t>
      </w:r>
      <w:r w:rsidR="004008B3" w:rsidRPr="00736448">
        <w:rPr>
          <w:rFonts w:asciiTheme="majorHAnsi" w:hAnsiTheme="majorHAnsi" w:cstheme="majorHAnsi"/>
          <w:b/>
          <w:sz w:val="24"/>
          <w:szCs w:val="24"/>
          <w:lang w:val="ro-MD"/>
        </w:rPr>
        <w:t xml:space="preserve"> vechime în muncă </w:t>
      </w:r>
      <w:r w:rsidR="004008B3" w:rsidRPr="00736448">
        <w:rPr>
          <w:rFonts w:asciiTheme="majorHAnsi" w:hAnsiTheme="majorHAnsi"/>
          <w:b/>
          <w:color w:val="000000" w:themeColor="text1"/>
          <w:sz w:val="24"/>
          <w:lang w:val="ro-MD"/>
        </w:rPr>
        <w:t>militarilor şi persoanelor din corpul de comandă şi din trupele organelor afacerilor</w:t>
      </w:r>
      <w:r w:rsidR="00B23607" w:rsidRPr="00736448">
        <w:rPr>
          <w:rFonts w:asciiTheme="majorHAnsi" w:hAnsiTheme="majorHAnsi"/>
          <w:b/>
          <w:color w:val="000000" w:themeColor="text1"/>
          <w:sz w:val="24"/>
          <w:lang w:val="ro-MD"/>
        </w:rPr>
        <w:t xml:space="preserve"> interne</w:t>
      </w:r>
      <w:r w:rsidRPr="00736448">
        <w:rPr>
          <w:rFonts w:asciiTheme="majorHAnsi" w:hAnsiTheme="majorHAnsi"/>
          <w:b/>
          <w:color w:val="000000" w:themeColor="text1"/>
          <w:sz w:val="24"/>
          <w:lang w:val="ro-MD"/>
        </w:rPr>
        <w:t>.</w:t>
      </w:r>
    </w:p>
    <w:p w14:paraId="55CBDD5C" w14:textId="151AEAC9" w:rsidR="00084F75" w:rsidRPr="00B7675F" w:rsidRDefault="005F13BE" w:rsidP="00C87A3D">
      <w:pPr>
        <w:pStyle w:val="aa"/>
        <w:shd w:val="clear" w:color="auto" w:fill="FFFFFF" w:themeFill="background1"/>
        <w:spacing w:line="276" w:lineRule="auto"/>
        <w:ind w:left="0"/>
        <w:jc w:val="both"/>
        <w:rPr>
          <w:rFonts w:asciiTheme="majorHAnsi" w:hAnsiTheme="majorHAnsi" w:cstheme="majorHAnsi"/>
          <w:sz w:val="24"/>
          <w:szCs w:val="24"/>
          <w:lang w:val="ro-MD"/>
        </w:rPr>
      </w:pPr>
      <w:r w:rsidRPr="00736448">
        <w:rPr>
          <w:rFonts w:asciiTheme="majorHAnsi" w:hAnsiTheme="majorHAnsi"/>
          <w:iCs/>
          <w:color w:val="000000" w:themeColor="text1"/>
          <w:sz w:val="24"/>
          <w:szCs w:val="24"/>
          <w:lang w:val="ro-MD"/>
        </w:rPr>
        <w:t xml:space="preserve">Recomandările </w:t>
      </w:r>
      <w:r w:rsidR="00084F75" w:rsidRPr="00736448">
        <w:rPr>
          <w:rFonts w:asciiTheme="majorHAnsi" w:hAnsiTheme="majorHAnsi"/>
          <w:iCs/>
          <w:color w:val="000000" w:themeColor="text1"/>
          <w:sz w:val="24"/>
          <w:szCs w:val="24"/>
          <w:lang w:val="ro-MD"/>
        </w:rPr>
        <w:t xml:space="preserve">precedente ale </w:t>
      </w:r>
      <w:r w:rsidRPr="00736448">
        <w:rPr>
          <w:rFonts w:asciiTheme="majorHAnsi" w:hAnsiTheme="majorHAnsi"/>
          <w:iCs/>
          <w:color w:val="000000" w:themeColor="text1"/>
          <w:sz w:val="24"/>
          <w:szCs w:val="24"/>
          <w:lang w:val="ro-MD"/>
        </w:rPr>
        <w:t xml:space="preserve">Curții de Conturi referitor la elaborarea propunerilor privind modificarea/completarea cadrului legislativ-normativ, în vederea descrierii clare și exhaustive a instrumentelor, mecanismelor, tehnicilor și procedurilor de calculare a vechimii în muncă și a soldei nu au fost implementate, </w:t>
      </w:r>
      <w:r w:rsidR="00424EFE" w:rsidRPr="00736448">
        <w:rPr>
          <w:rFonts w:asciiTheme="majorHAnsi" w:hAnsiTheme="majorHAnsi"/>
          <w:iCs/>
          <w:color w:val="000000" w:themeColor="text1"/>
          <w:sz w:val="24"/>
          <w:szCs w:val="24"/>
          <w:lang w:val="ro-MD"/>
        </w:rPr>
        <w:t xml:space="preserve">ceea </w:t>
      </w:r>
      <w:r w:rsidRPr="00736448">
        <w:rPr>
          <w:rFonts w:asciiTheme="majorHAnsi" w:hAnsiTheme="majorHAnsi"/>
          <w:iCs/>
          <w:color w:val="000000" w:themeColor="text1"/>
          <w:sz w:val="24"/>
          <w:szCs w:val="24"/>
          <w:lang w:val="ro-MD"/>
        </w:rPr>
        <w:t xml:space="preserve">ce </w:t>
      </w:r>
      <w:r w:rsidR="00424EFE" w:rsidRPr="00736448">
        <w:rPr>
          <w:rFonts w:asciiTheme="majorHAnsi" w:hAnsiTheme="majorHAnsi"/>
          <w:iCs/>
          <w:color w:val="000000" w:themeColor="text1"/>
          <w:sz w:val="24"/>
          <w:szCs w:val="24"/>
          <w:lang w:val="ro-MD"/>
        </w:rPr>
        <w:t xml:space="preserve">denotă </w:t>
      </w:r>
      <w:r w:rsidRPr="00736448">
        <w:rPr>
          <w:rFonts w:asciiTheme="majorHAnsi" w:hAnsiTheme="majorHAnsi"/>
          <w:iCs/>
          <w:color w:val="000000" w:themeColor="text1"/>
          <w:sz w:val="24"/>
          <w:szCs w:val="24"/>
          <w:lang w:val="ro-MD"/>
        </w:rPr>
        <w:t xml:space="preserve">în continuare dificultăți și incertitudini la stabilirea corectă și echitabilă a pensiei pentru toți beneficiarii acestui contingent. </w:t>
      </w:r>
      <w:r w:rsidR="00084F75" w:rsidRPr="00736448">
        <w:rPr>
          <w:rFonts w:asciiTheme="majorHAnsi" w:hAnsiTheme="majorHAnsi"/>
          <w:iCs/>
          <w:color w:val="000000" w:themeColor="text1"/>
          <w:sz w:val="24"/>
          <w:szCs w:val="24"/>
          <w:lang w:val="ro-MD"/>
        </w:rPr>
        <w:t>Astfel, potrivit cadrului legislativ</w:t>
      </w:r>
      <w:r w:rsidR="00084F75" w:rsidRPr="00736448">
        <w:rPr>
          <w:rFonts w:asciiTheme="majorHAnsi" w:hAnsiTheme="majorHAnsi"/>
          <w:sz w:val="24"/>
          <w:szCs w:val="24"/>
          <w:vertAlign w:val="superscript"/>
          <w:lang w:val="ro-MD"/>
        </w:rPr>
        <w:footnoteReference w:id="81"/>
      </w:r>
      <w:r w:rsidR="00084F75" w:rsidRPr="00736448">
        <w:rPr>
          <w:rFonts w:asciiTheme="majorHAnsi" w:hAnsiTheme="majorHAnsi"/>
          <w:iCs/>
          <w:color w:val="000000" w:themeColor="text1"/>
          <w:sz w:val="24"/>
          <w:szCs w:val="24"/>
          <w:lang w:val="ro-MD"/>
        </w:rPr>
        <w:t xml:space="preserve">, pensia </w:t>
      </w:r>
      <w:r w:rsidR="00084F75" w:rsidRPr="00736448">
        <w:rPr>
          <w:rFonts w:asciiTheme="majorHAnsi" w:hAnsiTheme="majorHAnsi"/>
          <w:color w:val="000000" w:themeColor="text1"/>
          <w:sz w:val="24"/>
          <w:szCs w:val="24"/>
          <w:lang w:val="ro-MD"/>
        </w:rPr>
        <w:t xml:space="preserve"> militarilor şi a persoanelor din corpul de comandă şi din trupele organelor afacerilor interne </w:t>
      </w:r>
      <w:r w:rsidR="00084F75" w:rsidRPr="00736448">
        <w:rPr>
          <w:rFonts w:asciiTheme="majorHAnsi" w:hAnsiTheme="majorHAnsi" w:cstheme="majorHAnsi"/>
          <w:sz w:val="24"/>
          <w:szCs w:val="24"/>
          <w:lang w:val="ro-MD"/>
        </w:rPr>
        <w:t>se calculează din: salariul funcției, salariul pentru gradul militar sau special, sporul procentual pentru vechime în serviciu primite înainte de concediere, precum și din media lunară a altor recompense, plăți, sporuri și suplimente primite în</w:t>
      </w:r>
      <w:r w:rsidR="00084F75" w:rsidRPr="00B7675F">
        <w:rPr>
          <w:rFonts w:asciiTheme="majorHAnsi" w:hAnsiTheme="majorHAnsi" w:cstheme="majorHAnsi"/>
          <w:sz w:val="24"/>
          <w:szCs w:val="24"/>
          <w:lang w:val="ro-MD"/>
        </w:rPr>
        <w:t xml:space="preserve"> ultimul an de serviciu, cu excepția plăților compensatorii și a îndemnizației bănești unice.</w:t>
      </w:r>
      <w:r w:rsidR="0053271A" w:rsidRPr="00B7675F">
        <w:rPr>
          <w:rFonts w:asciiTheme="majorHAnsi" w:hAnsiTheme="majorHAnsi" w:cstheme="majorHAnsi"/>
          <w:sz w:val="24"/>
          <w:szCs w:val="24"/>
          <w:lang w:val="ro-MD"/>
        </w:rPr>
        <w:t xml:space="preserve"> Concomitent, Legea </w:t>
      </w:r>
      <w:r w:rsidR="00424EFE" w:rsidRPr="0038225D">
        <w:rPr>
          <w:rFonts w:asciiTheme="majorHAnsi" w:hAnsiTheme="majorHAnsi" w:cstheme="majorHAnsi"/>
          <w:sz w:val="24"/>
          <w:szCs w:val="24"/>
          <w:lang w:val="ro-MD"/>
        </w:rPr>
        <w:t>nr.</w:t>
      </w:r>
      <w:r w:rsidR="0053271A" w:rsidRPr="0038225D">
        <w:rPr>
          <w:rFonts w:asciiTheme="majorHAnsi" w:hAnsiTheme="majorHAnsi" w:cstheme="majorHAnsi"/>
          <w:sz w:val="24"/>
          <w:szCs w:val="24"/>
          <w:lang w:val="ro-MD"/>
        </w:rPr>
        <w:t>270 prevede</w:t>
      </w:r>
      <w:r w:rsidR="002A0DCE" w:rsidRPr="00186CDB">
        <w:rPr>
          <w:rFonts w:asciiTheme="majorHAnsi" w:hAnsiTheme="majorHAnsi" w:cstheme="majorHAnsi"/>
          <w:sz w:val="24"/>
          <w:szCs w:val="24"/>
          <w:lang w:val="ro-MD"/>
        </w:rPr>
        <w:t xml:space="preserve"> că salariul lunar al personalului din unitățile bugetare este constituit din: salariu de bază, spor </w:t>
      </w:r>
      <w:r w:rsidR="002A0DCE" w:rsidRPr="00B7675F">
        <w:rPr>
          <w:rFonts w:asciiTheme="majorHAnsi" w:hAnsiTheme="majorHAnsi" w:cstheme="majorHAnsi"/>
          <w:sz w:val="24"/>
          <w:szCs w:val="24"/>
          <w:lang w:val="ro-MD"/>
        </w:rPr>
        <w:t>pentru performanță și spor cu caracter specific.</w:t>
      </w:r>
      <w:r w:rsidR="00084F75" w:rsidRPr="00B7675F">
        <w:rPr>
          <w:rFonts w:asciiTheme="majorHAnsi" w:hAnsiTheme="majorHAnsi" w:cstheme="majorHAnsi"/>
          <w:sz w:val="24"/>
          <w:szCs w:val="24"/>
          <w:lang w:val="ro-MD"/>
        </w:rPr>
        <w:t xml:space="preserve"> Odată cu intrarea în vigoare a Legii privind sistemul unic de salarizare</w:t>
      </w:r>
      <w:r w:rsidR="00084F75" w:rsidRPr="00B7675F">
        <w:rPr>
          <w:rStyle w:val="a5"/>
          <w:rFonts w:asciiTheme="majorHAnsi" w:hAnsiTheme="majorHAnsi" w:cstheme="majorHAnsi"/>
          <w:sz w:val="24"/>
          <w:szCs w:val="24"/>
          <w:lang w:val="ro-MD"/>
        </w:rPr>
        <w:footnoteReference w:id="82"/>
      </w:r>
      <w:r w:rsidR="00084F75" w:rsidRPr="00B7675F">
        <w:rPr>
          <w:rFonts w:asciiTheme="majorHAnsi" w:hAnsiTheme="majorHAnsi" w:cstheme="majorHAnsi"/>
          <w:sz w:val="24"/>
          <w:szCs w:val="24"/>
          <w:lang w:val="ro-MD"/>
        </w:rPr>
        <w:t>, se denotă lipsa concordanței între sporurile salariale și cele care se iau în calcul la stabilirea pensiei. Aceste circumstanțe creează incertitudini privind conformitatea stabilirii pensiei acestei categorii de beneficiari.</w:t>
      </w:r>
    </w:p>
    <w:p w14:paraId="712A9086" w14:textId="6DAB2C6A" w:rsidR="0053271A" w:rsidRPr="00B7675F" w:rsidRDefault="0053271A" w:rsidP="00C87A3D">
      <w:pPr>
        <w:pStyle w:val="aa"/>
        <w:shd w:val="clear" w:color="auto" w:fill="FFFFFF" w:themeFill="background1"/>
        <w:spacing w:line="276" w:lineRule="auto"/>
        <w:ind w:left="0"/>
        <w:jc w:val="both"/>
        <w:rPr>
          <w:rFonts w:asciiTheme="majorHAnsi" w:hAnsiTheme="majorHAnsi" w:cstheme="majorHAnsi"/>
          <w:sz w:val="24"/>
          <w:szCs w:val="24"/>
          <w:lang w:val="ro-MD"/>
        </w:rPr>
      </w:pPr>
      <w:r w:rsidRPr="0038225D">
        <w:rPr>
          <w:rFonts w:asciiTheme="majorHAnsi" w:hAnsiTheme="majorHAnsi" w:cstheme="majorHAnsi"/>
          <w:sz w:val="24"/>
          <w:szCs w:val="24"/>
          <w:lang w:val="ro-MD"/>
        </w:rPr>
        <w:t>Deși CNAS</w:t>
      </w:r>
      <w:r w:rsidRPr="00186CDB">
        <w:rPr>
          <w:rFonts w:asciiTheme="majorHAnsi" w:hAnsiTheme="majorHAnsi" w:cstheme="majorHAnsi"/>
          <w:sz w:val="24"/>
          <w:szCs w:val="24"/>
          <w:lang w:val="ro-MD"/>
        </w:rPr>
        <w:t xml:space="preserve"> a solicitat interpretări ale actelor legislative de la Ministerul Muncii și Protecției Sociale, menționăm că Legea </w:t>
      </w:r>
      <w:r w:rsidR="00424EFE" w:rsidRPr="00B7675F">
        <w:rPr>
          <w:rFonts w:asciiTheme="majorHAnsi" w:hAnsiTheme="majorHAnsi" w:cstheme="majorHAnsi"/>
          <w:sz w:val="24"/>
          <w:szCs w:val="24"/>
          <w:lang w:val="ro-MD"/>
        </w:rPr>
        <w:t>nr.</w:t>
      </w:r>
      <w:r w:rsidRPr="00B7675F">
        <w:rPr>
          <w:rFonts w:asciiTheme="majorHAnsi" w:hAnsiTheme="majorHAnsi" w:cstheme="majorHAnsi"/>
          <w:sz w:val="24"/>
          <w:szCs w:val="24"/>
          <w:lang w:val="ro-MD"/>
        </w:rPr>
        <w:t>100</w:t>
      </w:r>
      <w:r w:rsidRPr="00B7675F">
        <w:rPr>
          <w:rStyle w:val="a5"/>
          <w:rFonts w:asciiTheme="majorHAnsi" w:hAnsiTheme="majorHAnsi" w:cstheme="majorHAnsi"/>
          <w:sz w:val="24"/>
          <w:szCs w:val="24"/>
          <w:lang w:val="ro-MD"/>
        </w:rPr>
        <w:footnoteReference w:id="83"/>
      </w:r>
      <w:r w:rsidRPr="00B7675F">
        <w:rPr>
          <w:rFonts w:asciiTheme="majorHAnsi" w:hAnsiTheme="majorHAnsi" w:cstheme="majorHAnsi"/>
          <w:sz w:val="24"/>
          <w:szCs w:val="24"/>
          <w:lang w:val="ro-MD"/>
        </w:rPr>
        <w:t xml:space="preserve"> prevede că interpretarea oficială a actelor legislative </w:t>
      </w:r>
      <w:r w:rsidRPr="0038225D">
        <w:rPr>
          <w:rFonts w:asciiTheme="majorHAnsi" w:hAnsiTheme="majorHAnsi" w:cstheme="majorHAnsi"/>
          <w:sz w:val="24"/>
          <w:szCs w:val="24"/>
          <w:lang w:val="ro-MD"/>
        </w:rPr>
        <w:t xml:space="preserve">se efectuează de către Parlament. Respectiv, calcularea pensiei se realizează în baza mediei lunare a salariului lunar – salariu de bază, grad, diferența și sporurile stabilite cu caracter permanent în conformitate cu Legea </w:t>
      </w:r>
      <w:r w:rsidR="00424EFE" w:rsidRPr="00B7675F">
        <w:rPr>
          <w:rFonts w:asciiTheme="majorHAnsi" w:hAnsiTheme="majorHAnsi" w:cstheme="majorHAnsi"/>
          <w:sz w:val="24"/>
          <w:szCs w:val="24"/>
          <w:lang w:val="ro-MD"/>
        </w:rPr>
        <w:t>nr.</w:t>
      </w:r>
      <w:r w:rsidRPr="00B7675F">
        <w:rPr>
          <w:rFonts w:asciiTheme="majorHAnsi" w:hAnsiTheme="majorHAnsi" w:cstheme="majorHAnsi"/>
          <w:sz w:val="24"/>
          <w:szCs w:val="24"/>
          <w:lang w:val="ro-MD"/>
        </w:rPr>
        <w:t xml:space="preserve">270/2018 și interpretările MMPS. </w:t>
      </w:r>
    </w:p>
    <w:p w14:paraId="59E909FE" w14:textId="77777777" w:rsidR="00424EFE" w:rsidRPr="00B7675F" w:rsidRDefault="00424EFE" w:rsidP="00C87A3D">
      <w:pPr>
        <w:pStyle w:val="aa"/>
        <w:shd w:val="clear" w:color="auto" w:fill="FFFFFF" w:themeFill="background1"/>
        <w:spacing w:line="276" w:lineRule="auto"/>
        <w:ind w:left="0"/>
        <w:jc w:val="both"/>
        <w:rPr>
          <w:rFonts w:asciiTheme="majorHAnsi" w:hAnsiTheme="majorHAnsi" w:cstheme="majorHAnsi"/>
          <w:sz w:val="24"/>
          <w:szCs w:val="24"/>
          <w:lang w:val="ro-MD"/>
        </w:rPr>
      </w:pPr>
    </w:p>
    <w:p w14:paraId="1508AB08" w14:textId="72C5A637" w:rsidR="004720C1" w:rsidRPr="00B7675F" w:rsidRDefault="0053271A" w:rsidP="002A0DCE">
      <w:pPr>
        <w:pStyle w:val="aa"/>
        <w:shd w:val="clear" w:color="auto" w:fill="FFFFFF" w:themeFill="background1"/>
        <w:spacing w:line="276" w:lineRule="auto"/>
        <w:ind w:left="0"/>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 xml:space="preserve">În </w:t>
      </w:r>
      <w:r w:rsidR="00424EFE" w:rsidRPr="00B7675F">
        <w:rPr>
          <w:rFonts w:asciiTheme="majorHAnsi" w:hAnsiTheme="majorHAnsi" w:cstheme="majorHAnsi"/>
          <w:sz w:val="24"/>
          <w:szCs w:val="24"/>
          <w:lang w:val="ro-MD"/>
        </w:rPr>
        <w:t xml:space="preserve">acest </w:t>
      </w:r>
      <w:r w:rsidRPr="00B7675F">
        <w:rPr>
          <w:rFonts w:asciiTheme="majorHAnsi" w:hAnsiTheme="majorHAnsi" w:cstheme="majorHAnsi"/>
          <w:sz w:val="24"/>
          <w:szCs w:val="24"/>
          <w:lang w:val="ro-MD"/>
        </w:rPr>
        <w:t>context, precizăm că ambiguitățile cadrului legal creează incertitudini la determinarea cuantumului pensiei</w:t>
      </w:r>
      <w:r w:rsidR="00424EFE" w:rsidRPr="00B7675F">
        <w:rPr>
          <w:rFonts w:asciiTheme="majorHAnsi" w:hAnsiTheme="majorHAnsi" w:cstheme="majorHAnsi"/>
          <w:sz w:val="24"/>
          <w:szCs w:val="24"/>
          <w:lang w:val="ro-MD"/>
        </w:rPr>
        <w:t>,</w:t>
      </w:r>
      <w:r w:rsidRPr="00B7675F">
        <w:rPr>
          <w:rFonts w:asciiTheme="majorHAnsi" w:hAnsiTheme="majorHAnsi" w:cstheme="majorHAnsi"/>
          <w:sz w:val="24"/>
          <w:szCs w:val="24"/>
          <w:lang w:val="ro-MD"/>
        </w:rPr>
        <w:t xml:space="preserve"> care prin interpretarea diferită pot defavoriza/avantaja beneficiarii.</w:t>
      </w:r>
    </w:p>
    <w:p w14:paraId="4002384A" w14:textId="77777777" w:rsidR="002A0DCE" w:rsidRPr="00B7675F" w:rsidRDefault="002A0DCE" w:rsidP="002A0DCE">
      <w:pPr>
        <w:pStyle w:val="aa"/>
        <w:shd w:val="clear" w:color="auto" w:fill="FFFFFF" w:themeFill="background1"/>
        <w:spacing w:line="276" w:lineRule="auto"/>
        <w:ind w:left="0"/>
        <w:jc w:val="both"/>
        <w:rPr>
          <w:rFonts w:asciiTheme="majorHAnsi" w:hAnsiTheme="majorHAnsi" w:cstheme="majorHAnsi"/>
          <w:sz w:val="24"/>
          <w:szCs w:val="24"/>
          <w:lang w:val="ro-MD"/>
        </w:rPr>
      </w:pPr>
    </w:p>
    <w:p w14:paraId="7BD29D90" w14:textId="1DA57392" w:rsidR="00782913" w:rsidRPr="00736448" w:rsidRDefault="00782913" w:rsidP="00782913">
      <w:pPr>
        <w:pStyle w:val="aa"/>
        <w:numPr>
          <w:ilvl w:val="1"/>
          <w:numId w:val="2"/>
        </w:numPr>
        <w:spacing w:after="0" w:line="276" w:lineRule="auto"/>
        <w:jc w:val="both"/>
        <w:outlineLvl w:val="1"/>
        <w:rPr>
          <w:rFonts w:asciiTheme="majorHAnsi" w:eastAsia="Calibri" w:hAnsiTheme="majorHAnsi" w:cstheme="majorHAnsi"/>
          <w:b/>
          <w:noProof/>
          <w:sz w:val="24"/>
          <w:szCs w:val="24"/>
          <w:lang w:val="ro-MD"/>
        </w:rPr>
      </w:pPr>
      <w:r w:rsidRPr="00736448">
        <w:rPr>
          <w:rFonts w:asciiTheme="majorHAnsi" w:eastAsia="Calibri" w:hAnsiTheme="majorHAnsi" w:cstheme="majorHAnsi"/>
          <w:b/>
          <w:noProof/>
          <w:sz w:val="24"/>
          <w:szCs w:val="24"/>
          <w:lang w:val="ro-MD"/>
        </w:rPr>
        <w:t xml:space="preserve">Termenul de examinare a indemnizației în cazul decesului unuia dintre soți este depășit de la 14 la 75 </w:t>
      </w:r>
      <w:r w:rsidR="00424EFE" w:rsidRPr="00736448">
        <w:rPr>
          <w:rFonts w:asciiTheme="majorHAnsi" w:eastAsia="Calibri" w:hAnsiTheme="majorHAnsi" w:cstheme="majorHAnsi"/>
          <w:b/>
          <w:noProof/>
          <w:sz w:val="24"/>
          <w:szCs w:val="24"/>
          <w:lang w:val="ro-MD"/>
        </w:rPr>
        <w:t xml:space="preserve">de </w:t>
      </w:r>
      <w:r w:rsidRPr="00736448">
        <w:rPr>
          <w:rFonts w:asciiTheme="majorHAnsi" w:eastAsia="Calibri" w:hAnsiTheme="majorHAnsi" w:cstheme="majorHAnsi"/>
          <w:b/>
          <w:noProof/>
          <w:sz w:val="24"/>
          <w:szCs w:val="24"/>
          <w:lang w:val="ro-MD"/>
        </w:rPr>
        <w:t>zile</w:t>
      </w:r>
      <w:r w:rsidR="00424EFE" w:rsidRPr="00736448">
        <w:rPr>
          <w:rFonts w:asciiTheme="majorHAnsi" w:eastAsia="Calibri" w:hAnsiTheme="majorHAnsi" w:cstheme="majorHAnsi"/>
          <w:b/>
          <w:noProof/>
          <w:sz w:val="24"/>
          <w:szCs w:val="24"/>
          <w:lang w:val="ro-MD"/>
        </w:rPr>
        <w:t>.</w:t>
      </w:r>
      <w:r w:rsidRPr="00736448">
        <w:rPr>
          <w:rFonts w:asciiTheme="majorHAnsi" w:eastAsia="Calibri" w:hAnsiTheme="majorHAnsi" w:cstheme="majorHAnsi"/>
          <w:b/>
          <w:noProof/>
          <w:sz w:val="24"/>
          <w:szCs w:val="24"/>
          <w:lang w:val="ro-MD"/>
        </w:rPr>
        <w:t xml:space="preserve"> </w:t>
      </w:r>
    </w:p>
    <w:p w14:paraId="4C1F2DB4" w14:textId="677E954E" w:rsidR="00727823" w:rsidRPr="00736448" w:rsidRDefault="00727823" w:rsidP="00207E44">
      <w:pPr>
        <w:spacing w:line="276" w:lineRule="auto"/>
        <w:jc w:val="both"/>
        <w:rPr>
          <w:rFonts w:asciiTheme="majorHAnsi" w:eastAsia="Calibri" w:hAnsiTheme="majorHAnsi" w:cstheme="majorHAnsi"/>
          <w:bCs/>
          <w:iCs/>
          <w:noProof/>
          <w:sz w:val="24"/>
          <w:szCs w:val="24"/>
          <w:lang w:val="ro-MD"/>
        </w:rPr>
      </w:pPr>
      <w:r w:rsidRPr="00736448">
        <w:rPr>
          <w:rFonts w:asciiTheme="majorHAnsi" w:eastAsia="Calibri" w:hAnsiTheme="majorHAnsi" w:cstheme="majorHAnsi"/>
          <w:bCs/>
          <w:iCs/>
          <w:noProof/>
          <w:sz w:val="24"/>
          <w:szCs w:val="24"/>
          <w:lang w:val="ro-MD"/>
        </w:rPr>
        <w:t xml:space="preserve">Pentru plata indemnizației în cazul decesului unuia dintre soți au fost prevăzute inițial cheltuieli în sumă de 37 479,0 mii lei, care ulterior au fost precizate până la 41 636,7 mii </w:t>
      </w:r>
      <w:r w:rsidR="00424EFE" w:rsidRPr="00736448">
        <w:rPr>
          <w:rFonts w:asciiTheme="majorHAnsi" w:eastAsia="Calibri" w:hAnsiTheme="majorHAnsi" w:cstheme="majorHAnsi"/>
          <w:bCs/>
          <w:iCs/>
          <w:noProof/>
          <w:sz w:val="24"/>
          <w:szCs w:val="24"/>
          <w:lang w:val="ro-MD"/>
        </w:rPr>
        <w:t>l</w:t>
      </w:r>
      <w:r w:rsidRPr="00736448">
        <w:rPr>
          <w:rFonts w:asciiTheme="majorHAnsi" w:eastAsia="Calibri" w:hAnsiTheme="majorHAnsi" w:cstheme="majorHAnsi"/>
          <w:bCs/>
          <w:iCs/>
          <w:noProof/>
          <w:sz w:val="24"/>
          <w:szCs w:val="24"/>
          <w:lang w:val="ro-MD"/>
        </w:rPr>
        <w:t>ei</w:t>
      </w:r>
      <w:r w:rsidR="00207E44" w:rsidRPr="00736448">
        <w:rPr>
          <w:rFonts w:asciiTheme="majorHAnsi" w:eastAsia="Calibri" w:hAnsiTheme="majorHAnsi" w:cstheme="majorHAnsi"/>
          <w:bCs/>
          <w:iCs/>
          <w:noProof/>
          <w:sz w:val="24"/>
          <w:szCs w:val="24"/>
          <w:lang w:val="ro-MD"/>
        </w:rPr>
        <w:t>. De această prestație beneficiază</w:t>
      </w:r>
      <w:r w:rsidRPr="00736448">
        <w:rPr>
          <w:rFonts w:asciiTheme="majorHAnsi" w:eastAsia="Calibri" w:hAnsiTheme="majorHAnsi" w:cstheme="majorHAnsi"/>
          <w:bCs/>
          <w:iCs/>
          <w:noProof/>
          <w:sz w:val="24"/>
          <w:szCs w:val="24"/>
          <w:lang w:val="ro-MD"/>
        </w:rPr>
        <w:t xml:space="preserve"> 1 854 de beneficiari, iar mărimea medie a indemnizației a constituit 2 152,49 lei. Comparativ cu cheltuielile efective ale anului 2021, cheltuielile au crescut cu 15 129,6 mii lei, </w:t>
      </w:r>
      <w:r w:rsidR="00424EFE" w:rsidRPr="00736448">
        <w:rPr>
          <w:rFonts w:asciiTheme="majorHAnsi" w:eastAsia="Calibri" w:hAnsiTheme="majorHAnsi" w:cstheme="majorHAnsi"/>
          <w:bCs/>
          <w:iCs/>
          <w:noProof/>
          <w:sz w:val="24"/>
          <w:szCs w:val="24"/>
          <w:lang w:val="ro-MD"/>
        </w:rPr>
        <w:t>creșterea fiind</w:t>
      </w:r>
      <w:r w:rsidRPr="00736448">
        <w:rPr>
          <w:rFonts w:asciiTheme="majorHAnsi" w:eastAsia="Calibri" w:hAnsiTheme="majorHAnsi" w:cstheme="majorHAnsi"/>
          <w:bCs/>
          <w:iCs/>
          <w:noProof/>
          <w:sz w:val="24"/>
          <w:szCs w:val="24"/>
          <w:lang w:val="ro-MD"/>
        </w:rPr>
        <w:t xml:space="preserve"> influențată atât de majorarea numărului de beneficiari</w:t>
      </w:r>
      <w:r w:rsidR="00424EFE" w:rsidRPr="00736448">
        <w:rPr>
          <w:rFonts w:asciiTheme="majorHAnsi" w:eastAsia="Calibri" w:hAnsiTheme="majorHAnsi" w:cstheme="majorHAnsi"/>
          <w:bCs/>
          <w:iCs/>
          <w:noProof/>
          <w:sz w:val="24"/>
          <w:szCs w:val="24"/>
          <w:lang w:val="ro-MD"/>
        </w:rPr>
        <w:t>,</w:t>
      </w:r>
      <w:r w:rsidRPr="00736448">
        <w:rPr>
          <w:rFonts w:asciiTheme="majorHAnsi" w:eastAsia="Calibri" w:hAnsiTheme="majorHAnsi" w:cstheme="majorHAnsi"/>
          <w:bCs/>
          <w:iCs/>
          <w:noProof/>
          <w:sz w:val="24"/>
          <w:szCs w:val="24"/>
          <w:lang w:val="ro-MD"/>
        </w:rPr>
        <w:t xml:space="preserve"> cu 441 </w:t>
      </w:r>
      <w:r w:rsidR="00424EFE" w:rsidRPr="00736448">
        <w:rPr>
          <w:rFonts w:asciiTheme="majorHAnsi" w:eastAsia="Calibri" w:hAnsiTheme="majorHAnsi" w:cstheme="majorHAnsi"/>
          <w:bCs/>
          <w:iCs/>
          <w:noProof/>
          <w:sz w:val="24"/>
          <w:szCs w:val="24"/>
          <w:lang w:val="ro-MD"/>
        </w:rPr>
        <w:t xml:space="preserve">de </w:t>
      </w:r>
      <w:r w:rsidRPr="00736448">
        <w:rPr>
          <w:rFonts w:asciiTheme="majorHAnsi" w:eastAsia="Calibri" w:hAnsiTheme="majorHAnsi" w:cstheme="majorHAnsi"/>
          <w:bCs/>
          <w:iCs/>
          <w:noProof/>
          <w:sz w:val="24"/>
          <w:szCs w:val="24"/>
          <w:lang w:val="ro-MD"/>
        </w:rPr>
        <w:t>persoane, cât și de creșterea mărimii medii a indemnizației cu 196,65 lei.</w:t>
      </w:r>
    </w:p>
    <w:p w14:paraId="2211B6AF" w14:textId="307A3412" w:rsidR="00782913" w:rsidRPr="00736448" w:rsidRDefault="00782913" w:rsidP="00207E44">
      <w:pPr>
        <w:spacing w:line="276" w:lineRule="auto"/>
        <w:jc w:val="both"/>
        <w:rPr>
          <w:rFonts w:asciiTheme="majorHAnsi" w:eastAsia="Calibri" w:hAnsiTheme="majorHAnsi" w:cstheme="majorHAnsi"/>
          <w:sz w:val="24"/>
          <w:szCs w:val="24"/>
          <w:lang w:val="ro-MD" w:eastAsia="ro-RO"/>
        </w:rPr>
      </w:pPr>
      <w:r w:rsidRPr="00736448">
        <w:rPr>
          <w:rFonts w:asciiTheme="majorHAnsi" w:eastAsia="Calibri" w:hAnsiTheme="majorHAnsi" w:cstheme="majorHAnsi"/>
          <w:sz w:val="24"/>
          <w:szCs w:val="24"/>
          <w:lang w:val="ro-MD"/>
        </w:rPr>
        <w:t xml:space="preserve">La </w:t>
      </w:r>
      <w:r w:rsidRPr="00736448">
        <w:rPr>
          <w:rFonts w:asciiTheme="majorHAnsi" w:hAnsiTheme="majorHAnsi" w:cstheme="majorHAnsi"/>
          <w:sz w:val="24"/>
          <w:szCs w:val="24"/>
          <w:lang w:val="ro-MD"/>
        </w:rPr>
        <w:t xml:space="preserve">verificarea regularității stabilirii/calculării indemnizației în cazul decesului unuia dintre soți nu au fost </w:t>
      </w:r>
      <w:r w:rsidR="00424EFE" w:rsidRPr="00736448">
        <w:rPr>
          <w:rFonts w:asciiTheme="majorHAnsi" w:hAnsiTheme="majorHAnsi" w:cstheme="majorHAnsi"/>
          <w:sz w:val="24"/>
          <w:szCs w:val="24"/>
          <w:lang w:val="ro-MD"/>
        </w:rPr>
        <w:t xml:space="preserve">atestate </w:t>
      </w:r>
      <w:r w:rsidRPr="00736448">
        <w:rPr>
          <w:rFonts w:asciiTheme="majorHAnsi" w:hAnsiTheme="majorHAnsi" w:cstheme="majorHAnsi"/>
          <w:sz w:val="24"/>
          <w:szCs w:val="24"/>
          <w:lang w:val="ro-MD"/>
        </w:rPr>
        <w:t xml:space="preserve">iregularități. </w:t>
      </w:r>
      <w:r w:rsidR="00207E44" w:rsidRPr="00736448">
        <w:rPr>
          <w:rFonts w:asciiTheme="majorHAnsi" w:hAnsiTheme="majorHAnsi" w:cstheme="majorHAnsi"/>
          <w:sz w:val="24"/>
          <w:szCs w:val="24"/>
          <w:lang w:val="ro-MD"/>
        </w:rPr>
        <w:t>Totodată</w:t>
      </w:r>
      <w:r w:rsidRPr="00736448">
        <w:rPr>
          <w:rFonts w:asciiTheme="majorHAnsi" w:hAnsiTheme="majorHAnsi" w:cstheme="majorHAnsi"/>
          <w:sz w:val="24"/>
          <w:szCs w:val="24"/>
          <w:lang w:val="ro-MD"/>
        </w:rPr>
        <w:t>, s-a stabilit că</w:t>
      </w:r>
      <w:r w:rsidR="00424EFE"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în cazul a 10,3% din dosarele verificate, termenul de examinare a indemnizației în cazul decesului unuia dintre soți este depășit de la 14 până la 75 </w:t>
      </w:r>
      <w:r w:rsidR="00424EFE" w:rsidRPr="00736448">
        <w:rPr>
          <w:rFonts w:asciiTheme="majorHAnsi" w:hAnsiTheme="majorHAnsi" w:cstheme="majorHAnsi"/>
          <w:sz w:val="24"/>
          <w:szCs w:val="24"/>
          <w:lang w:val="ro-MD"/>
        </w:rPr>
        <w:t xml:space="preserve">de </w:t>
      </w:r>
      <w:r w:rsidRPr="00736448">
        <w:rPr>
          <w:rFonts w:asciiTheme="majorHAnsi" w:hAnsiTheme="majorHAnsi" w:cstheme="majorHAnsi"/>
          <w:sz w:val="24"/>
          <w:szCs w:val="24"/>
          <w:lang w:val="ro-MD"/>
        </w:rPr>
        <w:t>zile</w:t>
      </w:r>
      <w:r w:rsidR="00424EFE"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ceea ce determină reflectarea sumelor achitate (32,7 mii lei) în perioade necorespunzătoare. Cu referire la raportarea cheltuielilor aferente</w:t>
      </w:r>
      <w:r w:rsidR="00424EFE"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nu s-au stabilit e</w:t>
      </w:r>
      <w:r w:rsidRPr="00736448">
        <w:rPr>
          <w:rFonts w:asciiTheme="majorHAnsi" w:eastAsia="Calibri" w:hAnsiTheme="majorHAnsi" w:cstheme="majorHAnsi"/>
          <w:sz w:val="24"/>
          <w:szCs w:val="24"/>
          <w:lang w:val="ro-MD"/>
        </w:rPr>
        <w:t>rori, mărimile prestațiilor</w:t>
      </w:r>
      <w:r w:rsidRPr="00736448">
        <w:rPr>
          <w:rFonts w:asciiTheme="majorHAnsi" w:eastAsia="Calibri" w:hAnsiTheme="majorHAnsi" w:cstheme="majorHAnsi"/>
          <w:sz w:val="24"/>
          <w:szCs w:val="24"/>
          <w:lang w:val="ro-MD" w:eastAsia="ro-RO"/>
        </w:rPr>
        <w:t xml:space="preserve"> fiind înregistrate la conturile prevăzute în acest sens.</w:t>
      </w:r>
    </w:p>
    <w:p w14:paraId="6DAF7D48" w14:textId="5B2C6C68" w:rsidR="00FA7FB2" w:rsidRPr="00736448" w:rsidRDefault="00FA7FB2" w:rsidP="00FA7FB2">
      <w:pPr>
        <w:pStyle w:val="Default"/>
        <w:numPr>
          <w:ilvl w:val="1"/>
          <w:numId w:val="2"/>
        </w:numPr>
        <w:spacing w:line="276" w:lineRule="auto"/>
        <w:ind w:left="0" w:firstLine="0"/>
        <w:jc w:val="both"/>
        <w:outlineLvl w:val="1"/>
        <w:rPr>
          <w:color w:val="000000" w:themeColor="text1"/>
          <w:lang w:val="ro-MD"/>
        </w:rPr>
      </w:pPr>
      <w:r w:rsidRPr="00736448">
        <w:rPr>
          <w:rFonts w:asciiTheme="majorHAnsi" w:hAnsiTheme="majorHAnsi" w:cstheme="majorHAnsi"/>
          <w:b/>
          <w:color w:val="000000" w:themeColor="text1"/>
          <w:lang w:val="ro-MD"/>
        </w:rPr>
        <w:t>Ajutorul de șomaj a fost stabilit în cuantum exact. Totodată, transmiterea tardivă de către ANOFM a unor date din decizia de suspendare a ajutorului de șomaj, a determinat o supraplată unui beneficiar în sumă de 1,2 mii lei.</w:t>
      </w:r>
    </w:p>
    <w:p w14:paraId="006617B7" w14:textId="4AD3A3C0" w:rsidR="00FA7FB2" w:rsidRPr="00B7675F" w:rsidRDefault="00FA7FB2" w:rsidP="00FA7FB2">
      <w:pPr>
        <w:pStyle w:val="a6"/>
        <w:spacing w:line="276" w:lineRule="auto"/>
        <w:ind w:firstLine="0"/>
        <w:rPr>
          <w:rFonts w:asciiTheme="majorHAnsi" w:eastAsiaTheme="minorHAnsi" w:hAnsiTheme="majorHAnsi" w:cstheme="majorHAnsi"/>
          <w:lang w:val="ro-MD"/>
        </w:rPr>
      </w:pPr>
      <w:r w:rsidRPr="00736448">
        <w:rPr>
          <w:rFonts w:asciiTheme="majorHAnsi" w:hAnsiTheme="majorHAnsi" w:cstheme="majorHAnsi"/>
          <w:color w:val="000000"/>
          <w:lang w:val="ro-MD"/>
        </w:rPr>
        <w:t>Dreptul la ajutorul de șomaj se stabilește de către subdiviziunile teritoriale ale Agenției Naționale pentru Ocuparea Forței de Muncă</w:t>
      </w:r>
      <w:r w:rsidRPr="00736448">
        <w:rPr>
          <w:rStyle w:val="a5"/>
          <w:rFonts w:asciiTheme="majorHAnsi" w:eastAsiaTheme="majorEastAsia" w:hAnsiTheme="majorHAnsi" w:cstheme="majorHAnsi"/>
          <w:color w:val="000000"/>
          <w:lang w:val="ro-MD"/>
        </w:rPr>
        <w:footnoteReference w:id="84"/>
      </w:r>
      <w:r w:rsidRPr="00736448">
        <w:rPr>
          <w:rFonts w:asciiTheme="majorHAnsi" w:hAnsiTheme="majorHAnsi" w:cstheme="majorHAnsi"/>
          <w:color w:val="000000"/>
          <w:lang w:val="ro-MD"/>
        </w:rPr>
        <w:t>. Începând cu 1 ianuarie 2019</w:t>
      </w:r>
      <w:r w:rsidRPr="00736448">
        <w:rPr>
          <w:rStyle w:val="a5"/>
          <w:rFonts w:asciiTheme="majorHAnsi" w:eastAsiaTheme="majorEastAsia" w:hAnsiTheme="majorHAnsi" w:cstheme="majorHAnsi"/>
          <w:color w:val="000000"/>
          <w:lang w:val="ro-MD"/>
        </w:rPr>
        <w:footnoteReference w:id="85"/>
      </w:r>
      <w:r w:rsidRPr="00736448">
        <w:rPr>
          <w:rFonts w:asciiTheme="majorHAnsi" w:hAnsiTheme="majorHAnsi" w:cstheme="majorHAnsi"/>
          <w:color w:val="000000"/>
          <w:lang w:val="ro-MD"/>
        </w:rPr>
        <w:t>, stabilirea cuantumului și plata lunară a ajutorului de șomaj se realizează de către Casa Națională de Asigurări Sociale. Astfel, s</w:t>
      </w:r>
      <w:r w:rsidRPr="00B7675F">
        <w:rPr>
          <w:rFonts w:asciiTheme="majorHAnsi" w:eastAsiaTheme="minorHAnsi" w:hAnsiTheme="majorHAnsi" w:cstheme="majorHAnsi"/>
          <w:lang w:val="ro-MD"/>
        </w:rPr>
        <w:t>ubdiviziunile teritori</w:t>
      </w:r>
      <w:r w:rsidRPr="0038225D">
        <w:rPr>
          <w:rFonts w:asciiTheme="majorHAnsi" w:eastAsiaTheme="minorHAnsi" w:hAnsiTheme="majorHAnsi" w:cstheme="majorHAnsi"/>
          <w:lang w:val="ro-MD"/>
        </w:rPr>
        <w:t>ale ale CNAS, prin intermediul conexiunilor inter</w:t>
      </w:r>
      <w:r w:rsidRPr="00E15964">
        <w:rPr>
          <w:rFonts w:asciiTheme="majorHAnsi" w:eastAsiaTheme="minorHAnsi" w:hAnsiTheme="majorHAnsi" w:cstheme="majorHAnsi"/>
          <w:lang w:val="ro-MD"/>
        </w:rPr>
        <w:t>sistemice, recepționează în regim on</w:t>
      </w:r>
      <w:r w:rsidRPr="00B7675F">
        <w:rPr>
          <w:rFonts w:asciiTheme="majorHAnsi" w:eastAsiaTheme="minorHAnsi" w:hAnsiTheme="majorHAnsi" w:cstheme="majorHAnsi"/>
          <w:lang w:val="ro-MD"/>
        </w:rPr>
        <w:t>line datele din decizia privind stabilirea dreptului la ajutorul de șomaj, decizia de suspendare sau încetare a plății ajutorului de șomaj, decizia de restabilire a plății ajutorului de șomaj. Decizia privind calcularea cuantumului ajutorului de șomaj se emite în mod automat în sistemul informațional</w:t>
      </w:r>
      <w:r w:rsidRPr="00B7675F">
        <w:rPr>
          <w:rFonts w:asciiTheme="majorHAnsi" w:eastAsiaTheme="minorHAnsi" w:hAnsiTheme="majorHAnsi" w:cstheme="majorHAnsi"/>
          <w:vertAlign w:val="superscript"/>
          <w:lang w:val="ro-MD"/>
        </w:rPr>
        <w:footnoteReference w:id="86"/>
      </w:r>
      <w:r w:rsidRPr="00B7675F">
        <w:rPr>
          <w:rFonts w:asciiTheme="majorHAnsi" w:eastAsiaTheme="minorHAnsi" w:hAnsiTheme="majorHAnsi" w:cstheme="majorHAnsi"/>
          <w:lang w:val="ro-MD"/>
        </w:rPr>
        <w:t>.</w:t>
      </w:r>
    </w:p>
    <w:p w14:paraId="26A01CEF" w14:textId="77777777" w:rsidR="00296463" w:rsidRPr="00736448" w:rsidRDefault="00296463" w:rsidP="00FA7FB2">
      <w:pPr>
        <w:pStyle w:val="a6"/>
        <w:spacing w:line="276" w:lineRule="auto"/>
        <w:ind w:firstLine="0"/>
        <w:rPr>
          <w:rFonts w:asciiTheme="majorHAnsi" w:hAnsiTheme="majorHAnsi" w:cstheme="majorHAnsi"/>
          <w:color w:val="000000"/>
          <w:lang w:val="ro-MD"/>
        </w:rPr>
      </w:pPr>
    </w:p>
    <w:p w14:paraId="67A871F6" w14:textId="7CA58AAE" w:rsidR="00FA7FB2" w:rsidRPr="00736448" w:rsidRDefault="00FA7FB2" w:rsidP="00FA7FB2">
      <w:pPr>
        <w:pStyle w:val="a6"/>
        <w:spacing w:line="276" w:lineRule="auto"/>
        <w:ind w:firstLine="0"/>
        <w:rPr>
          <w:rFonts w:asciiTheme="majorHAnsi" w:hAnsiTheme="majorHAnsi" w:cstheme="majorHAnsi"/>
          <w:color w:val="000000"/>
          <w:lang w:val="ro-MD"/>
        </w:rPr>
      </w:pPr>
      <w:r w:rsidRPr="00736448">
        <w:rPr>
          <w:rFonts w:asciiTheme="majorHAnsi" w:hAnsiTheme="majorHAnsi" w:cstheme="majorHAnsi"/>
          <w:color w:val="000000"/>
          <w:lang w:val="ro-MD"/>
        </w:rPr>
        <w:t>Pe parcursul anului 2022, Agenția Națională pentru Ocuparea Forței de Muncă a emis și a transmis în regim online către Casa Națională 4 726 decizii de stabilire a dreptului la ajutor de șomaj, iar în anul 2021, 5 886 decizii, cu 1 160 mai puțin comparativ cu anul precedent. Astfel, în anul 2022 au fost executate 40,9  mil.lei pentru asigurarea dreptului la ajutor de șomaj, cu 7,2  mil.lei mai puțin decât în anul 2021. Diminuarea numărului deciziilor, precum și cheltuielilor aferente au fost condiționate de aplanarea situației pandemice.</w:t>
      </w:r>
    </w:p>
    <w:p w14:paraId="4428EA32" w14:textId="75C62F44" w:rsidR="00FA7FB2" w:rsidRPr="00736448" w:rsidRDefault="00FA7FB2" w:rsidP="00FA7FB2">
      <w:pPr>
        <w:spacing w:after="0" w:line="276" w:lineRule="auto"/>
        <w:jc w:val="both"/>
        <w:rPr>
          <w:rFonts w:asciiTheme="majorHAnsi" w:eastAsia="Times New Roman" w:hAnsiTheme="majorHAnsi" w:cstheme="majorHAnsi"/>
          <w:color w:val="000000"/>
          <w:sz w:val="24"/>
          <w:szCs w:val="24"/>
          <w:lang w:val="ro-MD"/>
        </w:rPr>
      </w:pPr>
      <w:r w:rsidRPr="00736448">
        <w:rPr>
          <w:rFonts w:asciiTheme="majorHAnsi" w:eastAsia="Times New Roman" w:hAnsiTheme="majorHAnsi" w:cstheme="majorHAnsi"/>
          <w:color w:val="000000"/>
          <w:sz w:val="24"/>
          <w:szCs w:val="24"/>
          <w:lang w:val="ro-MD"/>
        </w:rPr>
        <w:t>Cu privire la exactitatea stabilirii ajutorului de șomaj, auditorul denotă că, în cazul a 60 de dosare verificate, cuantumul a fost calculat exact, fiind respectate condițiile prevăzute de legislație. Totodată, au fost constatate unele deficiențe ce țin de plata exactă a prestației. Astfel</w:t>
      </w:r>
      <w:r w:rsidR="00A846C2" w:rsidRPr="00736448">
        <w:rPr>
          <w:rFonts w:asciiTheme="majorHAnsi" w:eastAsia="Times New Roman" w:hAnsiTheme="majorHAnsi" w:cstheme="majorHAnsi"/>
          <w:color w:val="000000"/>
          <w:sz w:val="24"/>
          <w:szCs w:val="24"/>
          <w:lang w:val="ro-MD"/>
        </w:rPr>
        <w:t>,</w:t>
      </w:r>
    </w:p>
    <w:p w14:paraId="70AD63BE" w14:textId="1523E478" w:rsidR="00FA7FB2" w:rsidRPr="00736448" w:rsidRDefault="00FA7FB2" w:rsidP="00FA7FB2">
      <w:pPr>
        <w:pStyle w:val="aa"/>
        <w:numPr>
          <w:ilvl w:val="0"/>
          <w:numId w:val="3"/>
        </w:numPr>
        <w:spacing w:after="0" w:line="276" w:lineRule="auto"/>
        <w:jc w:val="both"/>
        <w:rPr>
          <w:rFonts w:asciiTheme="majorHAnsi" w:eastAsia="Times New Roman" w:hAnsiTheme="majorHAnsi" w:cstheme="majorHAnsi"/>
          <w:color w:val="000000"/>
          <w:sz w:val="24"/>
          <w:szCs w:val="24"/>
          <w:lang w:val="ro-MD"/>
        </w:rPr>
      </w:pPr>
      <w:r w:rsidRPr="00736448">
        <w:rPr>
          <w:rFonts w:asciiTheme="majorHAnsi" w:eastAsia="Times New Roman" w:hAnsiTheme="majorHAnsi" w:cstheme="majorHAnsi"/>
          <w:color w:val="000000"/>
          <w:sz w:val="24"/>
          <w:szCs w:val="24"/>
          <w:lang w:val="ro-MD"/>
        </w:rPr>
        <w:t>în cazul unui beneficiar, ajutor</w:t>
      </w:r>
      <w:r w:rsidR="00A846C2" w:rsidRPr="00736448">
        <w:rPr>
          <w:rFonts w:asciiTheme="majorHAnsi" w:eastAsia="Times New Roman" w:hAnsiTheme="majorHAnsi" w:cstheme="majorHAnsi"/>
          <w:color w:val="000000"/>
          <w:sz w:val="24"/>
          <w:szCs w:val="24"/>
          <w:lang w:val="ro-MD"/>
        </w:rPr>
        <w:t>ul</w:t>
      </w:r>
      <w:r w:rsidRPr="00736448">
        <w:rPr>
          <w:rFonts w:asciiTheme="majorHAnsi" w:eastAsia="Times New Roman" w:hAnsiTheme="majorHAnsi" w:cstheme="majorHAnsi"/>
          <w:color w:val="000000"/>
          <w:sz w:val="24"/>
          <w:szCs w:val="24"/>
          <w:lang w:val="ro-MD"/>
        </w:rPr>
        <w:t xml:space="preserve"> de șomaj </w:t>
      </w:r>
      <w:r w:rsidR="00A846C2" w:rsidRPr="00736448">
        <w:rPr>
          <w:rFonts w:asciiTheme="majorHAnsi" w:eastAsia="Times New Roman" w:hAnsiTheme="majorHAnsi" w:cstheme="majorHAnsi"/>
          <w:color w:val="000000"/>
          <w:sz w:val="24"/>
          <w:szCs w:val="24"/>
          <w:lang w:val="ro-MD"/>
        </w:rPr>
        <w:t xml:space="preserve">i-a fost achitat </w:t>
      </w:r>
      <w:r w:rsidRPr="00736448">
        <w:rPr>
          <w:rFonts w:asciiTheme="majorHAnsi" w:eastAsia="Times New Roman" w:hAnsiTheme="majorHAnsi" w:cstheme="majorHAnsi"/>
          <w:color w:val="000000"/>
          <w:sz w:val="24"/>
          <w:szCs w:val="24"/>
          <w:lang w:val="ro-MD"/>
        </w:rPr>
        <w:t xml:space="preserve">suplimentar pentru 7 zile, contrar prevederilor legale, pe motiv că a fost reîncadrat în câmpul muncii, în acest context </w:t>
      </w:r>
      <w:r w:rsidR="00A846C2" w:rsidRPr="00736448">
        <w:rPr>
          <w:rFonts w:asciiTheme="majorHAnsi" w:eastAsia="Times New Roman" w:hAnsiTheme="majorHAnsi" w:cstheme="majorHAnsi"/>
          <w:color w:val="000000"/>
          <w:sz w:val="24"/>
          <w:szCs w:val="24"/>
          <w:lang w:val="ro-MD"/>
        </w:rPr>
        <w:t xml:space="preserve">fiindu-i </w:t>
      </w:r>
      <w:r w:rsidRPr="00736448">
        <w:rPr>
          <w:rFonts w:asciiTheme="majorHAnsi" w:eastAsia="Times New Roman" w:hAnsiTheme="majorHAnsi" w:cstheme="majorHAnsi"/>
          <w:color w:val="000000"/>
          <w:sz w:val="24"/>
          <w:szCs w:val="24"/>
          <w:lang w:val="ro-MD"/>
        </w:rPr>
        <w:t>achitat</w:t>
      </w:r>
      <w:r w:rsidR="00A846C2" w:rsidRPr="00736448">
        <w:rPr>
          <w:rFonts w:asciiTheme="majorHAnsi" w:eastAsia="Times New Roman" w:hAnsiTheme="majorHAnsi" w:cstheme="majorHAnsi"/>
          <w:color w:val="000000"/>
          <w:sz w:val="24"/>
          <w:szCs w:val="24"/>
          <w:lang w:val="ro-MD"/>
        </w:rPr>
        <w:t>e</w:t>
      </w:r>
      <w:r w:rsidRPr="00736448">
        <w:rPr>
          <w:rFonts w:asciiTheme="majorHAnsi" w:eastAsia="Times New Roman" w:hAnsiTheme="majorHAnsi" w:cstheme="majorHAnsi"/>
          <w:color w:val="000000"/>
          <w:sz w:val="24"/>
          <w:szCs w:val="24"/>
          <w:lang w:val="ro-MD"/>
        </w:rPr>
        <w:t xml:space="preserve"> suplimentar 1,2 mii lei;</w:t>
      </w:r>
    </w:p>
    <w:p w14:paraId="46D85939" w14:textId="3BB06D2C" w:rsidR="00FA7FB2" w:rsidRPr="00736448" w:rsidRDefault="00FA7FB2" w:rsidP="00FA7FB2">
      <w:pPr>
        <w:pStyle w:val="aa"/>
        <w:numPr>
          <w:ilvl w:val="0"/>
          <w:numId w:val="3"/>
        </w:numPr>
        <w:spacing w:after="0" w:line="276" w:lineRule="auto"/>
        <w:jc w:val="both"/>
        <w:rPr>
          <w:rFonts w:asciiTheme="majorHAnsi" w:eastAsia="Times New Roman" w:hAnsiTheme="majorHAnsi" w:cstheme="majorHAnsi"/>
          <w:color w:val="000000"/>
          <w:sz w:val="24"/>
          <w:szCs w:val="24"/>
          <w:lang w:val="ro-MD"/>
        </w:rPr>
      </w:pPr>
      <w:r w:rsidRPr="00736448">
        <w:rPr>
          <w:rFonts w:asciiTheme="majorHAnsi" w:hAnsiTheme="majorHAnsi" w:cstheme="majorHAnsi"/>
          <w:sz w:val="24"/>
          <w:szCs w:val="24"/>
          <w:lang w:val="ro-MD"/>
        </w:rPr>
        <w:t>în</w:t>
      </w:r>
      <w:r w:rsidR="00A846C2" w:rsidRPr="00736448">
        <w:rPr>
          <w:rFonts w:asciiTheme="majorHAnsi" w:hAnsiTheme="majorHAnsi" w:cstheme="majorHAnsi"/>
          <w:sz w:val="24"/>
          <w:szCs w:val="24"/>
          <w:lang w:val="ro-MD"/>
        </w:rPr>
        <w:t>tr-un alt</w:t>
      </w:r>
      <w:r w:rsidRPr="00736448">
        <w:rPr>
          <w:rFonts w:asciiTheme="majorHAnsi" w:hAnsiTheme="majorHAnsi" w:cstheme="majorHAnsi"/>
          <w:sz w:val="24"/>
          <w:szCs w:val="24"/>
          <w:lang w:val="ro-MD"/>
        </w:rPr>
        <w:t xml:space="preserve"> caz</w:t>
      </w:r>
      <w:r w:rsidR="00A846C2"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beneficiar</w:t>
      </w:r>
      <w:r w:rsidR="00A846C2" w:rsidRPr="00736448">
        <w:rPr>
          <w:rFonts w:asciiTheme="majorHAnsi" w:hAnsiTheme="majorHAnsi" w:cstheme="majorHAnsi"/>
          <w:sz w:val="24"/>
          <w:szCs w:val="24"/>
          <w:lang w:val="ro-MD"/>
        </w:rPr>
        <w:t>ul</w:t>
      </w:r>
      <w:r w:rsidRPr="00736448">
        <w:rPr>
          <w:rFonts w:asciiTheme="majorHAnsi" w:hAnsiTheme="majorHAnsi" w:cstheme="majorHAnsi"/>
          <w:sz w:val="24"/>
          <w:szCs w:val="24"/>
          <w:lang w:val="ro-MD"/>
        </w:rPr>
        <w:t xml:space="preserve"> a primit ajutor de șomaj în sumă de 19,7 mii lei, concomitent cu indemnizația de îngrijire a copilului, </w:t>
      </w:r>
      <w:r w:rsidR="00A846C2" w:rsidRPr="00736448">
        <w:rPr>
          <w:rFonts w:asciiTheme="majorHAnsi" w:hAnsiTheme="majorHAnsi" w:cstheme="majorHAnsi"/>
          <w:sz w:val="24"/>
          <w:szCs w:val="24"/>
          <w:lang w:val="ro-MD"/>
        </w:rPr>
        <w:t xml:space="preserve">ceea ce este </w:t>
      </w:r>
      <w:r w:rsidRPr="00736448">
        <w:rPr>
          <w:rFonts w:asciiTheme="majorHAnsi" w:hAnsiTheme="majorHAnsi" w:cstheme="majorHAnsi"/>
          <w:sz w:val="24"/>
          <w:szCs w:val="24"/>
          <w:lang w:val="ro-MD"/>
        </w:rPr>
        <w:t>contrar legislației. Ulterior</w:t>
      </w:r>
      <w:r w:rsidR="00A846C2"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w:t>
      </w:r>
      <w:r w:rsidR="00A846C2" w:rsidRPr="00736448">
        <w:rPr>
          <w:rFonts w:asciiTheme="majorHAnsi" w:hAnsiTheme="majorHAnsi" w:cstheme="majorHAnsi"/>
          <w:sz w:val="24"/>
          <w:szCs w:val="24"/>
          <w:lang w:val="ro-MD"/>
        </w:rPr>
        <w:t xml:space="preserve">acesta </w:t>
      </w:r>
      <w:r w:rsidRPr="00736448">
        <w:rPr>
          <w:rFonts w:asciiTheme="majorHAnsi" w:hAnsiTheme="majorHAnsi" w:cstheme="majorHAnsi"/>
          <w:sz w:val="24"/>
          <w:szCs w:val="24"/>
          <w:lang w:val="ro-MD"/>
        </w:rPr>
        <w:t xml:space="preserve">a restituit suma achitată necuvenit. </w:t>
      </w:r>
    </w:p>
    <w:p w14:paraId="0A252569" w14:textId="438B6323" w:rsidR="009B0BEC" w:rsidRPr="00736448" w:rsidRDefault="009B0BEC" w:rsidP="009B0BEC">
      <w:pPr>
        <w:shd w:val="clear" w:color="auto" w:fill="FFFFFF" w:themeFill="background1"/>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Subsecvent</w:t>
      </w:r>
      <w:r w:rsidR="00A846C2"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menționăm </w:t>
      </w:r>
      <w:r w:rsidR="00A846C2" w:rsidRPr="00736448">
        <w:rPr>
          <w:rFonts w:asciiTheme="majorHAnsi" w:hAnsiTheme="majorHAnsi" w:cstheme="majorHAnsi"/>
          <w:sz w:val="24"/>
          <w:szCs w:val="24"/>
          <w:lang w:val="ro-MD"/>
        </w:rPr>
        <w:t xml:space="preserve">că </w:t>
      </w:r>
      <w:r w:rsidRPr="00736448">
        <w:rPr>
          <w:rFonts w:asciiTheme="majorHAnsi" w:hAnsiTheme="majorHAnsi" w:cstheme="majorHAnsi"/>
          <w:sz w:val="24"/>
          <w:szCs w:val="24"/>
          <w:lang w:val="ro-MD"/>
        </w:rPr>
        <w:t xml:space="preserve">datele generate prin sistemul de interconexiune către ANOFM sunt inexacte/eronate, fiind atestate divergențe de la 1 lună la până la 14 ani. Astfel, ANOFM nu deține acces la datele integrale aferente stagiului de cotizare total, ci doar </w:t>
      </w:r>
      <w:r w:rsidR="00A610B9" w:rsidRPr="00736448">
        <w:rPr>
          <w:rFonts w:asciiTheme="majorHAnsi" w:hAnsiTheme="majorHAnsi" w:cstheme="majorHAnsi"/>
          <w:sz w:val="24"/>
          <w:szCs w:val="24"/>
          <w:lang w:val="ro-MD"/>
        </w:rPr>
        <w:t>privind</w:t>
      </w:r>
      <w:r w:rsidRPr="00736448">
        <w:rPr>
          <w:rFonts w:asciiTheme="majorHAnsi" w:hAnsiTheme="majorHAnsi" w:cstheme="majorHAnsi"/>
          <w:sz w:val="24"/>
          <w:szCs w:val="24"/>
          <w:lang w:val="ro-MD"/>
        </w:rPr>
        <w:t xml:space="preserve"> stagiul realizat după anul 1999. Prin urmare</w:t>
      </w:r>
      <w:r w:rsidR="00A610B9"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ANOFM</w:t>
      </w:r>
      <w:r w:rsidR="001C6D94" w:rsidRPr="00736448">
        <w:rPr>
          <w:rFonts w:asciiTheme="majorHAnsi" w:hAnsiTheme="majorHAnsi" w:cstheme="majorHAnsi"/>
          <w:sz w:val="24"/>
          <w:szCs w:val="24"/>
          <w:lang w:val="ro-MD"/>
        </w:rPr>
        <w:t xml:space="preserve"> urmează să solicite</w:t>
      </w:r>
      <w:r w:rsidR="00A610B9" w:rsidRPr="00736448">
        <w:rPr>
          <w:rFonts w:asciiTheme="majorHAnsi" w:hAnsiTheme="majorHAnsi" w:cstheme="majorHAnsi"/>
          <w:sz w:val="24"/>
          <w:szCs w:val="24"/>
          <w:lang w:val="ro-MD"/>
        </w:rPr>
        <w:t xml:space="preserve"> de la CNAS</w:t>
      </w:r>
      <w:r w:rsidR="001C6D94" w:rsidRPr="00736448">
        <w:rPr>
          <w:rFonts w:asciiTheme="majorHAnsi" w:hAnsiTheme="majorHAnsi" w:cstheme="majorHAnsi"/>
          <w:sz w:val="24"/>
          <w:szCs w:val="24"/>
          <w:lang w:val="ro-MD"/>
        </w:rPr>
        <w:t xml:space="preserve"> informația din carnetele de muncă scanate</w:t>
      </w:r>
      <w:r w:rsidR="00A610B9" w:rsidRPr="00736448">
        <w:rPr>
          <w:rFonts w:asciiTheme="majorHAnsi" w:hAnsiTheme="majorHAnsi" w:cstheme="majorHAnsi"/>
          <w:sz w:val="24"/>
          <w:szCs w:val="24"/>
          <w:lang w:val="ro-MD"/>
        </w:rPr>
        <w:t>,</w:t>
      </w:r>
      <w:r w:rsidR="001C6D94" w:rsidRPr="00736448">
        <w:rPr>
          <w:rFonts w:asciiTheme="majorHAnsi" w:hAnsiTheme="majorHAnsi" w:cstheme="majorHAnsi"/>
          <w:sz w:val="24"/>
          <w:szCs w:val="24"/>
          <w:lang w:val="ro-MD"/>
        </w:rPr>
        <w:t xml:space="preserve"> prin intermediul MConnet.</w:t>
      </w:r>
      <w:r w:rsidRPr="00736448">
        <w:rPr>
          <w:rFonts w:asciiTheme="majorHAnsi" w:hAnsiTheme="majorHAnsi" w:cstheme="majorHAnsi"/>
          <w:sz w:val="24"/>
          <w:szCs w:val="24"/>
          <w:lang w:val="ro-MD"/>
        </w:rPr>
        <w:t xml:space="preserve"> Menționăm că stagiul de cotizare reprezintă o condiție obligatorie pentru stabilirea dreptului și durata ajutorului de șomaj.</w:t>
      </w:r>
    </w:p>
    <w:p w14:paraId="7A97E905" w14:textId="6D878F5C" w:rsidR="009B0BEC" w:rsidRPr="00736448" w:rsidRDefault="009B0BEC" w:rsidP="009B0BEC">
      <w:pPr>
        <w:shd w:val="clear" w:color="auto" w:fill="FFFFFF" w:themeFill="background1"/>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Unele deficiențe au </w:t>
      </w:r>
      <w:r w:rsidR="00A610B9" w:rsidRPr="00736448">
        <w:rPr>
          <w:rFonts w:asciiTheme="majorHAnsi" w:hAnsiTheme="majorHAnsi" w:cstheme="majorHAnsi"/>
          <w:sz w:val="24"/>
          <w:szCs w:val="24"/>
          <w:lang w:val="ro-MD"/>
        </w:rPr>
        <w:t xml:space="preserve">fost </w:t>
      </w:r>
      <w:r w:rsidRPr="00736448">
        <w:rPr>
          <w:rFonts w:asciiTheme="majorHAnsi" w:hAnsiTheme="majorHAnsi" w:cstheme="majorHAnsi"/>
          <w:sz w:val="24"/>
          <w:szCs w:val="24"/>
          <w:lang w:val="ro-MD"/>
        </w:rPr>
        <w:t>identificat</w:t>
      </w:r>
      <w:r w:rsidR="00A610B9" w:rsidRPr="00736448">
        <w:rPr>
          <w:rFonts w:asciiTheme="majorHAnsi" w:hAnsiTheme="majorHAnsi" w:cstheme="majorHAnsi"/>
          <w:sz w:val="24"/>
          <w:szCs w:val="24"/>
          <w:lang w:val="ro-MD"/>
        </w:rPr>
        <w:t>e</w:t>
      </w:r>
      <w:r w:rsidRPr="00736448">
        <w:rPr>
          <w:rFonts w:asciiTheme="majorHAnsi" w:hAnsiTheme="majorHAnsi" w:cstheme="majorHAnsi"/>
          <w:sz w:val="24"/>
          <w:szCs w:val="24"/>
          <w:lang w:val="ro-MD"/>
        </w:rPr>
        <w:t xml:space="preserve"> în aspectul integrității dosarului beneficiarului</w:t>
      </w:r>
      <w:r w:rsidR="00A610B9"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în 23 de cazuri (38,3%) în dosare nu erau numerotate toate filele, îndeosebi extrasul din cont al beneficiarului, ceea ce denotă că a fost anexat ulterior. </w:t>
      </w:r>
    </w:p>
    <w:p w14:paraId="30E57729" w14:textId="442C085F" w:rsidR="00782913" w:rsidRPr="00736448" w:rsidRDefault="00782913" w:rsidP="00D85A40">
      <w:pPr>
        <w:pStyle w:val="aa"/>
        <w:numPr>
          <w:ilvl w:val="1"/>
          <w:numId w:val="2"/>
        </w:numPr>
        <w:spacing w:line="276" w:lineRule="auto"/>
        <w:ind w:left="0" w:firstLine="0"/>
        <w:contextualSpacing w:val="0"/>
        <w:jc w:val="both"/>
        <w:outlineLvl w:val="1"/>
        <w:rPr>
          <w:rFonts w:asciiTheme="majorHAnsi" w:hAnsiTheme="majorHAnsi" w:cstheme="majorHAnsi"/>
          <w:b/>
          <w:sz w:val="24"/>
          <w:szCs w:val="24"/>
          <w:lang w:val="ro-MD"/>
        </w:rPr>
      </w:pPr>
      <w:r w:rsidRPr="00736448">
        <w:rPr>
          <w:rFonts w:asciiTheme="majorHAnsi" w:hAnsiTheme="majorHAnsi" w:cstheme="majorHAnsi"/>
          <w:b/>
          <w:sz w:val="24"/>
          <w:szCs w:val="24"/>
          <w:lang w:val="ro-MD"/>
        </w:rPr>
        <w:t>Cadrul legal nu conține delimitări exhaustive ale instituției ce efectuează stabilirea/plata pensiilor persoanelor care au ocupat funcția de Președinte al Republicii Moldova</w:t>
      </w:r>
      <w:r w:rsidR="00E76BA8" w:rsidRPr="00736448">
        <w:rPr>
          <w:rFonts w:asciiTheme="majorHAnsi" w:hAnsiTheme="majorHAnsi" w:cstheme="majorHAnsi"/>
          <w:b/>
          <w:sz w:val="24"/>
          <w:szCs w:val="24"/>
          <w:lang w:val="ro-MD"/>
        </w:rPr>
        <w:t>, astfel ace</w:t>
      </w:r>
      <w:r w:rsidRPr="00736448">
        <w:rPr>
          <w:rFonts w:asciiTheme="majorHAnsi" w:hAnsiTheme="majorHAnsi" w:cstheme="majorHAnsi"/>
          <w:b/>
          <w:sz w:val="24"/>
          <w:szCs w:val="24"/>
          <w:lang w:val="ro-MD"/>
        </w:rPr>
        <w:t>stea se efectuează de un organ care nu are atribuții în acest sens</w:t>
      </w:r>
      <w:r w:rsidR="00A610B9" w:rsidRPr="00736448">
        <w:rPr>
          <w:rFonts w:asciiTheme="majorHAnsi" w:hAnsiTheme="majorHAnsi" w:cstheme="majorHAnsi"/>
          <w:b/>
          <w:sz w:val="24"/>
          <w:szCs w:val="24"/>
          <w:lang w:val="ro-MD"/>
        </w:rPr>
        <w:t>.</w:t>
      </w:r>
    </w:p>
    <w:p w14:paraId="6E191A90" w14:textId="4F9926B0" w:rsidR="00782913" w:rsidRPr="00736448" w:rsidRDefault="00782913" w:rsidP="00782913">
      <w:pPr>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Potrivit art. 30 din Legea nr. 156/1998, entitățile responsabile de stabilirea și efectuarea plăți</w:t>
      </w:r>
      <w:r w:rsidR="00A610B9" w:rsidRPr="00736448">
        <w:rPr>
          <w:rFonts w:asciiTheme="majorHAnsi" w:hAnsiTheme="majorHAnsi" w:cstheme="majorHAnsi"/>
          <w:sz w:val="24"/>
          <w:szCs w:val="24"/>
          <w:lang w:val="ro-MD"/>
        </w:rPr>
        <w:t>i</w:t>
      </w:r>
      <w:r w:rsidRPr="00736448">
        <w:rPr>
          <w:rFonts w:asciiTheme="majorHAnsi" w:hAnsiTheme="majorHAnsi" w:cstheme="majorHAnsi"/>
          <w:sz w:val="24"/>
          <w:szCs w:val="24"/>
          <w:lang w:val="ro-MD"/>
        </w:rPr>
        <w:t xml:space="preserve"> pensiilor sunt organele de asigurări sociale. Totodată, potrivit art.13 din Legea nr.1111/1997 privind asigurarea activității Președintelui Republicii Moldova, persoana care a ocupat funcția de Președinte al Republicii Moldova beneficiază de o pensie în mărime de 42% din suma tuturor plăților lunare ale Președintelui în exercițiu. Concomitent, potrivit art. 18 al aceleiași legi, cheltuielile pentru asigurarea cu pensii </w:t>
      </w:r>
      <w:r w:rsidR="00A610B9" w:rsidRPr="00736448">
        <w:rPr>
          <w:rFonts w:asciiTheme="majorHAnsi" w:hAnsiTheme="majorHAnsi" w:cstheme="majorHAnsi"/>
          <w:sz w:val="24"/>
          <w:szCs w:val="24"/>
          <w:lang w:val="ro-MD"/>
        </w:rPr>
        <w:t xml:space="preserve">a </w:t>
      </w:r>
      <w:r w:rsidRPr="00736448">
        <w:rPr>
          <w:rFonts w:asciiTheme="majorHAnsi" w:hAnsiTheme="majorHAnsi" w:cstheme="majorHAnsi"/>
          <w:sz w:val="24"/>
          <w:szCs w:val="24"/>
          <w:lang w:val="ro-MD"/>
        </w:rPr>
        <w:t>acestei categorii de beneficiari se acoperă din mijloacele financiare ale Aparatului Președintelui Republicii Moldova, prevăzute în bugetul de stat. Subsecvent, auditul menționează că prevederile menționate nu determină expres instituția care efectuează stabilirea, calculul și plata pensiei Președintelui, ci doar sursa de finanțare. Astfel, Casa Națională de Asigurări Sociale realizează stabilirea și plata tuturor pensiilor, cu excepția pensiei persoanelor care au ocupat funcția de Președinte al Republicii Moldova. De remarcat că în anul 2017 s-a urmărit unificarea sistemului de pensii, astfel pensiile militarilor şi a</w:t>
      </w:r>
      <w:r w:rsidR="00A610B9" w:rsidRPr="00736448">
        <w:rPr>
          <w:rFonts w:asciiTheme="majorHAnsi" w:hAnsiTheme="majorHAnsi" w:cstheme="majorHAnsi"/>
          <w:sz w:val="24"/>
          <w:szCs w:val="24"/>
          <w:lang w:val="ro-MD"/>
        </w:rPr>
        <w:t>le</w:t>
      </w:r>
      <w:r w:rsidRPr="00736448">
        <w:rPr>
          <w:rFonts w:asciiTheme="majorHAnsi" w:hAnsiTheme="majorHAnsi" w:cstheme="majorHAnsi"/>
          <w:sz w:val="24"/>
          <w:szCs w:val="24"/>
          <w:lang w:val="ro-MD"/>
        </w:rPr>
        <w:t xml:space="preserve"> persoanelor din corpul de comandă şi din trupele organelor afacerilor interne au trecut spre deservire la CNAS. Cu toate acestea, pensiile președinților </w:t>
      </w:r>
      <w:r w:rsidR="00A610B9" w:rsidRPr="00736448">
        <w:rPr>
          <w:rFonts w:asciiTheme="majorHAnsi" w:hAnsiTheme="majorHAnsi" w:cstheme="majorHAnsi"/>
          <w:sz w:val="24"/>
          <w:szCs w:val="24"/>
          <w:lang w:val="ro-MD"/>
        </w:rPr>
        <w:t xml:space="preserve">de țară </w:t>
      </w:r>
      <w:r w:rsidRPr="00736448">
        <w:rPr>
          <w:rFonts w:asciiTheme="majorHAnsi" w:hAnsiTheme="majorHAnsi" w:cstheme="majorHAnsi"/>
          <w:sz w:val="24"/>
          <w:szCs w:val="24"/>
          <w:lang w:val="ro-MD"/>
        </w:rPr>
        <w:t>nu au fost integrate în acest sistem.</w:t>
      </w:r>
    </w:p>
    <w:p w14:paraId="541CE8C4" w14:textId="73E7DC25" w:rsidR="00782913" w:rsidRPr="00736448" w:rsidRDefault="00782913" w:rsidP="00782913">
      <w:pPr>
        <w:pStyle w:val="aa"/>
        <w:spacing w:line="276" w:lineRule="auto"/>
        <w:ind w:left="0"/>
        <w:contextualSpacing w:val="0"/>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Subsecvent, menționăm că Casa Națională de Asigurări Sociale efectuează stabilirea și plata prestațiilor finanțate inclusiv din bugetul de stat. Astfel, Ministerul Finanțelor virează mijloacele financiare prevăzute de la bugetul de stat la bugetul asigurărilor sociale de stat pe conturile de plăți ale Casei Naționale de Asigurări Sociale destinate prestațiilor sociale de la bugetul de stat, iar plata prestațiilor sociale de la bugetul de stat se efectuează după virarea sumelor respective</w:t>
      </w:r>
      <w:r w:rsidRPr="00736448">
        <w:rPr>
          <w:rStyle w:val="a5"/>
          <w:rFonts w:asciiTheme="majorHAnsi" w:hAnsiTheme="majorHAnsi" w:cstheme="majorHAnsi"/>
          <w:sz w:val="24"/>
          <w:szCs w:val="24"/>
          <w:lang w:val="ro-MD"/>
        </w:rPr>
        <w:footnoteReference w:id="87"/>
      </w:r>
      <w:r w:rsidRPr="00736448">
        <w:rPr>
          <w:rFonts w:asciiTheme="majorHAnsi" w:hAnsiTheme="majorHAnsi" w:cstheme="majorHAnsi"/>
          <w:sz w:val="24"/>
          <w:szCs w:val="24"/>
          <w:lang w:val="ro-MD"/>
        </w:rPr>
        <w:t xml:space="preserve">, </w:t>
      </w:r>
      <w:r w:rsidR="00004F79" w:rsidRPr="00736448">
        <w:rPr>
          <w:rFonts w:asciiTheme="majorHAnsi" w:hAnsiTheme="majorHAnsi" w:cstheme="majorHAnsi"/>
          <w:sz w:val="24"/>
          <w:szCs w:val="24"/>
          <w:lang w:val="ro-MD"/>
        </w:rPr>
        <w:t>ceea ce</w:t>
      </w:r>
      <w:r w:rsidRPr="00736448">
        <w:rPr>
          <w:rFonts w:asciiTheme="majorHAnsi" w:hAnsiTheme="majorHAnsi" w:cstheme="majorHAnsi"/>
          <w:sz w:val="24"/>
          <w:szCs w:val="24"/>
          <w:lang w:val="ro-MD"/>
        </w:rPr>
        <w:t xml:space="preserve"> denotă că această prestație nu este inclusă spre plată prin intermediul CNAS. </w:t>
      </w:r>
      <w:r w:rsidR="003D6D40" w:rsidRPr="00736448">
        <w:rPr>
          <w:rFonts w:asciiTheme="majorHAnsi" w:hAnsiTheme="majorHAnsi" w:cstheme="majorHAnsi"/>
          <w:color w:val="000000" w:themeColor="text1"/>
          <w:sz w:val="24"/>
          <w:szCs w:val="24"/>
          <w:lang w:val="ro-MD"/>
        </w:rPr>
        <w:t>Totodată, pensii</w:t>
      </w:r>
      <w:r w:rsidR="00004F79" w:rsidRPr="00736448">
        <w:rPr>
          <w:rFonts w:asciiTheme="majorHAnsi" w:hAnsiTheme="majorHAnsi" w:cstheme="majorHAnsi"/>
          <w:color w:val="000000" w:themeColor="text1"/>
          <w:sz w:val="24"/>
          <w:szCs w:val="24"/>
          <w:lang w:val="ro-MD"/>
        </w:rPr>
        <w:t xml:space="preserve">le acordate </w:t>
      </w:r>
      <w:r w:rsidR="00004F79" w:rsidRPr="00736448">
        <w:rPr>
          <w:rFonts w:asciiTheme="majorHAnsi" w:hAnsiTheme="majorHAnsi" w:cstheme="majorHAnsi"/>
          <w:sz w:val="24"/>
          <w:szCs w:val="24"/>
          <w:lang w:val="ro-MD"/>
        </w:rPr>
        <w:t>persoanelor care au ocupat funcția de Președinte al Republicii Moldova</w:t>
      </w:r>
      <w:r w:rsidR="003D6D40" w:rsidRPr="00736448">
        <w:rPr>
          <w:rFonts w:asciiTheme="majorHAnsi" w:hAnsiTheme="majorHAnsi" w:cstheme="majorHAnsi"/>
          <w:color w:val="000000" w:themeColor="text1"/>
          <w:sz w:val="24"/>
          <w:szCs w:val="24"/>
          <w:lang w:val="ro-MD"/>
        </w:rPr>
        <w:t xml:space="preserve"> nu sunt supuse indexării </w:t>
      </w:r>
      <w:r w:rsidR="003D6D40" w:rsidRPr="00736448">
        <w:rPr>
          <w:rFonts w:asciiTheme="majorHAnsi" w:hAnsiTheme="majorHAnsi" w:cstheme="majorHAnsi"/>
          <w:color w:val="000000" w:themeColor="text1"/>
          <w:sz w:val="24"/>
          <w:szCs w:val="24"/>
          <w:shd w:val="clear" w:color="auto" w:fill="FFFFFF"/>
          <w:lang w:val="ro-MD"/>
        </w:rPr>
        <w:t>și nu se ține cont de creșterea anuală a indicelui prețurilor de consum pentru anul precedent.</w:t>
      </w:r>
    </w:p>
    <w:p w14:paraId="741A9B1D" w14:textId="20F5606B" w:rsidR="00782913" w:rsidRPr="00736448" w:rsidRDefault="00782913" w:rsidP="00782913">
      <w:pPr>
        <w:pStyle w:val="aa"/>
        <w:spacing w:line="276" w:lineRule="auto"/>
        <w:ind w:left="0"/>
        <w:contextualSpacing w:val="0"/>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În </w:t>
      </w:r>
      <w:r w:rsidR="00004F79" w:rsidRPr="00736448">
        <w:rPr>
          <w:rFonts w:asciiTheme="majorHAnsi" w:hAnsiTheme="majorHAnsi" w:cstheme="majorHAnsi"/>
          <w:sz w:val="24"/>
          <w:szCs w:val="24"/>
          <w:lang w:val="ro-MD"/>
        </w:rPr>
        <w:t xml:space="preserve">acest </w:t>
      </w:r>
      <w:r w:rsidRPr="00736448">
        <w:rPr>
          <w:rFonts w:asciiTheme="majorHAnsi" w:hAnsiTheme="majorHAnsi" w:cstheme="majorHAnsi"/>
          <w:sz w:val="24"/>
          <w:szCs w:val="24"/>
          <w:lang w:val="ro-MD"/>
        </w:rPr>
        <w:t>context, auditul constată lipsa unei delimitări exhaustive a organelor ce efectuează stabilirea/plata pensiilor persoanelor care au ocupat funcția de Președinte al Republicii Moldova. Se menționează că Aparatul Președintelui Republicii Moldova are în deservire 3 persoane, iar pe parcursul anilor 2020-2022 au fost executate cheltuieli în sumă de 1,8 mil</w:t>
      </w:r>
      <w:r w:rsidR="00004F79"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lei (câte 0,53 mil</w:t>
      </w:r>
      <w:r w:rsidR="001D2229" w:rsidRPr="00736448">
        <w:rPr>
          <w:rFonts w:asciiTheme="majorHAnsi" w:hAnsiTheme="majorHAnsi" w:cstheme="majorHAnsi"/>
          <w:sz w:val="24"/>
          <w:szCs w:val="24"/>
          <w:lang w:val="ro-MD"/>
        </w:rPr>
        <w:t xml:space="preserve">. </w:t>
      </w:r>
      <w:r w:rsidRPr="00736448">
        <w:rPr>
          <w:rFonts w:asciiTheme="majorHAnsi" w:hAnsiTheme="majorHAnsi" w:cstheme="majorHAnsi"/>
          <w:sz w:val="24"/>
          <w:szCs w:val="24"/>
          <w:lang w:val="ro-MD"/>
        </w:rPr>
        <w:t>lei anual).</w:t>
      </w:r>
    </w:p>
    <w:p w14:paraId="0205A8BB" w14:textId="6063B642" w:rsidR="00782913" w:rsidRPr="00736448" w:rsidRDefault="00782913" w:rsidP="00782913">
      <w:pPr>
        <w:shd w:val="clear" w:color="auto" w:fill="FFFFFF" w:themeFill="background1"/>
        <w:spacing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Precizăm că în acest aspect Aparatul Președintelui a venit cu o solicitare către Ministerul Munci</w:t>
      </w:r>
      <w:r w:rsidR="001D2229" w:rsidRPr="00736448">
        <w:rPr>
          <w:rFonts w:asciiTheme="majorHAnsi" w:hAnsiTheme="majorHAnsi" w:cstheme="majorHAnsi"/>
          <w:sz w:val="24"/>
          <w:szCs w:val="24"/>
          <w:lang w:val="ro-MD"/>
        </w:rPr>
        <w:t>i</w:t>
      </w:r>
      <w:r w:rsidRPr="00736448">
        <w:rPr>
          <w:rFonts w:asciiTheme="majorHAnsi" w:hAnsiTheme="majorHAnsi" w:cstheme="majorHAnsi"/>
          <w:sz w:val="24"/>
          <w:szCs w:val="24"/>
          <w:lang w:val="ro-MD"/>
        </w:rPr>
        <w:t xml:space="preserve"> și Protecției Sociale, iar Casa Națională și-a exprimat acordul de a prelua această categorie de beneficiari, totuși un proiect de lege definitivat în acest sens nu a fost elaborat.</w:t>
      </w:r>
    </w:p>
    <w:p w14:paraId="571FFFAA" w14:textId="094DC4DC" w:rsidR="00F43A3C" w:rsidRPr="00186CDB" w:rsidRDefault="003B63CA" w:rsidP="003B63CA">
      <w:pPr>
        <w:pStyle w:val="aa"/>
        <w:numPr>
          <w:ilvl w:val="1"/>
          <w:numId w:val="2"/>
        </w:numPr>
        <w:tabs>
          <w:tab w:val="left" w:pos="851"/>
        </w:tabs>
        <w:spacing w:after="0" w:line="276" w:lineRule="auto"/>
        <w:ind w:left="0" w:firstLine="0"/>
        <w:jc w:val="both"/>
        <w:outlineLvl w:val="1"/>
        <w:rPr>
          <w:rFonts w:asciiTheme="majorHAnsi" w:eastAsia="Times New Roman" w:hAnsiTheme="majorHAnsi" w:cstheme="majorHAnsi"/>
          <w:b/>
          <w:color w:val="000000"/>
          <w:spacing w:val="8"/>
          <w:sz w:val="24"/>
          <w:szCs w:val="24"/>
          <w:lang w:val="ro-MD"/>
        </w:rPr>
      </w:pPr>
      <w:r w:rsidRPr="00B7675F">
        <w:rPr>
          <w:rFonts w:asciiTheme="majorHAnsi" w:eastAsia="Times New Roman" w:hAnsiTheme="majorHAnsi" w:cstheme="majorHAnsi"/>
          <w:b/>
          <w:color w:val="000000"/>
          <w:spacing w:val="8"/>
          <w:sz w:val="24"/>
          <w:szCs w:val="24"/>
          <w:lang w:val="ro-MD"/>
        </w:rPr>
        <w:t>Numărul semnificativ de gospodării țărănești inactive a determinat necesitatea ajustării procedurii simplificate de radiere a acestora din Registrul fiscal de stat</w:t>
      </w:r>
      <w:r w:rsidR="00004F79" w:rsidRPr="00B7675F">
        <w:rPr>
          <w:rFonts w:asciiTheme="majorHAnsi" w:eastAsia="Times New Roman" w:hAnsiTheme="majorHAnsi" w:cstheme="majorHAnsi"/>
          <w:b/>
          <w:color w:val="000000"/>
          <w:spacing w:val="8"/>
          <w:sz w:val="24"/>
          <w:szCs w:val="24"/>
          <w:lang w:val="ro-MD"/>
        </w:rPr>
        <w:t>.</w:t>
      </w:r>
      <w:r w:rsidRPr="00B7675F">
        <w:rPr>
          <w:rFonts w:asciiTheme="majorHAnsi" w:eastAsia="Times New Roman" w:hAnsiTheme="majorHAnsi" w:cstheme="majorHAnsi"/>
          <w:b/>
          <w:color w:val="000000"/>
          <w:spacing w:val="8"/>
          <w:sz w:val="24"/>
          <w:szCs w:val="24"/>
          <w:lang w:val="ro-MD"/>
        </w:rPr>
        <w:t xml:space="preserve"> </w:t>
      </w:r>
      <w:r w:rsidR="00004F79" w:rsidRPr="00B7675F">
        <w:rPr>
          <w:rFonts w:asciiTheme="majorHAnsi" w:eastAsia="Times New Roman" w:hAnsiTheme="majorHAnsi" w:cstheme="majorHAnsi"/>
          <w:b/>
          <w:color w:val="000000"/>
          <w:spacing w:val="8"/>
          <w:sz w:val="24"/>
          <w:szCs w:val="24"/>
          <w:lang w:val="ro-MD"/>
        </w:rPr>
        <w:t>A</w:t>
      </w:r>
      <w:r w:rsidRPr="00B7675F">
        <w:rPr>
          <w:rFonts w:asciiTheme="majorHAnsi" w:eastAsia="Times New Roman" w:hAnsiTheme="majorHAnsi" w:cstheme="majorHAnsi"/>
          <w:b/>
          <w:color w:val="000000"/>
          <w:spacing w:val="8"/>
          <w:sz w:val="24"/>
          <w:szCs w:val="24"/>
          <w:lang w:val="ro-MD"/>
        </w:rPr>
        <w:t>stfel</w:t>
      </w:r>
      <w:r w:rsidR="00004F79" w:rsidRPr="00B7675F">
        <w:rPr>
          <w:rFonts w:asciiTheme="majorHAnsi" w:eastAsia="Times New Roman" w:hAnsiTheme="majorHAnsi" w:cstheme="majorHAnsi"/>
          <w:b/>
          <w:color w:val="000000"/>
          <w:spacing w:val="8"/>
          <w:sz w:val="24"/>
          <w:szCs w:val="24"/>
          <w:lang w:val="ro-MD"/>
        </w:rPr>
        <w:t>,</w:t>
      </w:r>
      <w:r w:rsidRPr="00B7675F">
        <w:rPr>
          <w:rFonts w:asciiTheme="majorHAnsi" w:eastAsia="Times New Roman" w:hAnsiTheme="majorHAnsi" w:cstheme="majorHAnsi"/>
          <w:b/>
          <w:color w:val="000000"/>
          <w:spacing w:val="8"/>
          <w:sz w:val="24"/>
          <w:szCs w:val="24"/>
          <w:lang w:val="ro-MD"/>
        </w:rPr>
        <w:t xml:space="preserve"> în prim</w:t>
      </w:r>
      <w:r w:rsidR="00004F79" w:rsidRPr="00B7675F">
        <w:rPr>
          <w:rFonts w:asciiTheme="majorHAnsi" w:eastAsia="Times New Roman" w:hAnsiTheme="majorHAnsi" w:cstheme="majorHAnsi"/>
          <w:b/>
          <w:color w:val="000000"/>
          <w:spacing w:val="8"/>
          <w:sz w:val="24"/>
          <w:szCs w:val="24"/>
          <w:lang w:val="ro-MD"/>
        </w:rPr>
        <w:t>a</w:t>
      </w:r>
      <w:r w:rsidRPr="00B7675F">
        <w:rPr>
          <w:rFonts w:asciiTheme="majorHAnsi" w:eastAsia="Times New Roman" w:hAnsiTheme="majorHAnsi" w:cstheme="majorHAnsi"/>
          <w:b/>
          <w:color w:val="000000"/>
          <w:spacing w:val="8"/>
          <w:sz w:val="24"/>
          <w:szCs w:val="24"/>
          <w:lang w:val="ro-MD"/>
        </w:rPr>
        <w:t xml:space="preserve"> etapă au fost radiate mai mult de 10 mii </w:t>
      </w:r>
      <w:r w:rsidR="00004F79" w:rsidRPr="00B7675F">
        <w:rPr>
          <w:rFonts w:asciiTheme="majorHAnsi" w:eastAsia="Times New Roman" w:hAnsiTheme="majorHAnsi" w:cstheme="majorHAnsi"/>
          <w:b/>
          <w:color w:val="000000"/>
          <w:spacing w:val="8"/>
          <w:sz w:val="24"/>
          <w:szCs w:val="24"/>
          <w:lang w:val="ro-MD"/>
        </w:rPr>
        <w:t xml:space="preserve">de </w:t>
      </w:r>
      <w:r w:rsidRPr="00B7675F">
        <w:rPr>
          <w:rFonts w:asciiTheme="majorHAnsi" w:eastAsia="Times New Roman" w:hAnsiTheme="majorHAnsi" w:cstheme="majorHAnsi"/>
          <w:b/>
          <w:color w:val="000000"/>
          <w:spacing w:val="8"/>
          <w:sz w:val="24"/>
          <w:szCs w:val="24"/>
          <w:lang w:val="ro-MD"/>
        </w:rPr>
        <w:t>g</w:t>
      </w:r>
      <w:r w:rsidR="00405A83" w:rsidRPr="00B7675F">
        <w:rPr>
          <w:rFonts w:asciiTheme="majorHAnsi" w:eastAsia="Times New Roman" w:hAnsiTheme="majorHAnsi" w:cstheme="majorHAnsi"/>
          <w:b/>
          <w:color w:val="000000"/>
          <w:spacing w:val="8"/>
          <w:sz w:val="24"/>
          <w:szCs w:val="24"/>
          <w:lang w:val="ro-MD"/>
        </w:rPr>
        <w:t>o</w:t>
      </w:r>
      <w:r w:rsidRPr="0038225D">
        <w:rPr>
          <w:rFonts w:asciiTheme="majorHAnsi" w:eastAsia="Times New Roman" w:hAnsiTheme="majorHAnsi" w:cstheme="majorHAnsi"/>
          <w:b/>
          <w:color w:val="000000"/>
          <w:spacing w:val="8"/>
          <w:sz w:val="24"/>
          <w:szCs w:val="24"/>
          <w:lang w:val="ro-MD"/>
        </w:rPr>
        <w:t>spodării</w:t>
      </w:r>
      <w:r w:rsidR="00F43A3C" w:rsidRPr="0038225D">
        <w:rPr>
          <w:rFonts w:asciiTheme="majorHAnsi" w:eastAsia="Times New Roman" w:hAnsiTheme="majorHAnsi" w:cstheme="majorHAnsi"/>
          <w:b/>
          <w:color w:val="000000"/>
          <w:spacing w:val="8"/>
          <w:sz w:val="24"/>
          <w:szCs w:val="24"/>
          <w:lang w:val="ro-MD"/>
        </w:rPr>
        <w:t xml:space="preserve"> țărănești</w:t>
      </w:r>
      <w:r w:rsidR="00004F79" w:rsidRPr="00B01D62">
        <w:rPr>
          <w:rFonts w:asciiTheme="majorHAnsi" w:eastAsia="Times New Roman" w:hAnsiTheme="majorHAnsi" w:cstheme="majorHAnsi"/>
          <w:b/>
          <w:color w:val="000000"/>
          <w:spacing w:val="8"/>
          <w:sz w:val="24"/>
          <w:szCs w:val="24"/>
          <w:lang w:val="ro-MD"/>
        </w:rPr>
        <w:t>.</w:t>
      </w:r>
    </w:p>
    <w:p w14:paraId="03CCE1A2" w14:textId="77777777" w:rsidR="00521CA4" w:rsidRPr="00736448" w:rsidRDefault="00521CA4" w:rsidP="00521CA4">
      <w:pPr>
        <w:tabs>
          <w:tab w:val="left" w:pos="851"/>
        </w:tabs>
        <w:spacing w:after="0" w:line="276" w:lineRule="auto"/>
        <w:jc w:val="both"/>
        <w:rPr>
          <w:rFonts w:asciiTheme="majorHAnsi" w:hAnsiTheme="majorHAnsi" w:cstheme="majorHAnsi"/>
          <w:sz w:val="24"/>
          <w:szCs w:val="24"/>
          <w:lang w:val="ro-MD"/>
        </w:rPr>
      </w:pPr>
    </w:p>
    <w:p w14:paraId="35FDA11D" w14:textId="132BFF5A" w:rsidR="00F03022" w:rsidRPr="00736448" w:rsidRDefault="00521CA4" w:rsidP="004470B3">
      <w:pPr>
        <w:shd w:val="clear" w:color="auto" w:fill="FFFFFF"/>
        <w:spacing w:line="276" w:lineRule="auto"/>
        <w:jc w:val="both"/>
        <w:textAlignment w:val="baseline"/>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În </w:t>
      </w:r>
      <w:r w:rsidR="003E1FC0" w:rsidRPr="00736448">
        <w:rPr>
          <w:rFonts w:asciiTheme="majorHAnsi" w:hAnsiTheme="majorHAnsi" w:cstheme="majorHAnsi"/>
          <w:sz w:val="24"/>
          <w:szCs w:val="24"/>
          <w:lang w:val="ro-MD"/>
        </w:rPr>
        <w:t>R</w:t>
      </w:r>
      <w:r w:rsidRPr="00736448">
        <w:rPr>
          <w:rFonts w:asciiTheme="majorHAnsi" w:hAnsiTheme="majorHAnsi" w:cstheme="majorHAnsi"/>
          <w:sz w:val="24"/>
          <w:szCs w:val="24"/>
          <w:lang w:val="ro-MD"/>
        </w:rPr>
        <w:t>egistrul fiscal de stat a</w:t>
      </w:r>
      <w:r w:rsidR="00004F79" w:rsidRPr="00736448">
        <w:rPr>
          <w:rFonts w:asciiTheme="majorHAnsi" w:hAnsiTheme="majorHAnsi" w:cstheme="majorHAnsi"/>
          <w:sz w:val="24"/>
          <w:szCs w:val="24"/>
          <w:lang w:val="ro-MD"/>
        </w:rPr>
        <w:t>l</w:t>
      </w:r>
      <w:r w:rsidRPr="00736448">
        <w:rPr>
          <w:rFonts w:asciiTheme="majorHAnsi" w:hAnsiTheme="majorHAnsi" w:cstheme="majorHAnsi"/>
          <w:sz w:val="24"/>
          <w:szCs w:val="24"/>
          <w:lang w:val="ro-MD"/>
        </w:rPr>
        <w:t xml:space="preserve"> gospodăriilor țărănești sunt înregistrate cca 110 mii </w:t>
      </w:r>
      <w:r w:rsidR="00004F79" w:rsidRPr="00736448">
        <w:rPr>
          <w:rFonts w:asciiTheme="majorHAnsi" w:hAnsiTheme="majorHAnsi" w:cstheme="majorHAnsi"/>
          <w:sz w:val="24"/>
          <w:szCs w:val="24"/>
          <w:lang w:val="ro-MD"/>
        </w:rPr>
        <w:t xml:space="preserve">de </w:t>
      </w:r>
      <w:r w:rsidRPr="00736448">
        <w:rPr>
          <w:rFonts w:asciiTheme="majorHAnsi" w:hAnsiTheme="majorHAnsi" w:cstheme="majorHAnsi"/>
          <w:sz w:val="24"/>
          <w:szCs w:val="24"/>
          <w:lang w:val="ro-MD"/>
        </w:rPr>
        <w:t>gospodării</w:t>
      </w:r>
      <w:r w:rsidR="00004F79"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dintre care doar cca 15 mii sunt active. Astfel, în anul 2022 a fost simplificată</w:t>
      </w:r>
      <w:r w:rsidR="00DA74E9" w:rsidRPr="00736448">
        <w:rPr>
          <w:rStyle w:val="a5"/>
          <w:rFonts w:asciiTheme="majorHAnsi" w:hAnsiTheme="majorHAnsi" w:cstheme="majorHAnsi"/>
          <w:sz w:val="24"/>
          <w:szCs w:val="24"/>
          <w:lang w:val="ro-MD"/>
        </w:rPr>
        <w:footnoteReference w:id="88"/>
      </w:r>
      <w:r w:rsidRPr="00736448">
        <w:rPr>
          <w:rFonts w:asciiTheme="majorHAnsi" w:hAnsiTheme="majorHAnsi" w:cstheme="majorHAnsi"/>
          <w:sz w:val="24"/>
          <w:szCs w:val="24"/>
          <w:lang w:val="ro-MD"/>
        </w:rPr>
        <w:t xml:space="preserve"> procedura de radiere a gospodăriilor țărănești </w:t>
      </w:r>
      <w:r w:rsidR="00405A83" w:rsidRPr="00736448">
        <w:rPr>
          <w:rFonts w:asciiTheme="majorHAnsi" w:hAnsiTheme="majorHAnsi" w:cstheme="majorHAnsi"/>
          <w:sz w:val="24"/>
          <w:szCs w:val="24"/>
          <w:lang w:val="ro-MD"/>
        </w:rPr>
        <w:t xml:space="preserve">inactive </w:t>
      </w:r>
      <w:r w:rsidRPr="00736448">
        <w:rPr>
          <w:rFonts w:asciiTheme="majorHAnsi" w:hAnsiTheme="majorHAnsi" w:cstheme="majorHAnsi"/>
          <w:sz w:val="24"/>
          <w:szCs w:val="24"/>
          <w:lang w:val="ro-MD"/>
        </w:rPr>
        <w:t>din</w:t>
      </w:r>
      <w:r w:rsidR="00405A83" w:rsidRPr="00736448">
        <w:rPr>
          <w:rFonts w:asciiTheme="majorHAnsi" w:hAnsiTheme="majorHAnsi" w:cstheme="majorHAnsi"/>
          <w:sz w:val="24"/>
          <w:szCs w:val="24"/>
          <w:lang w:val="ro-MD"/>
        </w:rPr>
        <w:t xml:space="preserve"> Registrul fiscal de stat și </w:t>
      </w:r>
      <w:r w:rsidR="00004F79" w:rsidRPr="00736448">
        <w:rPr>
          <w:rFonts w:asciiTheme="majorHAnsi" w:hAnsiTheme="majorHAnsi" w:cstheme="majorHAnsi"/>
          <w:sz w:val="24"/>
          <w:szCs w:val="24"/>
          <w:lang w:val="ro-MD"/>
        </w:rPr>
        <w:t xml:space="preserve">din </w:t>
      </w:r>
      <w:r w:rsidR="00405A83" w:rsidRPr="00736448">
        <w:rPr>
          <w:rFonts w:asciiTheme="majorHAnsi" w:hAnsiTheme="majorHAnsi" w:cstheme="majorHAnsi"/>
          <w:sz w:val="24"/>
          <w:szCs w:val="24"/>
          <w:lang w:val="ro-MD"/>
        </w:rPr>
        <w:t>Registrul de stat a</w:t>
      </w:r>
      <w:r w:rsidR="00004F79" w:rsidRPr="00736448">
        <w:rPr>
          <w:rFonts w:asciiTheme="majorHAnsi" w:hAnsiTheme="majorHAnsi" w:cstheme="majorHAnsi"/>
          <w:sz w:val="24"/>
          <w:szCs w:val="24"/>
          <w:lang w:val="ro-MD"/>
        </w:rPr>
        <w:t>l</w:t>
      </w:r>
      <w:r w:rsidR="00405A83" w:rsidRPr="00736448">
        <w:rPr>
          <w:rFonts w:asciiTheme="majorHAnsi" w:hAnsiTheme="majorHAnsi" w:cstheme="majorHAnsi"/>
          <w:sz w:val="24"/>
          <w:szCs w:val="24"/>
          <w:lang w:val="ro-MD"/>
        </w:rPr>
        <w:t xml:space="preserve"> gospodăriilor țărănești. În acest sens, Serviciul Fiscal de Stat a identificat 95,5 mii </w:t>
      </w:r>
      <w:r w:rsidR="0079581A" w:rsidRPr="00736448">
        <w:rPr>
          <w:rFonts w:asciiTheme="majorHAnsi" w:hAnsiTheme="majorHAnsi" w:cstheme="majorHAnsi"/>
          <w:sz w:val="24"/>
          <w:szCs w:val="24"/>
          <w:lang w:val="ro-MD"/>
        </w:rPr>
        <w:t xml:space="preserve">de </w:t>
      </w:r>
      <w:r w:rsidR="00405A83" w:rsidRPr="00736448">
        <w:rPr>
          <w:rFonts w:asciiTheme="majorHAnsi" w:hAnsiTheme="majorHAnsi" w:cstheme="majorHAnsi"/>
          <w:sz w:val="24"/>
          <w:szCs w:val="24"/>
          <w:lang w:val="ro-MD"/>
        </w:rPr>
        <w:t>gospodării țărăneșt</w:t>
      </w:r>
      <w:r w:rsidR="004470B3" w:rsidRPr="00736448">
        <w:rPr>
          <w:rFonts w:asciiTheme="majorHAnsi" w:hAnsiTheme="majorHAnsi" w:cstheme="majorHAnsi"/>
          <w:sz w:val="24"/>
          <w:szCs w:val="24"/>
          <w:lang w:val="ro-MD"/>
        </w:rPr>
        <w:t>i (de fermier) care întrunesc co</w:t>
      </w:r>
      <w:r w:rsidR="00405A83" w:rsidRPr="00736448">
        <w:rPr>
          <w:rFonts w:asciiTheme="majorHAnsi" w:hAnsiTheme="majorHAnsi" w:cstheme="majorHAnsi"/>
          <w:sz w:val="24"/>
          <w:szCs w:val="24"/>
          <w:lang w:val="ro-MD"/>
        </w:rPr>
        <w:t xml:space="preserve">ndițiile stabilite la art. I alin. (2) și </w:t>
      </w:r>
      <w:r w:rsidR="0079581A" w:rsidRPr="00736448">
        <w:rPr>
          <w:rFonts w:asciiTheme="majorHAnsi" w:hAnsiTheme="majorHAnsi" w:cstheme="majorHAnsi"/>
          <w:sz w:val="24"/>
          <w:szCs w:val="24"/>
          <w:lang w:val="ro-MD"/>
        </w:rPr>
        <w:t xml:space="preserve">alin. </w:t>
      </w:r>
      <w:r w:rsidR="00405A83" w:rsidRPr="00736448">
        <w:rPr>
          <w:rFonts w:asciiTheme="majorHAnsi" w:hAnsiTheme="majorHAnsi" w:cstheme="majorHAnsi"/>
          <w:sz w:val="24"/>
          <w:szCs w:val="24"/>
          <w:lang w:val="ro-MD"/>
        </w:rPr>
        <w:t>(3) din </w:t>
      </w:r>
      <w:hyperlink r:id="rId35" w:tgtFrame="_blank" w:history="1">
        <w:r w:rsidR="00405A83" w:rsidRPr="00736448">
          <w:rPr>
            <w:rFonts w:asciiTheme="majorHAnsi" w:hAnsiTheme="majorHAnsi" w:cstheme="majorHAnsi"/>
            <w:sz w:val="24"/>
            <w:szCs w:val="24"/>
            <w:lang w:val="ro-MD"/>
          </w:rPr>
          <w:t>Legea nr. 51/2022</w:t>
        </w:r>
      </w:hyperlink>
      <w:r w:rsidR="00405A83" w:rsidRPr="00736448">
        <w:rPr>
          <w:rFonts w:asciiTheme="majorHAnsi" w:hAnsiTheme="majorHAnsi" w:cstheme="majorHAnsi"/>
          <w:sz w:val="24"/>
          <w:szCs w:val="24"/>
          <w:lang w:val="ro-MD"/>
        </w:rPr>
        <w:t> privind radierea lor din Registrul de Stat al gospodăriilor țărănești</w:t>
      </w:r>
      <w:r w:rsidR="00F03022" w:rsidRPr="00736448">
        <w:rPr>
          <w:rFonts w:asciiTheme="majorHAnsi" w:hAnsiTheme="majorHAnsi" w:cstheme="majorHAnsi"/>
          <w:sz w:val="24"/>
          <w:szCs w:val="24"/>
          <w:lang w:val="ro-MD"/>
        </w:rPr>
        <w:t xml:space="preserve">. Din registrele menționate urmează </w:t>
      </w:r>
      <w:r w:rsidR="002C5D5D" w:rsidRPr="00736448">
        <w:rPr>
          <w:rFonts w:asciiTheme="majorHAnsi" w:hAnsiTheme="majorHAnsi" w:cstheme="majorHAnsi"/>
          <w:sz w:val="24"/>
          <w:szCs w:val="24"/>
          <w:lang w:val="ro-MD"/>
        </w:rPr>
        <w:t xml:space="preserve">a fi </w:t>
      </w:r>
      <w:r w:rsidR="00F03022" w:rsidRPr="00736448">
        <w:rPr>
          <w:rFonts w:asciiTheme="majorHAnsi" w:hAnsiTheme="majorHAnsi" w:cstheme="majorHAnsi"/>
          <w:sz w:val="24"/>
          <w:szCs w:val="24"/>
          <w:lang w:val="ro-MD"/>
        </w:rPr>
        <w:t>radiate gospodăriile țărănești inactive, înregistrate până la 31 decembrie 2018 și care, pe parcursul ultimilor trei ani</w:t>
      </w:r>
      <w:r w:rsidR="0079581A" w:rsidRPr="00736448">
        <w:rPr>
          <w:rFonts w:asciiTheme="majorHAnsi" w:hAnsiTheme="majorHAnsi" w:cstheme="majorHAnsi"/>
          <w:sz w:val="24"/>
          <w:szCs w:val="24"/>
          <w:lang w:val="ro-MD"/>
        </w:rPr>
        <w:t>,</w:t>
      </w:r>
      <w:r w:rsidR="00F03022" w:rsidRPr="00736448">
        <w:rPr>
          <w:rFonts w:asciiTheme="majorHAnsi" w:hAnsiTheme="majorHAnsi" w:cstheme="majorHAnsi"/>
          <w:sz w:val="24"/>
          <w:szCs w:val="24"/>
          <w:lang w:val="ro-MD"/>
        </w:rPr>
        <w:t xml:space="preserve"> nu au efectuat operațiuni pe conturi bancare, nu sunt fondatori ai unei persoane juridice, nu au restanțe la buget, nu sunt înregistrate în calitate de plătitori TVA și nu au beneficiat de suport financiar din Fondul național de dezvoltare a agriculturii și mediului rural în perioada 1 ianuarie 2019 - 1 mai 2022.</w:t>
      </w:r>
    </w:p>
    <w:p w14:paraId="7C77D86F" w14:textId="5114AAED" w:rsidR="00405A83" w:rsidRPr="00736448" w:rsidRDefault="00F03022" w:rsidP="00736448">
      <w:pPr>
        <w:shd w:val="clear" w:color="auto" w:fill="FFFFFF"/>
        <w:spacing w:after="120" w:line="276" w:lineRule="auto"/>
        <w:jc w:val="both"/>
        <w:textAlignment w:val="baseline"/>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În prima etapă, SFS a înaintat </w:t>
      </w:r>
      <w:r w:rsidR="0079581A" w:rsidRPr="00736448">
        <w:rPr>
          <w:rFonts w:asciiTheme="majorHAnsi" w:hAnsiTheme="majorHAnsi" w:cstheme="majorHAnsi"/>
          <w:sz w:val="24"/>
          <w:szCs w:val="24"/>
          <w:lang w:val="ro-MD"/>
        </w:rPr>
        <w:t xml:space="preserve">CNAS </w:t>
      </w:r>
      <w:r w:rsidRPr="00736448">
        <w:rPr>
          <w:rFonts w:asciiTheme="majorHAnsi" w:hAnsiTheme="majorHAnsi" w:cstheme="majorHAnsi"/>
          <w:sz w:val="24"/>
          <w:szCs w:val="24"/>
          <w:lang w:val="ro-MD"/>
        </w:rPr>
        <w:t>lista a 10</w:t>
      </w:r>
      <w:r w:rsidR="001D2229" w:rsidRPr="00736448">
        <w:rPr>
          <w:rFonts w:asciiTheme="majorHAnsi" w:hAnsiTheme="majorHAnsi" w:cstheme="majorHAnsi"/>
          <w:sz w:val="24"/>
          <w:szCs w:val="24"/>
          <w:lang w:val="ro-MD"/>
        </w:rPr>
        <w:t xml:space="preserve"> </w:t>
      </w:r>
      <w:r w:rsidRPr="00736448">
        <w:rPr>
          <w:rFonts w:asciiTheme="majorHAnsi" w:hAnsiTheme="majorHAnsi" w:cstheme="majorHAnsi"/>
          <w:sz w:val="24"/>
          <w:szCs w:val="24"/>
          <w:lang w:val="ro-MD"/>
        </w:rPr>
        <w:t xml:space="preserve">207 </w:t>
      </w:r>
      <w:r w:rsidR="0079581A" w:rsidRPr="00736448">
        <w:rPr>
          <w:rFonts w:asciiTheme="majorHAnsi" w:hAnsiTheme="majorHAnsi" w:cstheme="majorHAnsi"/>
          <w:sz w:val="24"/>
          <w:szCs w:val="24"/>
          <w:lang w:val="ro-MD"/>
        </w:rPr>
        <w:t>de g</w:t>
      </w:r>
      <w:r w:rsidRPr="00736448">
        <w:rPr>
          <w:rFonts w:asciiTheme="majorHAnsi" w:hAnsiTheme="majorHAnsi" w:cstheme="majorHAnsi"/>
          <w:sz w:val="24"/>
          <w:szCs w:val="24"/>
          <w:lang w:val="ro-MD"/>
        </w:rPr>
        <w:t xml:space="preserve">ospodării </w:t>
      </w:r>
      <w:r w:rsidR="0079581A" w:rsidRPr="00736448">
        <w:rPr>
          <w:rFonts w:asciiTheme="majorHAnsi" w:hAnsiTheme="majorHAnsi" w:cstheme="majorHAnsi"/>
          <w:sz w:val="24"/>
          <w:szCs w:val="24"/>
          <w:lang w:val="ro-MD"/>
        </w:rPr>
        <w:t>ț</w:t>
      </w:r>
      <w:r w:rsidRPr="00736448">
        <w:rPr>
          <w:rFonts w:asciiTheme="majorHAnsi" w:hAnsiTheme="majorHAnsi" w:cstheme="majorHAnsi"/>
          <w:sz w:val="24"/>
          <w:szCs w:val="24"/>
          <w:lang w:val="ro-MD"/>
        </w:rPr>
        <w:t>ărănești care urmează a fi radiate din SI „Protecți</w:t>
      </w:r>
      <w:r w:rsidR="00F32CB1" w:rsidRPr="00736448">
        <w:rPr>
          <w:rFonts w:asciiTheme="majorHAnsi" w:hAnsiTheme="majorHAnsi" w:cstheme="majorHAnsi"/>
          <w:sz w:val="24"/>
          <w:szCs w:val="24"/>
          <w:lang w:val="ro-MD"/>
        </w:rPr>
        <w:t>a</w:t>
      </w:r>
      <w:r w:rsidRPr="00736448">
        <w:rPr>
          <w:rFonts w:asciiTheme="majorHAnsi" w:hAnsiTheme="majorHAnsi" w:cstheme="majorHAnsi"/>
          <w:sz w:val="24"/>
          <w:szCs w:val="24"/>
          <w:lang w:val="ro-MD"/>
        </w:rPr>
        <w:t xml:space="preserve"> Socială”. Menționăm că, contribuțiile de asigurări sociale de stat obligatorii, penalitățile și amenzile calculate și neachitate până la data radierii de către gospodăriile țărănești inactive sunt anulate din sistemul de evidență al Casei Naționale de Asigurări Sociale.</w:t>
      </w:r>
    </w:p>
    <w:p w14:paraId="1A192914" w14:textId="514F1053" w:rsidR="00F85144" w:rsidRPr="00736448" w:rsidRDefault="00F85144" w:rsidP="002C5D5D">
      <w:pPr>
        <w:tabs>
          <w:tab w:val="left" w:pos="851"/>
        </w:tabs>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Astfel, din </w:t>
      </w:r>
      <w:r w:rsidR="007D20AF" w:rsidRPr="00736448">
        <w:rPr>
          <w:rFonts w:asciiTheme="majorHAnsi" w:hAnsiTheme="majorHAnsi" w:cstheme="majorHAnsi"/>
          <w:sz w:val="24"/>
          <w:szCs w:val="24"/>
          <w:lang w:val="ro-MD"/>
        </w:rPr>
        <w:t xml:space="preserve">400 de </w:t>
      </w:r>
      <w:r w:rsidRPr="00736448">
        <w:rPr>
          <w:rFonts w:asciiTheme="majorHAnsi" w:hAnsiTheme="majorHAnsi" w:cstheme="majorHAnsi"/>
          <w:sz w:val="24"/>
          <w:szCs w:val="24"/>
          <w:lang w:val="ro-MD"/>
        </w:rPr>
        <w:t xml:space="preserve">gospodării țărănești eligibile pentru radiere </w:t>
      </w:r>
      <w:r w:rsidR="00F32CB1" w:rsidRPr="00736448">
        <w:rPr>
          <w:rFonts w:asciiTheme="majorHAnsi" w:hAnsiTheme="majorHAnsi" w:cstheme="majorHAnsi"/>
          <w:sz w:val="24"/>
          <w:szCs w:val="24"/>
          <w:lang w:val="ro-MD"/>
        </w:rPr>
        <w:t>și verificate de audit ,</w:t>
      </w:r>
      <w:r w:rsidRPr="00736448">
        <w:rPr>
          <w:rFonts w:asciiTheme="majorHAnsi" w:hAnsiTheme="majorHAnsi" w:cstheme="majorHAnsi"/>
          <w:sz w:val="24"/>
          <w:szCs w:val="24"/>
          <w:lang w:val="ro-MD"/>
        </w:rPr>
        <w:t>s-a</w:t>
      </w:r>
      <w:r w:rsidR="00F32CB1" w:rsidRPr="00736448">
        <w:rPr>
          <w:rFonts w:asciiTheme="majorHAnsi" w:hAnsiTheme="majorHAnsi" w:cstheme="majorHAnsi"/>
          <w:sz w:val="24"/>
          <w:szCs w:val="24"/>
          <w:lang w:val="ro-MD"/>
        </w:rPr>
        <w:t>u</w:t>
      </w:r>
      <w:r w:rsidRPr="00736448">
        <w:rPr>
          <w:rFonts w:asciiTheme="majorHAnsi" w:hAnsiTheme="majorHAnsi" w:cstheme="majorHAnsi"/>
          <w:sz w:val="24"/>
          <w:szCs w:val="24"/>
          <w:lang w:val="ro-MD"/>
        </w:rPr>
        <w:t xml:space="preserve"> con</w:t>
      </w:r>
      <w:r w:rsidR="00CF0CA3" w:rsidRPr="00736448">
        <w:rPr>
          <w:rFonts w:asciiTheme="majorHAnsi" w:hAnsiTheme="majorHAnsi" w:cstheme="majorHAnsi"/>
          <w:sz w:val="24"/>
          <w:szCs w:val="24"/>
          <w:lang w:val="ro-MD"/>
        </w:rPr>
        <w:t>s</w:t>
      </w:r>
      <w:r w:rsidRPr="00736448">
        <w:rPr>
          <w:rFonts w:asciiTheme="majorHAnsi" w:hAnsiTheme="majorHAnsi" w:cstheme="majorHAnsi"/>
          <w:sz w:val="24"/>
          <w:szCs w:val="24"/>
          <w:lang w:val="ro-MD"/>
        </w:rPr>
        <w:t xml:space="preserve">tatat următoarele: </w:t>
      </w:r>
    </w:p>
    <w:p w14:paraId="637C3D75" w14:textId="514C36CB" w:rsidR="00F85144" w:rsidRPr="00736448" w:rsidRDefault="00F85144" w:rsidP="002C5D5D">
      <w:pPr>
        <w:pStyle w:val="aa"/>
        <w:numPr>
          <w:ilvl w:val="0"/>
          <w:numId w:val="6"/>
        </w:numPr>
        <w:tabs>
          <w:tab w:val="left" w:pos="851"/>
        </w:tabs>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185 de GȚ nu au fost găsite în sistem, ce</w:t>
      </w:r>
      <w:r w:rsidR="00F32CB1" w:rsidRPr="00736448">
        <w:rPr>
          <w:rFonts w:asciiTheme="majorHAnsi" w:hAnsiTheme="majorHAnsi" w:cstheme="majorHAnsi"/>
          <w:sz w:val="24"/>
          <w:szCs w:val="24"/>
          <w:lang w:val="ro-MD"/>
        </w:rPr>
        <w:t>e</w:t>
      </w:r>
      <w:r w:rsidRPr="00736448">
        <w:rPr>
          <w:rFonts w:asciiTheme="majorHAnsi" w:hAnsiTheme="majorHAnsi" w:cstheme="majorHAnsi"/>
          <w:sz w:val="24"/>
          <w:szCs w:val="24"/>
          <w:lang w:val="ro-MD"/>
        </w:rPr>
        <w:t>a ce denotă că au fost lichidate complet, prin urmare auditul este în imposibilitate de a se expune;</w:t>
      </w:r>
    </w:p>
    <w:p w14:paraId="767A17EF" w14:textId="506B6656" w:rsidR="00F85144" w:rsidRPr="00736448" w:rsidRDefault="00F85144" w:rsidP="002C5D5D">
      <w:pPr>
        <w:pStyle w:val="aa"/>
        <w:numPr>
          <w:ilvl w:val="0"/>
          <w:numId w:val="6"/>
        </w:numPr>
        <w:tabs>
          <w:tab w:val="left" w:pos="851"/>
        </w:tabs>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207 de GȚ sunt inactive din anii 2007-2013 și nu dețin datorii și creanțe, contul analitic al contribuabilului este </w:t>
      </w:r>
      <w:r w:rsidR="00F32CB1"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zero” și urmează a fi </w:t>
      </w:r>
      <w:r w:rsidR="00F32CB1" w:rsidRPr="00736448">
        <w:rPr>
          <w:rFonts w:asciiTheme="majorHAnsi" w:hAnsiTheme="majorHAnsi" w:cstheme="majorHAnsi"/>
          <w:sz w:val="24"/>
          <w:szCs w:val="24"/>
          <w:lang w:val="ro-MD"/>
        </w:rPr>
        <w:t xml:space="preserve">radiate </w:t>
      </w:r>
      <w:r w:rsidRPr="00736448">
        <w:rPr>
          <w:rFonts w:asciiTheme="majorHAnsi" w:hAnsiTheme="majorHAnsi" w:cstheme="majorHAnsi"/>
          <w:sz w:val="24"/>
          <w:szCs w:val="24"/>
          <w:lang w:val="ro-MD"/>
        </w:rPr>
        <w:t xml:space="preserve">din SI </w:t>
      </w:r>
      <w:r w:rsidR="00F32CB1"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Protecția Socială” pe parcursul anului 2023;</w:t>
      </w:r>
    </w:p>
    <w:p w14:paraId="01A77B87" w14:textId="7D39FB7A" w:rsidR="00F85144" w:rsidRPr="00736448" w:rsidRDefault="00F85144" w:rsidP="002C5D5D">
      <w:pPr>
        <w:pStyle w:val="aa"/>
        <w:numPr>
          <w:ilvl w:val="0"/>
          <w:numId w:val="6"/>
        </w:numPr>
        <w:tabs>
          <w:tab w:val="left" w:pos="851"/>
        </w:tabs>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5 gospodării</w:t>
      </w:r>
      <w:r w:rsidR="003A4CA7" w:rsidRPr="00736448">
        <w:rPr>
          <w:rStyle w:val="a5"/>
          <w:rFonts w:asciiTheme="majorHAnsi" w:hAnsiTheme="majorHAnsi" w:cstheme="majorHAnsi"/>
          <w:sz w:val="24"/>
          <w:szCs w:val="24"/>
          <w:lang w:val="ro-MD"/>
        </w:rPr>
        <w:footnoteReference w:id="89"/>
      </w:r>
      <w:r w:rsidRPr="00736448">
        <w:rPr>
          <w:rFonts w:asciiTheme="majorHAnsi" w:hAnsiTheme="majorHAnsi" w:cstheme="majorHAnsi"/>
          <w:sz w:val="24"/>
          <w:szCs w:val="24"/>
          <w:lang w:val="ro-MD"/>
        </w:rPr>
        <w:t xml:space="preserve"> </w:t>
      </w:r>
      <w:r w:rsidR="00CF0CA3" w:rsidRPr="00736448">
        <w:rPr>
          <w:rFonts w:asciiTheme="majorHAnsi" w:hAnsiTheme="majorHAnsi" w:cstheme="majorHAnsi"/>
          <w:sz w:val="24"/>
          <w:szCs w:val="24"/>
          <w:lang w:val="ro-MD"/>
        </w:rPr>
        <w:t xml:space="preserve">dețin datorii în valoare de 5,0 mii </w:t>
      </w:r>
      <w:r w:rsidRPr="00736448">
        <w:rPr>
          <w:rFonts w:asciiTheme="majorHAnsi" w:hAnsiTheme="majorHAnsi" w:cstheme="majorHAnsi"/>
          <w:sz w:val="24"/>
          <w:szCs w:val="24"/>
          <w:lang w:val="ro-MD"/>
        </w:rPr>
        <w:t>lei</w:t>
      </w:r>
      <w:r w:rsidR="00CF0CA3"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Datoriile s-au format în perioada </w:t>
      </w:r>
      <w:r w:rsidR="00CF0CA3" w:rsidRPr="00736448">
        <w:rPr>
          <w:rFonts w:asciiTheme="majorHAnsi" w:hAnsiTheme="majorHAnsi" w:cstheme="majorHAnsi"/>
          <w:sz w:val="24"/>
          <w:szCs w:val="24"/>
          <w:lang w:val="ro-MD"/>
        </w:rPr>
        <w:t xml:space="preserve"> 2007-2008 pe motiv că</w:t>
      </w:r>
      <w:r w:rsidRPr="00736448">
        <w:rPr>
          <w:rFonts w:asciiTheme="majorHAnsi" w:hAnsiTheme="majorHAnsi" w:cstheme="majorHAnsi"/>
          <w:sz w:val="24"/>
          <w:szCs w:val="24"/>
          <w:lang w:val="ro-MD"/>
        </w:rPr>
        <w:t xml:space="preserve"> au fost prezentate declarațiile și nu au fo</w:t>
      </w:r>
      <w:r w:rsidR="00CF0CA3" w:rsidRPr="00736448">
        <w:rPr>
          <w:rFonts w:asciiTheme="majorHAnsi" w:hAnsiTheme="majorHAnsi" w:cstheme="majorHAnsi"/>
          <w:sz w:val="24"/>
          <w:szCs w:val="24"/>
          <w:lang w:val="ro-MD"/>
        </w:rPr>
        <w:t>st virate mijloacele financiare;</w:t>
      </w:r>
    </w:p>
    <w:p w14:paraId="704D0E1F" w14:textId="70531460" w:rsidR="00F85144" w:rsidRPr="00736448" w:rsidRDefault="00F85144" w:rsidP="002C5D5D">
      <w:pPr>
        <w:pStyle w:val="aa"/>
        <w:numPr>
          <w:ilvl w:val="0"/>
          <w:numId w:val="6"/>
        </w:numPr>
        <w:tabs>
          <w:tab w:val="left" w:pos="851"/>
        </w:tabs>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supraplăți aferente a 3 gospodării</w:t>
      </w:r>
      <w:r w:rsidR="003A4CA7" w:rsidRPr="00736448">
        <w:rPr>
          <w:rStyle w:val="a5"/>
          <w:rFonts w:asciiTheme="majorHAnsi" w:hAnsiTheme="majorHAnsi" w:cstheme="majorHAnsi"/>
          <w:sz w:val="24"/>
          <w:szCs w:val="24"/>
          <w:lang w:val="ro-MD"/>
        </w:rPr>
        <w:footnoteReference w:id="90"/>
      </w:r>
      <w:r w:rsidRPr="00736448">
        <w:rPr>
          <w:rFonts w:asciiTheme="majorHAnsi" w:hAnsiTheme="majorHAnsi" w:cstheme="majorHAnsi"/>
          <w:sz w:val="24"/>
          <w:szCs w:val="24"/>
          <w:lang w:val="ro-MD"/>
        </w:rPr>
        <w:t xml:space="preserve"> în valoare de </w:t>
      </w:r>
      <w:r w:rsidR="00CF0CA3" w:rsidRPr="00736448">
        <w:rPr>
          <w:rFonts w:asciiTheme="majorHAnsi" w:hAnsiTheme="majorHAnsi" w:cstheme="majorHAnsi"/>
          <w:sz w:val="24"/>
          <w:szCs w:val="24"/>
          <w:lang w:val="ro-MD"/>
        </w:rPr>
        <w:t>1,0 mii</w:t>
      </w:r>
      <w:r w:rsidRPr="00736448">
        <w:rPr>
          <w:rFonts w:asciiTheme="majorHAnsi" w:hAnsiTheme="majorHAnsi" w:cstheme="majorHAnsi"/>
          <w:sz w:val="24"/>
          <w:szCs w:val="24"/>
          <w:lang w:val="ro-MD"/>
        </w:rPr>
        <w:t xml:space="preserve"> lei</w:t>
      </w:r>
      <w:r w:rsidR="00CF0CA3" w:rsidRPr="00736448">
        <w:rPr>
          <w:rFonts w:asciiTheme="majorHAnsi" w:hAnsiTheme="majorHAnsi" w:cstheme="majorHAnsi"/>
          <w:sz w:val="24"/>
          <w:szCs w:val="24"/>
          <w:lang w:val="ro-MD"/>
        </w:rPr>
        <w:t>. S</w:t>
      </w:r>
      <w:r w:rsidRPr="00736448">
        <w:rPr>
          <w:rFonts w:asciiTheme="majorHAnsi" w:hAnsiTheme="majorHAnsi" w:cstheme="majorHAnsi"/>
          <w:sz w:val="24"/>
          <w:szCs w:val="24"/>
          <w:lang w:val="ro-MD"/>
        </w:rPr>
        <w:t>upraplățile s-au format deoarece au fost virate mijloacele financiare și nu au fost prezentate</w:t>
      </w:r>
      <w:r w:rsidR="00CF0CA3" w:rsidRPr="00736448">
        <w:rPr>
          <w:rFonts w:asciiTheme="majorHAnsi" w:hAnsiTheme="majorHAnsi" w:cstheme="majorHAnsi"/>
          <w:sz w:val="24"/>
          <w:szCs w:val="24"/>
          <w:lang w:val="ro-MD"/>
        </w:rPr>
        <w:t xml:space="preserve"> declarațiile</w:t>
      </w:r>
      <w:r w:rsidR="001D2229" w:rsidRPr="00736448">
        <w:rPr>
          <w:rFonts w:asciiTheme="majorHAnsi" w:hAnsiTheme="majorHAnsi" w:cstheme="majorHAnsi"/>
          <w:sz w:val="24"/>
          <w:szCs w:val="24"/>
          <w:lang w:val="ro-MD"/>
        </w:rPr>
        <w:t>.</w:t>
      </w:r>
    </w:p>
    <w:p w14:paraId="07D3BD1C" w14:textId="2444CBBD" w:rsidR="00F43A3C" w:rsidRPr="00736448" w:rsidRDefault="00F43A3C" w:rsidP="002C5D5D">
      <w:pPr>
        <w:tabs>
          <w:tab w:val="left" w:pos="851"/>
        </w:tabs>
        <w:spacing w:after="0" w:line="276" w:lineRule="auto"/>
        <w:jc w:val="both"/>
        <w:rPr>
          <w:rFonts w:asciiTheme="majorHAnsi" w:hAnsiTheme="majorHAnsi" w:cstheme="majorHAnsi"/>
          <w:sz w:val="24"/>
          <w:szCs w:val="24"/>
          <w:lang w:val="ro-MD"/>
        </w:rPr>
      </w:pPr>
    </w:p>
    <w:p w14:paraId="78CB506B" w14:textId="01171504" w:rsidR="00430849" w:rsidRPr="00736448" w:rsidRDefault="00CF0CA3" w:rsidP="002C5D5D">
      <w:pPr>
        <w:shd w:val="clear" w:color="auto" w:fill="FFFFFF"/>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Precizăm că p</w:t>
      </w:r>
      <w:r w:rsidR="00F43A3C" w:rsidRPr="00736448">
        <w:rPr>
          <w:rFonts w:asciiTheme="majorHAnsi" w:hAnsiTheme="majorHAnsi" w:cstheme="majorHAnsi"/>
          <w:sz w:val="24"/>
          <w:szCs w:val="24"/>
          <w:lang w:val="ro-MD"/>
        </w:rPr>
        <w:t>erioadele (anii) pentru care nu s-au declarat și nu s-au achitat contribuții de asigurări sociale de stat obligatorii nu se includ la calcularea stagiului de cotizare a</w:t>
      </w:r>
      <w:r w:rsidR="00F32CB1" w:rsidRPr="00736448">
        <w:rPr>
          <w:rFonts w:asciiTheme="majorHAnsi" w:hAnsiTheme="majorHAnsi" w:cstheme="majorHAnsi"/>
          <w:sz w:val="24"/>
          <w:szCs w:val="24"/>
          <w:lang w:val="ro-MD"/>
        </w:rPr>
        <w:t>l</w:t>
      </w:r>
      <w:r w:rsidR="00F43A3C" w:rsidRPr="00736448">
        <w:rPr>
          <w:rFonts w:asciiTheme="majorHAnsi" w:hAnsiTheme="majorHAnsi" w:cstheme="majorHAnsi"/>
          <w:sz w:val="24"/>
          <w:szCs w:val="24"/>
          <w:lang w:val="ro-MD"/>
        </w:rPr>
        <w:t xml:space="preserve"> fondatorului GȚ. Totodată</w:t>
      </w:r>
      <w:r w:rsidR="00F32CB1" w:rsidRPr="00736448">
        <w:rPr>
          <w:rFonts w:asciiTheme="majorHAnsi" w:hAnsiTheme="majorHAnsi" w:cstheme="majorHAnsi"/>
          <w:sz w:val="24"/>
          <w:szCs w:val="24"/>
          <w:lang w:val="ro-MD"/>
        </w:rPr>
        <w:t>,</w:t>
      </w:r>
      <w:r w:rsidR="00F43A3C" w:rsidRPr="00736448">
        <w:rPr>
          <w:rFonts w:asciiTheme="majorHAnsi" w:hAnsiTheme="majorHAnsi" w:cstheme="majorHAnsi"/>
          <w:sz w:val="24"/>
          <w:szCs w:val="24"/>
          <w:lang w:val="ro-MD"/>
        </w:rPr>
        <w:t xml:space="preserve"> contribuțiile de asigurări sociale de stat obligatorii</w:t>
      </w:r>
      <w:r w:rsidR="00F32CB1" w:rsidRPr="00736448">
        <w:rPr>
          <w:rFonts w:asciiTheme="majorHAnsi" w:hAnsiTheme="majorHAnsi" w:cstheme="majorHAnsi"/>
          <w:sz w:val="24"/>
          <w:szCs w:val="24"/>
          <w:lang w:val="ro-MD"/>
        </w:rPr>
        <w:t>,</w:t>
      </w:r>
      <w:r w:rsidR="00F43A3C" w:rsidRPr="00736448">
        <w:rPr>
          <w:rFonts w:asciiTheme="majorHAnsi" w:hAnsiTheme="majorHAnsi" w:cstheme="majorHAnsi"/>
          <w:sz w:val="24"/>
          <w:szCs w:val="24"/>
          <w:lang w:val="ro-MD"/>
        </w:rPr>
        <w:t xml:space="preserve"> declarate și achitate până la data radierii</w:t>
      </w:r>
      <w:r w:rsidR="00F32CB1" w:rsidRPr="00736448">
        <w:rPr>
          <w:rFonts w:asciiTheme="majorHAnsi" w:hAnsiTheme="majorHAnsi" w:cstheme="majorHAnsi"/>
          <w:sz w:val="24"/>
          <w:szCs w:val="24"/>
          <w:lang w:val="ro-MD"/>
        </w:rPr>
        <w:t>,</w:t>
      </w:r>
      <w:r w:rsidR="00F43A3C" w:rsidRPr="00736448">
        <w:rPr>
          <w:rFonts w:asciiTheme="majorHAnsi" w:hAnsiTheme="majorHAnsi" w:cstheme="majorHAnsi"/>
          <w:sz w:val="24"/>
          <w:szCs w:val="24"/>
          <w:lang w:val="ro-MD"/>
        </w:rPr>
        <w:t xml:space="preserve"> nu se compensează și nu se restituie.</w:t>
      </w:r>
    </w:p>
    <w:p w14:paraId="2D08E54A" w14:textId="77777777" w:rsidR="00A60D5D" w:rsidRPr="00B7675F" w:rsidRDefault="00A60D5D" w:rsidP="00F43A3C">
      <w:pPr>
        <w:shd w:val="clear" w:color="auto" w:fill="FFFFFF"/>
        <w:spacing w:after="0" w:line="276" w:lineRule="auto"/>
        <w:jc w:val="both"/>
        <w:rPr>
          <w:rFonts w:asciiTheme="majorHAnsi" w:eastAsia="Times New Roman" w:hAnsiTheme="majorHAnsi" w:cstheme="majorHAnsi"/>
          <w:b/>
          <w:color w:val="000000"/>
          <w:spacing w:val="8"/>
          <w:sz w:val="24"/>
          <w:szCs w:val="24"/>
          <w:lang w:val="ro-MD"/>
        </w:rPr>
      </w:pPr>
    </w:p>
    <w:p w14:paraId="6E8B7AD7" w14:textId="0666E750" w:rsidR="00A60D5D" w:rsidRPr="00B7675F" w:rsidRDefault="00A60D5D" w:rsidP="00E4042E">
      <w:pPr>
        <w:pStyle w:val="aa"/>
        <w:numPr>
          <w:ilvl w:val="0"/>
          <w:numId w:val="2"/>
        </w:numPr>
        <w:shd w:val="clear" w:color="auto" w:fill="FFFFFF"/>
        <w:spacing w:after="0" w:line="276" w:lineRule="auto"/>
        <w:jc w:val="both"/>
        <w:outlineLvl w:val="0"/>
        <w:rPr>
          <w:rFonts w:asciiTheme="majorHAnsi" w:eastAsia="Times New Roman" w:hAnsiTheme="majorHAnsi" w:cstheme="majorHAnsi"/>
          <w:b/>
          <w:color w:val="000000"/>
          <w:spacing w:val="8"/>
          <w:sz w:val="24"/>
          <w:szCs w:val="24"/>
          <w:lang w:val="ro-MD"/>
        </w:rPr>
      </w:pPr>
      <w:r w:rsidRPr="00B7675F">
        <w:rPr>
          <w:rFonts w:asciiTheme="majorHAnsi" w:eastAsia="Times New Roman" w:hAnsiTheme="majorHAnsi" w:cstheme="majorHAnsi"/>
          <w:b/>
          <w:color w:val="000000"/>
          <w:spacing w:val="8"/>
          <w:sz w:val="24"/>
          <w:szCs w:val="24"/>
          <w:lang w:val="ro-MD"/>
        </w:rPr>
        <w:t>RECOMANDĂRI</w:t>
      </w:r>
    </w:p>
    <w:p w14:paraId="2EC2C708" w14:textId="4FA6DC3E" w:rsidR="00223EAD" w:rsidRPr="00B7675F" w:rsidRDefault="00223EAD" w:rsidP="00223EAD">
      <w:pPr>
        <w:spacing w:after="0" w:line="276" w:lineRule="auto"/>
        <w:jc w:val="both"/>
        <w:rPr>
          <w:rFonts w:asciiTheme="majorHAnsi" w:hAnsiTheme="majorHAnsi" w:cstheme="majorHAnsi"/>
          <w:b/>
          <w:sz w:val="24"/>
          <w:szCs w:val="24"/>
          <w:lang w:val="ro-MD"/>
        </w:rPr>
      </w:pPr>
      <w:r w:rsidRPr="00B7675F">
        <w:rPr>
          <w:rFonts w:asciiTheme="majorHAnsi" w:hAnsiTheme="majorHAnsi" w:cstheme="majorHAnsi"/>
          <w:b/>
          <w:sz w:val="24"/>
          <w:szCs w:val="24"/>
          <w:lang w:val="ro-MD"/>
        </w:rPr>
        <w:t>Recomandare Minist</w:t>
      </w:r>
      <w:r w:rsidR="00B7675F">
        <w:rPr>
          <w:rFonts w:asciiTheme="majorHAnsi" w:hAnsiTheme="majorHAnsi" w:cstheme="majorHAnsi"/>
          <w:b/>
          <w:sz w:val="24"/>
          <w:szCs w:val="24"/>
          <w:lang w:val="ro-MD"/>
        </w:rPr>
        <w:t>e</w:t>
      </w:r>
      <w:r w:rsidRPr="00B7675F">
        <w:rPr>
          <w:rFonts w:asciiTheme="majorHAnsi" w:hAnsiTheme="majorHAnsi" w:cstheme="majorHAnsi"/>
          <w:b/>
          <w:sz w:val="24"/>
          <w:szCs w:val="24"/>
          <w:lang w:val="ro-MD"/>
        </w:rPr>
        <w:t>rului Finanțelor</w:t>
      </w:r>
    </w:p>
    <w:p w14:paraId="12622F4C" w14:textId="61BDC588" w:rsidR="00223EAD" w:rsidRPr="0038225D" w:rsidRDefault="00223EAD" w:rsidP="00223EAD">
      <w:pPr>
        <w:pStyle w:val="aa"/>
        <w:numPr>
          <w:ilvl w:val="0"/>
          <w:numId w:val="35"/>
        </w:numPr>
        <w:spacing w:after="0" w:line="276" w:lineRule="auto"/>
        <w:jc w:val="both"/>
        <w:rPr>
          <w:rFonts w:asciiTheme="majorHAnsi" w:hAnsiTheme="majorHAnsi" w:cstheme="majorHAnsi"/>
          <w:sz w:val="24"/>
          <w:szCs w:val="24"/>
          <w:lang w:val="ro-MD"/>
        </w:rPr>
      </w:pPr>
      <w:r w:rsidRPr="00B7675F">
        <w:rPr>
          <w:rFonts w:asciiTheme="majorHAnsi" w:hAnsiTheme="majorHAnsi" w:cstheme="majorHAnsi"/>
          <w:sz w:val="24"/>
          <w:szCs w:val="24"/>
          <w:lang w:val="ro-MD"/>
        </w:rPr>
        <w:t>Să revizuiască Normele de raportar</w:t>
      </w:r>
      <w:r w:rsidR="0035287C" w:rsidRPr="00B7675F">
        <w:rPr>
          <w:rFonts w:asciiTheme="majorHAnsi" w:hAnsiTheme="majorHAnsi" w:cstheme="majorHAnsi"/>
          <w:sz w:val="24"/>
          <w:szCs w:val="24"/>
          <w:lang w:val="ro-MD"/>
        </w:rPr>
        <w:t xml:space="preserve">e </w:t>
      </w:r>
      <w:r w:rsidR="00736448">
        <w:rPr>
          <w:rFonts w:asciiTheme="majorHAnsi" w:hAnsiTheme="majorHAnsi" w:cstheme="majorHAnsi"/>
          <w:sz w:val="24"/>
          <w:szCs w:val="24"/>
          <w:lang w:val="ro-MD"/>
        </w:rPr>
        <w:t>ale</w:t>
      </w:r>
      <w:r w:rsidR="00B7675F" w:rsidRPr="00B7675F">
        <w:rPr>
          <w:rFonts w:asciiTheme="majorHAnsi" w:hAnsiTheme="majorHAnsi" w:cstheme="majorHAnsi"/>
          <w:sz w:val="24"/>
          <w:szCs w:val="24"/>
          <w:lang w:val="ro-MD"/>
        </w:rPr>
        <w:t xml:space="preserve"> </w:t>
      </w:r>
      <w:r w:rsidR="0035287C" w:rsidRPr="00B7675F">
        <w:rPr>
          <w:rFonts w:asciiTheme="majorHAnsi" w:hAnsiTheme="majorHAnsi" w:cstheme="majorHAnsi"/>
          <w:sz w:val="24"/>
          <w:szCs w:val="24"/>
          <w:lang w:val="ro-MD"/>
        </w:rPr>
        <w:t>BASS, cu corelarea acestora cu normele</w:t>
      </w:r>
      <w:r w:rsidRPr="00B7675F">
        <w:rPr>
          <w:rFonts w:asciiTheme="majorHAnsi" w:hAnsiTheme="majorHAnsi" w:cstheme="majorHAnsi"/>
          <w:sz w:val="24"/>
          <w:szCs w:val="24"/>
          <w:lang w:val="ro-MD"/>
        </w:rPr>
        <w:t xml:space="preserve"> de raportare a</w:t>
      </w:r>
      <w:r w:rsidR="00B7675F" w:rsidRPr="00B7675F">
        <w:rPr>
          <w:rFonts w:asciiTheme="majorHAnsi" w:hAnsiTheme="majorHAnsi" w:cstheme="majorHAnsi"/>
          <w:sz w:val="24"/>
          <w:szCs w:val="24"/>
          <w:lang w:val="ro-MD"/>
        </w:rPr>
        <w:t>le</w:t>
      </w:r>
      <w:r w:rsidRPr="00B7675F">
        <w:rPr>
          <w:rFonts w:asciiTheme="majorHAnsi" w:hAnsiTheme="majorHAnsi" w:cstheme="majorHAnsi"/>
          <w:sz w:val="24"/>
          <w:szCs w:val="24"/>
          <w:lang w:val="ro-MD"/>
        </w:rPr>
        <w:t xml:space="preserve"> instituțiilor bugetare</w:t>
      </w:r>
      <w:r w:rsidR="0013682A" w:rsidRPr="0038225D">
        <w:rPr>
          <w:rFonts w:asciiTheme="majorHAnsi" w:hAnsiTheme="majorHAnsi" w:cstheme="majorHAnsi"/>
          <w:sz w:val="24"/>
          <w:szCs w:val="24"/>
          <w:lang w:val="ro-MD"/>
        </w:rPr>
        <w:t xml:space="preserve"> </w:t>
      </w:r>
      <w:r w:rsidR="0013682A" w:rsidRPr="0038225D">
        <w:rPr>
          <w:rFonts w:asciiTheme="majorHAnsi" w:hAnsiTheme="majorHAnsi" w:cstheme="majorHAnsi"/>
          <w:i/>
          <w:sz w:val="24"/>
          <w:szCs w:val="24"/>
          <w:lang w:val="ro-MD"/>
        </w:rPr>
        <w:t>(</w:t>
      </w:r>
      <w:r w:rsidR="00B31EEA" w:rsidRPr="0038225D">
        <w:rPr>
          <w:rFonts w:asciiTheme="majorHAnsi" w:hAnsiTheme="majorHAnsi" w:cstheme="majorHAnsi"/>
          <w:i/>
          <w:sz w:val="24"/>
          <w:szCs w:val="24"/>
          <w:lang w:val="ro-MD"/>
        </w:rPr>
        <w:t>Observația 3.1 – Secțiunea III</w:t>
      </w:r>
      <w:r w:rsidR="0013682A" w:rsidRPr="0038225D">
        <w:rPr>
          <w:rFonts w:asciiTheme="majorHAnsi" w:hAnsiTheme="majorHAnsi" w:cstheme="majorHAnsi"/>
          <w:i/>
          <w:sz w:val="24"/>
          <w:szCs w:val="24"/>
          <w:lang w:val="ro-MD"/>
        </w:rPr>
        <w:t>)</w:t>
      </w:r>
      <w:r w:rsidRPr="0038225D">
        <w:rPr>
          <w:rFonts w:asciiTheme="majorHAnsi" w:hAnsiTheme="majorHAnsi" w:cstheme="majorHAnsi"/>
          <w:i/>
          <w:sz w:val="24"/>
          <w:szCs w:val="24"/>
          <w:lang w:val="ro-MD"/>
        </w:rPr>
        <w:t>;</w:t>
      </w:r>
    </w:p>
    <w:p w14:paraId="11C62980" w14:textId="5B81CD71" w:rsidR="005C4AA7" w:rsidRPr="00B7675F" w:rsidRDefault="00054F45" w:rsidP="005C4AA7">
      <w:pPr>
        <w:spacing w:after="0" w:line="276" w:lineRule="auto"/>
        <w:jc w:val="both"/>
        <w:rPr>
          <w:rFonts w:asciiTheme="majorHAnsi" w:hAnsiTheme="majorHAnsi" w:cstheme="majorHAnsi"/>
          <w:b/>
          <w:sz w:val="24"/>
          <w:szCs w:val="24"/>
          <w:lang w:val="ro-MD"/>
        </w:rPr>
      </w:pPr>
      <w:r w:rsidRPr="00B7675F">
        <w:rPr>
          <w:rFonts w:asciiTheme="majorHAnsi" w:hAnsiTheme="majorHAnsi" w:cstheme="majorHAnsi"/>
          <w:b/>
          <w:sz w:val="24"/>
          <w:szCs w:val="24"/>
          <w:lang w:val="ro-MD"/>
        </w:rPr>
        <w:t>Recomandare Minist</w:t>
      </w:r>
      <w:r w:rsidR="00B7675F">
        <w:rPr>
          <w:rFonts w:asciiTheme="majorHAnsi" w:hAnsiTheme="majorHAnsi" w:cstheme="majorHAnsi"/>
          <w:b/>
          <w:sz w:val="24"/>
          <w:szCs w:val="24"/>
          <w:lang w:val="ro-MD"/>
        </w:rPr>
        <w:t>e</w:t>
      </w:r>
      <w:r w:rsidR="005C4AA7" w:rsidRPr="00B7675F">
        <w:rPr>
          <w:rFonts w:asciiTheme="majorHAnsi" w:hAnsiTheme="majorHAnsi" w:cstheme="majorHAnsi"/>
          <w:b/>
          <w:sz w:val="24"/>
          <w:szCs w:val="24"/>
          <w:lang w:val="ro-MD"/>
        </w:rPr>
        <w:t>r</w:t>
      </w:r>
      <w:r w:rsidR="005828EE" w:rsidRPr="00B7675F">
        <w:rPr>
          <w:rFonts w:asciiTheme="majorHAnsi" w:hAnsiTheme="majorHAnsi" w:cstheme="majorHAnsi"/>
          <w:b/>
          <w:sz w:val="24"/>
          <w:szCs w:val="24"/>
          <w:lang w:val="ro-MD"/>
        </w:rPr>
        <w:t>ului</w:t>
      </w:r>
      <w:r w:rsidR="00486664" w:rsidRPr="00B7675F">
        <w:rPr>
          <w:rFonts w:asciiTheme="majorHAnsi" w:hAnsiTheme="majorHAnsi" w:cstheme="majorHAnsi"/>
          <w:b/>
          <w:sz w:val="24"/>
          <w:szCs w:val="24"/>
          <w:lang w:val="ro-MD"/>
        </w:rPr>
        <w:t xml:space="preserve"> </w:t>
      </w:r>
      <w:r w:rsidR="005C4AA7" w:rsidRPr="00B7675F">
        <w:rPr>
          <w:rFonts w:asciiTheme="majorHAnsi" w:hAnsiTheme="majorHAnsi" w:cstheme="majorHAnsi"/>
          <w:b/>
          <w:sz w:val="24"/>
          <w:szCs w:val="24"/>
          <w:lang w:val="ro-MD"/>
        </w:rPr>
        <w:t xml:space="preserve">Justiției </w:t>
      </w:r>
    </w:p>
    <w:p w14:paraId="0C32D207" w14:textId="598A2A52" w:rsidR="005C4AA7" w:rsidRPr="00B7675F" w:rsidRDefault="005C4AA7" w:rsidP="00BD479A">
      <w:pPr>
        <w:pStyle w:val="aa"/>
        <w:numPr>
          <w:ilvl w:val="0"/>
          <w:numId w:val="35"/>
        </w:numPr>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Să evalueze și să instituie registrul</w:t>
      </w:r>
      <w:r w:rsidR="003A57A7" w:rsidRPr="00736448">
        <w:rPr>
          <w:rFonts w:asciiTheme="majorHAnsi" w:hAnsiTheme="majorHAnsi" w:cstheme="majorHAnsi"/>
          <w:sz w:val="24"/>
          <w:szCs w:val="24"/>
          <w:lang w:val="ro-MD"/>
        </w:rPr>
        <w:t xml:space="preserve"> electronic</w:t>
      </w:r>
      <w:r w:rsidRPr="00736448">
        <w:rPr>
          <w:rFonts w:asciiTheme="majorHAnsi" w:hAnsiTheme="majorHAnsi" w:cstheme="majorHAnsi"/>
          <w:sz w:val="24"/>
          <w:szCs w:val="24"/>
          <w:lang w:val="ro-MD"/>
        </w:rPr>
        <w:t xml:space="preserve"> de evidență a liber</w:t>
      </w:r>
      <w:r w:rsidR="00B7675F" w:rsidRPr="00736448">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profesioniștilor ce practică activitate în sectorul justiției, </w:t>
      </w:r>
      <w:r w:rsidR="00B7675F" w:rsidRPr="00736448">
        <w:rPr>
          <w:rFonts w:asciiTheme="majorHAnsi" w:hAnsiTheme="majorHAnsi" w:cstheme="majorHAnsi"/>
          <w:sz w:val="24"/>
          <w:szCs w:val="24"/>
          <w:lang w:val="ro-MD"/>
        </w:rPr>
        <w:t xml:space="preserve">ceea </w:t>
      </w:r>
      <w:r w:rsidRPr="00736448">
        <w:rPr>
          <w:rFonts w:asciiTheme="majorHAnsi" w:hAnsiTheme="majorHAnsi" w:cstheme="majorHAnsi"/>
          <w:sz w:val="24"/>
          <w:szCs w:val="24"/>
          <w:lang w:val="ro-MD"/>
        </w:rPr>
        <w:t xml:space="preserve">ce ar asigura transmiterea operativă </w:t>
      </w:r>
      <w:r w:rsidR="005828EE" w:rsidRPr="00736448">
        <w:rPr>
          <w:rFonts w:asciiTheme="majorHAnsi" w:hAnsiTheme="majorHAnsi" w:cstheme="majorHAnsi"/>
          <w:sz w:val="24"/>
          <w:szCs w:val="24"/>
          <w:lang w:val="ro-MD"/>
        </w:rPr>
        <w:t xml:space="preserve">a informațiilor </w:t>
      </w:r>
      <w:r w:rsidRPr="00736448">
        <w:rPr>
          <w:rFonts w:asciiTheme="majorHAnsi" w:hAnsiTheme="majorHAnsi" w:cstheme="majorHAnsi"/>
          <w:sz w:val="24"/>
          <w:szCs w:val="24"/>
          <w:lang w:val="ro-MD"/>
        </w:rPr>
        <w:t>cătr</w:t>
      </w:r>
      <w:r w:rsidR="00A46F4B" w:rsidRPr="00736448">
        <w:rPr>
          <w:rFonts w:asciiTheme="majorHAnsi" w:hAnsiTheme="majorHAnsi" w:cstheme="majorHAnsi"/>
          <w:sz w:val="24"/>
          <w:szCs w:val="24"/>
          <w:lang w:val="ro-MD"/>
        </w:rPr>
        <w:t xml:space="preserve">e CNAS, în scopul înregistrării în termen </w:t>
      </w:r>
      <w:r w:rsidRPr="00736448">
        <w:rPr>
          <w:rFonts w:asciiTheme="majorHAnsi" w:hAnsiTheme="majorHAnsi" w:cstheme="majorHAnsi"/>
          <w:sz w:val="24"/>
          <w:szCs w:val="24"/>
          <w:lang w:val="ro-MD"/>
        </w:rPr>
        <w:t xml:space="preserve">în </w:t>
      </w:r>
      <w:r w:rsidR="0061671B" w:rsidRPr="00B7675F">
        <w:rPr>
          <w:rFonts w:asciiTheme="majorHAnsi" w:hAnsiTheme="majorHAnsi" w:cstheme="majorHAnsi"/>
          <w:sz w:val="24"/>
          <w:szCs w:val="24"/>
          <w:lang w:val="ro-MD"/>
        </w:rPr>
        <w:t>calitate de plătitori la BASS</w:t>
      </w:r>
      <w:r w:rsidR="00B31EEA" w:rsidRPr="00B7675F">
        <w:rPr>
          <w:rFonts w:asciiTheme="majorHAnsi" w:hAnsiTheme="majorHAnsi" w:cstheme="majorHAnsi"/>
          <w:sz w:val="24"/>
          <w:szCs w:val="24"/>
          <w:lang w:val="ro-MD"/>
        </w:rPr>
        <w:t xml:space="preserve"> </w:t>
      </w:r>
      <w:r w:rsidR="00B31EEA" w:rsidRPr="00B7675F">
        <w:rPr>
          <w:rFonts w:asciiTheme="majorHAnsi" w:hAnsiTheme="majorHAnsi" w:cstheme="majorHAnsi"/>
          <w:i/>
          <w:sz w:val="24"/>
          <w:szCs w:val="24"/>
          <w:lang w:val="ro-MD"/>
        </w:rPr>
        <w:t>(Observația 6.2 – Secțiunea VI)</w:t>
      </w:r>
      <w:r w:rsidR="0061671B" w:rsidRPr="00B7675F">
        <w:rPr>
          <w:rFonts w:asciiTheme="majorHAnsi" w:hAnsiTheme="majorHAnsi" w:cstheme="majorHAnsi"/>
          <w:sz w:val="24"/>
          <w:szCs w:val="24"/>
          <w:lang w:val="ro-MD"/>
        </w:rPr>
        <w:t>;</w:t>
      </w:r>
    </w:p>
    <w:p w14:paraId="14AFFE55" w14:textId="20468E6B" w:rsidR="005C4AA7" w:rsidRPr="00B7675F" w:rsidRDefault="0010219C" w:rsidP="0010219C">
      <w:pPr>
        <w:spacing w:after="0" w:line="276" w:lineRule="auto"/>
        <w:jc w:val="both"/>
        <w:rPr>
          <w:rFonts w:asciiTheme="majorHAnsi" w:hAnsiTheme="majorHAnsi" w:cstheme="majorHAnsi"/>
          <w:b/>
          <w:sz w:val="24"/>
          <w:szCs w:val="24"/>
          <w:lang w:val="ro-MD"/>
        </w:rPr>
      </w:pPr>
      <w:r w:rsidRPr="00B7675F">
        <w:rPr>
          <w:rFonts w:asciiTheme="majorHAnsi" w:hAnsiTheme="majorHAnsi" w:cstheme="majorHAnsi"/>
          <w:b/>
          <w:sz w:val="24"/>
          <w:szCs w:val="24"/>
          <w:lang w:val="ro-MD"/>
        </w:rPr>
        <w:t>Recomandare Minist</w:t>
      </w:r>
      <w:r w:rsidR="00B7675F">
        <w:rPr>
          <w:rFonts w:asciiTheme="majorHAnsi" w:hAnsiTheme="majorHAnsi" w:cstheme="majorHAnsi"/>
          <w:b/>
          <w:sz w:val="24"/>
          <w:szCs w:val="24"/>
          <w:lang w:val="ro-MD"/>
        </w:rPr>
        <w:t>e</w:t>
      </w:r>
      <w:r w:rsidR="00054F45" w:rsidRPr="00B7675F">
        <w:rPr>
          <w:rFonts w:asciiTheme="majorHAnsi" w:hAnsiTheme="majorHAnsi" w:cstheme="majorHAnsi"/>
          <w:b/>
          <w:sz w:val="24"/>
          <w:szCs w:val="24"/>
          <w:lang w:val="ro-MD"/>
        </w:rPr>
        <w:t>r</w:t>
      </w:r>
      <w:r w:rsidRPr="00B7675F">
        <w:rPr>
          <w:rFonts w:asciiTheme="majorHAnsi" w:hAnsiTheme="majorHAnsi" w:cstheme="majorHAnsi"/>
          <w:b/>
          <w:sz w:val="24"/>
          <w:szCs w:val="24"/>
          <w:lang w:val="ro-MD"/>
        </w:rPr>
        <w:t>u</w:t>
      </w:r>
      <w:r w:rsidR="005C4AA7" w:rsidRPr="00B7675F">
        <w:rPr>
          <w:rFonts w:asciiTheme="majorHAnsi" w:hAnsiTheme="majorHAnsi" w:cstheme="majorHAnsi"/>
          <w:b/>
          <w:sz w:val="24"/>
          <w:szCs w:val="24"/>
          <w:lang w:val="ro-MD"/>
        </w:rPr>
        <w:t>lui Muncii și Protecției Sociale</w:t>
      </w:r>
    </w:p>
    <w:p w14:paraId="1393C264" w14:textId="54517383" w:rsidR="005D0865" w:rsidRPr="00B7675F" w:rsidRDefault="0035287C" w:rsidP="00BD479A">
      <w:pPr>
        <w:pStyle w:val="aa"/>
        <w:numPr>
          <w:ilvl w:val="0"/>
          <w:numId w:val="35"/>
        </w:numPr>
        <w:spacing w:after="0" w:line="276" w:lineRule="auto"/>
        <w:jc w:val="both"/>
        <w:rPr>
          <w:rFonts w:asciiTheme="majorHAnsi" w:eastAsia="Times New Roman" w:hAnsiTheme="majorHAnsi" w:cstheme="majorHAnsi"/>
          <w:sz w:val="24"/>
          <w:szCs w:val="24"/>
          <w:lang w:val="ro-MD"/>
        </w:rPr>
      </w:pPr>
      <w:r w:rsidRPr="0038225D">
        <w:rPr>
          <w:rFonts w:asciiTheme="majorHAnsi" w:eastAsia="Times New Roman" w:hAnsiTheme="majorHAnsi" w:cstheme="majorHAnsi"/>
          <w:sz w:val="24"/>
          <w:szCs w:val="24"/>
          <w:lang w:val="ro-MD"/>
        </w:rPr>
        <w:t>Să revizui</w:t>
      </w:r>
      <w:r w:rsidR="00B7675F" w:rsidRPr="0038225D">
        <w:rPr>
          <w:rFonts w:asciiTheme="majorHAnsi" w:eastAsia="Times New Roman" w:hAnsiTheme="majorHAnsi" w:cstheme="majorHAnsi"/>
          <w:sz w:val="24"/>
          <w:szCs w:val="24"/>
          <w:lang w:val="ro-MD"/>
        </w:rPr>
        <w:t>ască</w:t>
      </w:r>
      <w:r w:rsidR="005C4AA7" w:rsidRPr="0038225D">
        <w:rPr>
          <w:rFonts w:asciiTheme="majorHAnsi" w:eastAsia="Times New Roman" w:hAnsiTheme="majorHAnsi" w:cstheme="majorHAnsi"/>
          <w:sz w:val="24"/>
          <w:szCs w:val="24"/>
          <w:lang w:val="ro-MD"/>
        </w:rPr>
        <w:t xml:space="preserve"> și </w:t>
      </w:r>
      <w:r w:rsidR="005D0865" w:rsidRPr="0038225D">
        <w:rPr>
          <w:rFonts w:asciiTheme="majorHAnsi" w:eastAsia="Times New Roman" w:hAnsiTheme="majorHAnsi" w:cstheme="majorHAnsi"/>
          <w:sz w:val="24"/>
          <w:szCs w:val="24"/>
          <w:lang w:val="ro-MD"/>
        </w:rPr>
        <w:t xml:space="preserve">să </w:t>
      </w:r>
      <w:r w:rsidR="005C4AA7" w:rsidRPr="0038225D">
        <w:rPr>
          <w:rFonts w:asciiTheme="majorHAnsi" w:eastAsia="Times New Roman" w:hAnsiTheme="majorHAnsi" w:cstheme="majorHAnsi"/>
          <w:sz w:val="24"/>
          <w:szCs w:val="24"/>
          <w:lang w:val="ro-MD"/>
        </w:rPr>
        <w:t>actualiz</w:t>
      </w:r>
      <w:r w:rsidR="005D0865" w:rsidRPr="0038225D">
        <w:rPr>
          <w:rFonts w:asciiTheme="majorHAnsi" w:eastAsia="Times New Roman" w:hAnsiTheme="majorHAnsi" w:cstheme="majorHAnsi"/>
          <w:sz w:val="24"/>
          <w:szCs w:val="24"/>
          <w:lang w:val="ro-MD"/>
        </w:rPr>
        <w:t>eze</w:t>
      </w:r>
      <w:r w:rsidR="005C4AA7" w:rsidRPr="0038225D">
        <w:rPr>
          <w:rFonts w:asciiTheme="majorHAnsi" w:eastAsia="Times New Roman" w:hAnsiTheme="majorHAnsi" w:cstheme="majorHAnsi"/>
          <w:sz w:val="24"/>
          <w:szCs w:val="24"/>
          <w:lang w:val="ro-MD"/>
        </w:rPr>
        <w:t xml:space="preserve"> cadrul normativ pentru asigurarea stabilirii </w:t>
      </w:r>
      <w:r w:rsidR="00B31EEA" w:rsidRPr="0038225D">
        <w:rPr>
          <w:rFonts w:asciiTheme="majorHAnsi" w:eastAsia="Times New Roman" w:hAnsiTheme="majorHAnsi" w:cstheme="majorHAnsi"/>
          <w:sz w:val="24"/>
          <w:szCs w:val="24"/>
          <w:lang w:val="ro-MD"/>
        </w:rPr>
        <w:t>uniforme</w:t>
      </w:r>
      <w:r w:rsidR="00B7675F" w:rsidRPr="0038225D">
        <w:rPr>
          <w:rFonts w:asciiTheme="majorHAnsi" w:eastAsia="Times New Roman" w:hAnsiTheme="majorHAnsi" w:cstheme="majorHAnsi"/>
          <w:sz w:val="24"/>
          <w:szCs w:val="24"/>
          <w:lang w:val="ro-MD"/>
        </w:rPr>
        <w:t xml:space="preserve"> a</w:t>
      </w:r>
      <w:r w:rsidR="00B31EEA" w:rsidRPr="0038225D">
        <w:rPr>
          <w:rFonts w:asciiTheme="majorHAnsi" w:eastAsia="Times New Roman" w:hAnsiTheme="majorHAnsi" w:cstheme="majorHAnsi"/>
          <w:sz w:val="24"/>
          <w:szCs w:val="24"/>
          <w:lang w:val="ro-MD"/>
        </w:rPr>
        <w:t xml:space="preserve"> </w:t>
      </w:r>
      <w:r w:rsidR="005C4AA7" w:rsidRPr="0038225D">
        <w:rPr>
          <w:rFonts w:asciiTheme="majorHAnsi" w:eastAsia="Times New Roman" w:hAnsiTheme="majorHAnsi" w:cstheme="majorHAnsi"/>
          <w:sz w:val="24"/>
          <w:szCs w:val="24"/>
          <w:lang w:val="ro-MD"/>
        </w:rPr>
        <w:t>pensiei pentru vechime în muncă foștilor anga</w:t>
      </w:r>
      <w:r w:rsidR="005828EE" w:rsidRPr="00B7675F">
        <w:rPr>
          <w:rFonts w:asciiTheme="majorHAnsi" w:eastAsia="Times New Roman" w:hAnsiTheme="majorHAnsi" w:cstheme="majorHAnsi"/>
          <w:sz w:val="24"/>
          <w:szCs w:val="24"/>
          <w:lang w:val="ro-MD"/>
        </w:rPr>
        <w:t>jați ai instituțiilor de forță</w:t>
      </w:r>
      <w:r w:rsidR="00B31EEA" w:rsidRPr="00B7675F">
        <w:rPr>
          <w:rFonts w:asciiTheme="majorHAnsi" w:eastAsia="Times New Roman" w:hAnsiTheme="majorHAnsi" w:cstheme="majorHAnsi"/>
          <w:sz w:val="24"/>
          <w:szCs w:val="24"/>
          <w:lang w:val="ro-MD"/>
        </w:rPr>
        <w:t xml:space="preserve"> </w:t>
      </w:r>
      <w:r w:rsidR="00B31EEA" w:rsidRPr="00B7675F">
        <w:rPr>
          <w:rFonts w:asciiTheme="majorHAnsi" w:hAnsiTheme="majorHAnsi" w:cstheme="majorHAnsi"/>
          <w:i/>
          <w:sz w:val="24"/>
          <w:szCs w:val="24"/>
          <w:lang w:val="ro-MD"/>
        </w:rPr>
        <w:t>(Observația7.9  – Secțiunea VII)</w:t>
      </w:r>
      <w:r w:rsidR="005828EE" w:rsidRPr="00B7675F">
        <w:rPr>
          <w:rFonts w:asciiTheme="majorHAnsi" w:eastAsia="Times New Roman" w:hAnsiTheme="majorHAnsi" w:cstheme="majorHAnsi"/>
          <w:sz w:val="24"/>
          <w:szCs w:val="24"/>
          <w:lang w:val="ro-MD"/>
        </w:rPr>
        <w:t>;</w:t>
      </w:r>
    </w:p>
    <w:p w14:paraId="35379C3B" w14:textId="6AF7E847" w:rsidR="00704708" w:rsidRPr="0038225D" w:rsidRDefault="00704708" w:rsidP="00BD479A">
      <w:pPr>
        <w:pStyle w:val="aa"/>
        <w:numPr>
          <w:ilvl w:val="0"/>
          <w:numId w:val="35"/>
        </w:numPr>
        <w:spacing w:after="0" w:line="276" w:lineRule="auto"/>
        <w:jc w:val="both"/>
        <w:rPr>
          <w:rFonts w:asciiTheme="majorHAnsi" w:eastAsia="Times New Roman" w:hAnsiTheme="majorHAnsi" w:cstheme="majorHAnsi"/>
          <w:sz w:val="24"/>
          <w:szCs w:val="24"/>
          <w:lang w:val="ro-MD"/>
        </w:rPr>
      </w:pPr>
      <w:r w:rsidRPr="00B7675F">
        <w:rPr>
          <w:rFonts w:asciiTheme="majorHAnsi" w:eastAsia="Times New Roman" w:hAnsiTheme="majorHAnsi" w:cstheme="majorHAnsi"/>
          <w:sz w:val="24"/>
          <w:szCs w:val="24"/>
          <w:lang w:val="ro-MD"/>
        </w:rPr>
        <w:t>Să ajusteze cadrul legal</w:t>
      </w:r>
      <w:r w:rsidR="0035287C" w:rsidRPr="00B7675F">
        <w:rPr>
          <w:rFonts w:asciiTheme="majorHAnsi" w:eastAsia="Times New Roman" w:hAnsiTheme="majorHAnsi" w:cstheme="majorHAnsi"/>
          <w:sz w:val="24"/>
          <w:szCs w:val="24"/>
          <w:lang w:val="ro-MD"/>
        </w:rPr>
        <w:t xml:space="preserve"> aferent prevederilor</w:t>
      </w:r>
      <w:r w:rsidRPr="00B7675F">
        <w:rPr>
          <w:rFonts w:asciiTheme="majorHAnsi" w:eastAsia="Times New Roman" w:hAnsiTheme="majorHAnsi" w:cstheme="majorHAnsi"/>
          <w:sz w:val="24"/>
          <w:szCs w:val="24"/>
          <w:lang w:val="ro-MD"/>
        </w:rPr>
        <w:t xml:space="preserve"> exhaust</w:t>
      </w:r>
      <w:r w:rsidR="0035287C" w:rsidRPr="00B7675F">
        <w:rPr>
          <w:rFonts w:asciiTheme="majorHAnsi" w:eastAsia="Times New Roman" w:hAnsiTheme="majorHAnsi" w:cstheme="majorHAnsi"/>
          <w:sz w:val="24"/>
          <w:szCs w:val="24"/>
          <w:lang w:val="ro-MD"/>
        </w:rPr>
        <w:t>ive a</w:t>
      </w:r>
      <w:r w:rsidR="00B7675F" w:rsidRPr="00B7675F">
        <w:rPr>
          <w:rFonts w:asciiTheme="majorHAnsi" w:eastAsia="Times New Roman" w:hAnsiTheme="majorHAnsi" w:cstheme="majorHAnsi"/>
          <w:sz w:val="24"/>
          <w:szCs w:val="24"/>
          <w:lang w:val="ro-MD"/>
        </w:rPr>
        <w:t>le</w:t>
      </w:r>
      <w:r w:rsidR="0035287C" w:rsidRPr="00B7675F">
        <w:rPr>
          <w:rFonts w:asciiTheme="majorHAnsi" w:eastAsia="Times New Roman" w:hAnsiTheme="majorHAnsi" w:cstheme="majorHAnsi"/>
          <w:sz w:val="24"/>
          <w:szCs w:val="24"/>
          <w:lang w:val="ro-MD"/>
        </w:rPr>
        <w:t xml:space="preserve"> instituției ce stabilește și </w:t>
      </w:r>
      <w:r w:rsidRPr="00B7675F">
        <w:rPr>
          <w:rFonts w:asciiTheme="majorHAnsi" w:eastAsia="Times New Roman" w:hAnsiTheme="majorHAnsi" w:cstheme="majorHAnsi"/>
          <w:sz w:val="24"/>
          <w:szCs w:val="24"/>
          <w:lang w:val="ro-MD"/>
        </w:rPr>
        <w:t xml:space="preserve">achită pensiile </w:t>
      </w:r>
      <w:r w:rsidR="00B7675F" w:rsidRPr="00B7675F">
        <w:rPr>
          <w:rFonts w:asciiTheme="majorHAnsi" w:eastAsia="Times New Roman" w:hAnsiTheme="majorHAnsi" w:cstheme="majorHAnsi"/>
          <w:sz w:val="24"/>
          <w:szCs w:val="24"/>
          <w:lang w:val="ro-MD"/>
        </w:rPr>
        <w:t xml:space="preserve">persoanelor care au </w:t>
      </w:r>
      <w:r w:rsidR="00B7675F" w:rsidRPr="00736448">
        <w:rPr>
          <w:rFonts w:asciiTheme="majorHAnsi" w:hAnsiTheme="majorHAnsi" w:cstheme="majorHAnsi"/>
          <w:sz w:val="24"/>
          <w:szCs w:val="24"/>
          <w:lang w:val="ro-MD"/>
        </w:rPr>
        <w:t>ocupat funcția de Președinte al Republicii Moldova</w:t>
      </w:r>
      <w:r w:rsidR="00B7675F" w:rsidRPr="00736448">
        <w:rPr>
          <w:rFonts w:asciiTheme="majorHAnsi" w:hAnsiTheme="majorHAnsi" w:cstheme="majorHAnsi"/>
          <w:color w:val="000000" w:themeColor="text1"/>
          <w:sz w:val="24"/>
          <w:szCs w:val="24"/>
          <w:lang w:val="ro-MD"/>
        </w:rPr>
        <w:t xml:space="preserve"> </w:t>
      </w:r>
      <w:r w:rsidR="00B31EEA" w:rsidRPr="00B7675F">
        <w:rPr>
          <w:rFonts w:asciiTheme="majorHAnsi" w:eastAsia="Times New Roman" w:hAnsiTheme="majorHAnsi" w:cstheme="majorHAnsi"/>
          <w:sz w:val="24"/>
          <w:szCs w:val="24"/>
          <w:lang w:val="ro-MD"/>
        </w:rPr>
        <w:t xml:space="preserve"> </w:t>
      </w:r>
      <w:r w:rsidR="00B31EEA" w:rsidRPr="0038225D">
        <w:rPr>
          <w:rFonts w:asciiTheme="majorHAnsi" w:hAnsiTheme="majorHAnsi" w:cstheme="majorHAnsi"/>
          <w:i/>
          <w:sz w:val="24"/>
          <w:szCs w:val="24"/>
          <w:lang w:val="ro-MD"/>
        </w:rPr>
        <w:t>(Observația 7.12 – Secțiunea VII);</w:t>
      </w:r>
    </w:p>
    <w:p w14:paraId="374FF091" w14:textId="690D01C5" w:rsidR="005567FD" w:rsidRPr="00B7675F" w:rsidRDefault="005567FD" w:rsidP="00BD479A">
      <w:pPr>
        <w:pStyle w:val="aa"/>
        <w:numPr>
          <w:ilvl w:val="0"/>
          <w:numId w:val="35"/>
        </w:numPr>
        <w:spacing w:after="0" w:line="276" w:lineRule="auto"/>
        <w:jc w:val="both"/>
        <w:rPr>
          <w:rFonts w:asciiTheme="majorHAnsi" w:eastAsia="Times New Roman" w:hAnsiTheme="majorHAnsi" w:cstheme="majorHAnsi"/>
          <w:sz w:val="24"/>
          <w:szCs w:val="24"/>
          <w:lang w:val="ro-MD"/>
        </w:rPr>
      </w:pPr>
      <w:r w:rsidRPr="00736448">
        <w:rPr>
          <w:rFonts w:asciiTheme="majorHAnsi" w:hAnsiTheme="majorHAnsi" w:cstheme="majorHAnsi"/>
          <w:sz w:val="24"/>
          <w:szCs w:val="24"/>
          <w:lang w:val="ro-MD"/>
        </w:rPr>
        <w:t xml:space="preserve">Să analizeze problemele procesului de stabilire, calculare și plată a ajutorului social și ajutorului pentru perioada rece a anului, cu întreprinderea acțiunilor concrete în scopul </w:t>
      </w:r>
      <w:r w:rsidR="00FD0E96" w:rsidRPr="00736448">
        <w:rPr>
          <w:rFonts w:asciiTheme="majorHAnsi" w:hAnsiTheme="majorHAnsi" w:cstheme="majorHAnsi"/>
          <w:sz w:val="24"/>
          <w:szCs w:val="24"/>
          <w:lang w:val="ro-MD"/>
        </w:rPr>
        <w:t>elimină</w:t>
      </w:r>
      <w:r w:rsidR="00B31EEA" w:rsidRPr="00736448">
        <w:rPr>
          <w:rFonts w:asciiTheme="majorHAnsi" w:hAnsiTheme="majorHAnsi" w:cstheme="majorHAnsi"/>
          <w:sz w:val="24"/>
          <w:szCs w:val="24"/>
          <w:lang w:val="ro-MD"/>
        </w:rPr>
        <w:t xml:space="preserve">rii cheltuielilor nejustificate </w:t>
      </w:r>
      <w:r w:rsidR="00B31EEA" w:rsidRPr="00B7675F">
        <w:rPr>
          <w:rFonts w:asciiTheme="majorHAnsi" w:hAnsiTheme="majorHAnsi" w:cstheme="majorHAnsi"/>
          <w:i/>
          <w:sz w:val="24"/>
          <w:szCs w:val="24"/>
          <w:lang w:val="ro-MD"/>
        </w:rPr>
        <w:t>(Observația 6.3 – Secțiunea VI);</w:t>
      </w:r>
    </w:p>
    <w:p w14:paraId="3309C0FA" w14:textId="5A072247" w:rsidR="00EA2984" w:rsidRPr="00736448" w:rsidRDefault="00EA2984" w:rsidP="00BD479A">
      <w:pPr>
        <w:pStyle w:val="aa"/>
        <w:numPr>
          <w:ilvl w:val="0"/>
          <w:numId w:val="35"/>
        </w:numPr>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Să elaboreze și să înainteze propuneri de ajustare a cadrului normativ privind determinarea exhaustivă a categoriilor de angajați din aviația civilă ce au dreptul la stabilirea pensiei în condiții speciale</w:t>
      </w:r>
      <w:r w:rsidRPr="00736448">
        <w:rPr>
          <w:rFonts w:asciiTheme="majorHAnsi" w:hAnsiTheme="majorHAnsi" w:cstheme="majorHAnsi"/>
          <w:i/>
          <w:sz w:val="24"/>
          <w:szCs w:val="24"/>
          <w:lang w:val="ro-MD"/>
        </w:rPr>
        <w:t xml:space="preserve"> (reiterat);</w:t>
      </w:r>
    </w:p>
    <w:p w14:paraId="09BD3984" w14:textId="662FE5B8" w:rsidR="00EA2984" w:rsidRPr="00736448" w:rsidRDefault="00EA2984" w:rsidP="00BD479A">
      <w:pPr>
        <w:pStyle w:val="aa"/>
        <w:numPr>
          <w:ilvl w:val="0"/>
          <w:numId w:val="35"/>
        </w:numPr>
        <w:spacing w:after="0" w:line="276" w:lineRule="auto"/>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Să elaboreze reglementări exhaustive de stopare/sistare a plății pensiei unor angajați din aviația civilă</w:t>
      </w:r>
      <w:r w:rsidR="00B7675F">
        <w:rPr>
          <w:rFonts w:asciiTheme="majorHAnsi" w:hAnsiTheme="majorHAnsi" w:cstheme="majorHAnsi"/>
          <w:sz w:val="24"/>
          <w:szCs w:val="24"/>
          <w:lang w:val="ro-MD"/>
        </w:rPr>
        <w:t>,</w:t>
      </w:r>
      <w:r w:rsidRPr="00736448">
        <w:rPr>
          <w:rFonts w:asciiTheme="majorHAnsi" w:hAnsiTheme="majorHAnsi" w:cstheme="majorHAnsi"/>
          <w:sz w:val="24"/>
          <w:szCs w:val="24"/>
          <w:lang w:val="ro-MD"/>
        </w:rPr>
        <w:t xml:space="preserve"> în cazul reangajării </w:t>
      </w:r>
      <w:r w:rsidR="00B7675F">
        <w:rPr>
          <w:rFonts w:asciiTheme="majorHAnsi" w:hAnsiTheme="majorHAnsi" w:cstheme="majorHAnsi"/>
          <w:sz w:val="24"/>
          <w:szCs w:val="24"/>
          <w:lang w:val="ro-MD"/>
        </w:rPr>
        <w:t xml:space="preserve">lor </w:t>
      </w:r>
      <w:r w:rsidRPr="00736448">
        <w:rPr>
          <w:rFonts w:asciiTheme="majorHAnsi" w:hAnsiTheme="majorHAnsi" w:cstheme="majorHAnsi"/>
          <w:sz w:val="24"/>
          <w:szCs w:val="24"/>
          <w:lang w:val="ro-MD"/>
        </w:rPr>
        <w:t xml:space="preserve">în funcții ale căror condiții de muncă se încadrează în condiții speciale </w:t>
      </w:r>
      <w:r w:rsidRPr="00736448">
        <w:rPr>
          <w:rFonts w:asciiTheme="majorHAnsi" w:hAnsiTheme="majorHAnsi" w:cstheme="majorHAnsi"/>
          <w:i/>
          <w:sz w:val="24"/>
          <w:szCs w:val="24"/>
          <w:lang w:val="ro-MD"/>
        </w:rPr>
        <w:t>(reiterat);</w:t>
      </w:r>
    </w:p>
    <w:p w14:paraId="5B783811" w14:textId="55F51421" w:rsidR="00FD0E96" w:rsidRPr="00B7675F" w:rsidRDefault="00FD0E96" w:rsidP="00FD0E96">
      <w:pPr>
        <w:spacing w:after="0" w:line="276" w:lineRule="auto"/>
        <w:jc w:val="both"/>
        <w:rPr>
          <w:rFonts w:asciiTheme="majorHAnsi" w:eastAsia="Times New Roman" w:hAnsiTheme="majorHAnsi" w:cstheme="majorHAnsi"/>
          <w:b/>
          <w:sz w:val="24"/>
          <w:szCs w:val="24"/>
          <w:lang w:val="ro-MD"/>
        </w:rPr>
      </w:pPr>
      <w:r w:rsidRPr="00B7675F">
        <w:rPr>
          <w:rFonts w:asciiTheme="majorHAnsi" w:eastAsia="Times New Roman" w:hAnsiTheme="majorHAnsi" w:cstheme="majorHAnsi"/>
          <w:b/>
          <w:sz w:val="24"/>
          <w:szCs w:val="24"/>
          <w:lang w:val="ro-MD"/>
        </w:rPr>
        <w:t>Recomandare Ministerului Sănătății</w:t>
      </w:r>
    </w:p>
    <w:p w14:paraId="2E0BD638" w14:textId="0BA6877C" w:rsidR="00FD0E96" w:rsidRPr="0038225D" w:rsidRDefault="00FD0E96" w:rsidP="00BD479A">
      <w:pPr>
        <w:pStyle w:val="a6"/>
        <w:numPr>
          <w:ilvl w:val="0"/>
          <w:numId w:val="35"/>
        </w:numPr>
        <w:spacing w:line="276" w:lineRule="auto"/>
        <w:rPr>
          <w:rFonts w:asciiTheme="majorHAnsi" w:hAnsiTheme="majorHAnsi" w:cstheme="majorHAnsi"/>
          <w:lang w:val="ro-MD"/>
        </w:rPr>
      </w:pPr>
      <w:r w:rsidRPr="00B7675F">
        <w:rPr>
          <w:rFonts w:asciiTheme="majorHAnsi" w:hAnsiTheme="majorHAnsi" w:cstheme="majorHAnsi"/>
          <w:lang w:val="ro-MD"/>
        </w:rPr>
        <w:t xml:space="preserve">Să întreprindă acțiuni de creare/dezvoltare </w:t>
      </w:r>
      <w:r w:rsidRPr="00736448">
        <w:rPr>
          <w:rFonts w:asciiTheme="majorHAnsi" w:hAnsiTheme="majorHAnsi" w:cstheme="majorHAnsi"/>
          <w:color w:val="000000"/>
          <w:lang w:val="ro-MD"/>
        </w:rPr>
        <w:t>a unui sistem informațional medical automatizat ce va</w:t>
      </w:r>
      <w:r w:rsidRPr="00B7675F">
        <w:rPr>
          <w:rFonts w:asciiTheme="majorHAnsi" w:hAnsiTheme="majorHAnsi" w:cstheme="majorHAnsi"/>
          <w:lang w:val="ro-MD"/>
        </w:rPr>
        <w:t xml:space="preserve"> permite</w:t>
      </w:r>
      <w:r w:rsidRPr="0038225D">
        <w:rPr>
          <w:rFonts w:asciiTheme="majorHAnsi" w:hAnsiTheme="majorHAnsi" w:cstheme="majorHAnsi"/>
          <w:lang w:val="ro-MD"/>
        </w:rPr>
        <w:t xml:space="preserve"> înregistrarea operativă a decesului persoanelor și actualizarea acestora în </w:t>
      </w:r>
      <w:r w:rsidR="003B3AE8" w:rsidRPr="0038225D">
        <w:rPr>
          <w:rFonts w:asciiTheme="majorHAnsi" w:hAnsiTheme="majorHAnsi" w:cstheme="majorHAnsi"/>
          <w:lang w:val="ro-MD"/>
        </w:rPr>
        <w:t xml:space="preserve">Registrul de </w:t>
      </w:r>
      <w:r w:rsidR="0038225D">
        <w:rPr>
          <w:rFonts w:asciiTheme="majorHAnsi" w:hAnsiTheme="majorHAnsi" w:cstheme="majorHAnsi"/>
          <w:lang w:val="ro-MD"/>
        </w:rPr>
        <w:t>s</w:t>
      </w:r>
      <w:r w:rsidR="003B3AE8" w:rsidRPr="0038225D">
        <w:rPr>
          <w:rFonts w:asciiTheme="majorHAnsi" w:hAnsiTheme="majorHAnsi" w:cstheme="majorHAnsi"/>
          <w:lang w:val="ro-MD"/>
        </w:rPr>
        <w:t xml:space="preserve">tat al populației </w:t>
      </w:r>
      <w:r w:rsidR="003B3AE8" w:rsidRPr="0038225D">
        <w:rPr>
          <w:rFonts w:asciiTheme="majorHAnsi" w:hAnsiTheme="majorHAnsi" w:cstheme="majorHAnsi"/>
          <w:i/>
          <w:lang w:val="ro-MD"/>
        </w:rPr>
        <w:t>(Observația 6.4 – Secțiunea VI);</w:t>
      </w:r>
    </w:p>
    <w:p w14:paraId="7671CA5B" w14:textId="4300A99B" w:rsidR="00FD0E96" w:rsidRPr="00B7675F" w:rsidRDefault="00D0244A" w:rsidP="00BD479A">
      <w:pPr>
        <w:pStyle w:val="a6"/>
        <w:numPr>
          <w:ilvl w:val="0"/>
          <w:numId w:val="35"/>
        </w:numPr>
        <w:spacing w:line="276" w:lineRule="auto"/>
        <w:rPr>
          <w:rFonts w:asciiTheme="majorHAnsi" w:hAnsiTheme="majorHAnsi" w:cstheme="majorHAnsi"/>
          <w:lang w:val="ro-MD"/>
        </w:rPr>
      </w:pPr>
      <w:r w:rsidRPr="00736448">
        <w:rPr>
          <w:rFonts w:asciiTheme="majorHAnsi" w:hAnsiTheme="majorHAnsi" w:cstheme="majorHAnsi"/>
          <w:lang w:val="ro-MD"/>
        </w:rPr>
        <w:t>Să asigure acțiuni în scopul eficientizării controlului permanent asupra corectitudinii și plenitudinii datelor introduse în Portalul certificatelor de concediu medical, cu r</w:t>
      </w:r>
      <w:r w:rsidR="003B3AE8" w:rsidRPr="00736448">
        <w:rPr>
          <w:rFonts w:asciiTheme="majorHAnsi" w:hAnsiTheme="majorHAnsi" w:cstheme="majorHAnsi"/>
          <w:lang w:val="ro-MD"/>
        </w:rPr>
        <w:t xml:space="preserve">espectarea termenelor stabilite </w:t>
      </w:r>
      <w:r w:rsidR="003B3AE8" w:rsidRPr="00B7675F">
        <w:rPr>
          <w:rFonts w:asciiTheme="majorHAnsi" w:hAnsiTheme="majorHAnsi" w:cstheme="majorHAnsi"/>
          <w:i/>
          <w:lang w:val="ro-MD"/>
        </w:rPr>
        <w:t>(Observația 7.7 – Secțiunea VII);</w:t>
      </w:r>
    </w:p>
    <w:p w14:paraId="49CF8A71" w14:textId="36121513" w:rsidR="00544C52" w:rsidRPr="00FE54EB" w:rsidRDefault="005828EE" w:rsidP="005D0865">
      <w:pPr>
        <w:spacing w:after="0" w:line="276" w:lineRule="auto"/>
        <w:jc w:val="both"/>
        <w:rPr>
          <w:rFonts w:asciiTheme="majorHAnsi" w:hAnsiTheme="majorHAnsi" w:cstheme="majorHAnsi"/>
          <w:b/>
          <w:sz w:val="24"/>
          <w:szCs w:val="24"/>
          <w:lang w:val="ro-MD"/>
        </w:rPr>
      </w:pPr>
      <w:r w:rsidRPr="00FE54EB">
        <w:rPr>
          <w:rFonts w:asciiTheme="majorHAnsi" w:hAnsiTheme="majorHAnsi" w:cstheme="majorHAnsi"/>
          <w:b/>
          <w:sz w:val="24"/>
          <w:szCs w:val="24"/>
          <w:lang w:val="ro-MD"/>
        </w:rPr>
        <w:t>Recomandare Ministerul</w:t>
      </w:r>
      <w:r w:rsidR="008947B7" w:rsidRPr="00FE54EB">
        <w:rPr>
          <w:rFonts w:asciiTheme="majorHAnsi" w:hAnsiTheme="majorHAnsi" w:cstheme="majorHAnsi"/>
          <w:b/>
          <w:sz w:val="24"/>
          <w:szCs w:val="24"/>
          <w:lang w:val="ro-MD"/>
        </w:rPr>
        <w:t>ui</w:t>
      </w:r>
      <w:r w:rsidR="005D0865" w:rsidRPr="00FE54EB">
        <w:rPr>
          <w:rFonts w:asciiTheme="majorHAnsi" w:hAnsiTheme="majorHAnsi" w:cstheme="majorHAnsi"/>
          <w:b/>
          <w:sz w:val="24"/>
          <w:szCs w:val="24"/>
          <w:lang w:val="ro-MD"/>
        </w:rPr>
        <w:t xml:space="preserve"> Muncii și Protecției Sociale</w:t>
      </w:r>
      <w:r w:rsidR="0038225D" w:rsidRPr="00FE54EB">
        <w:rPr>
          <w:rFonts w:asciiTheme="majorHAnsi" w:hAnsiTheme="majorHAnsi" w:cstheme="majorHAnsi"/>
          <w:b/>
          <w:sz w:val="24"/>
          <w:szCs w:val="24"/>
          <w:lang w:val="ro-MD"/>
        </w:rPr>
        <w:t>,</w:t>
      </w:r>
      <w:r w:rsidR="005D0865" w:rsidRPr="00FE54EB">
        <w:rPr>
          <w:rFonts w:asciiTheme="majorHAnsi" w:hAnsiTheme="majorHAnsi" w:cstheme="majorHAnsi"/>
          <w:b/>
          <w:sz w:val="24"/>
          <w:szCs w:val="24"/>
          <w:lang w:val="ro-MD"/>
        </w:rPr>
        <w:t xml:space="preserve"> de comun cu Minist</w:t>
      </w:r>
      <w:r w:rsidRPr="00FE54EB">
        <w:rPr>
          <w:rFonts w:asciiTheme="majorHAnsi" w:hAnsiTheme="majorHAnsi" w:cstheme="majorHAnsi"/>
          <w:b/>
          <w:sz w:val="24"/>
          <w:szCs w:val="24"/>
          <w:lang w:val="ro-MD"/>
        </w:rPr>
        <w:t>erul</w:t>
      </w:r>
      <w:r w:rsidR="005D0865" w:rsidRPr="00FE54EB">
        <w:rPr>
          <w:rFonts w:asciiTheme="majorHAnsi" w:hAnsiTheme="majorHAnsi" w:cstheme="majorHAnsi"/>
          <w:b/>
          <w:sz w:val="24"/>
          <w:szCs w:val="24"/>
          <w:lang w:val="ro-MD"/>
        </w:rPr>
        <w:t xml:space="preserve"> Finanțelor</w:t>
      </w:r>
    </w:p>
    <w:p w14:paraId="683508D8" w14:textId="6D61ED47" w:rsidR="005828EE" w:rsidRPr="00FE54EB" w:rsidRDefault="005D0865" w:rsidP="00BD479A">
      <w:pPr>
        <w:pStyle w:val="aa"/>
        <w:numPr>
          <w:ilvl w:val="0"/>
          <w:numId w:val="35"/>
        </w:numPr>
        <w:spacing w:after="0" w:line="276" w:lineRule="auto"/>
        <w:jc w:val="both"/>
        <w:rPr>
          <w:rFonts w:asciiTheme="majorHAnsi" w:eastAsia="Times New Roman" w:hAnsiTheme="majorHAnsi" w:cstheme="majorHAnsi"/>
          <w:sz w:val="24"/>
          <w:szCs w:val="24"/>
          <w:lang w:val="ro-MD"/>
        </w:rPr>
      </w:pPr>
      <w:r w:rsidRPr="00FE54EB">
        <w:rPr>
          <w:rFonts w:asciiTheme="majorHAnsi" w:eastAsia="Times New Roman" w:hAnsiTheme="majorHAnsi" w:cstheme="majorHAnsi"/>
          <w:sz w:val="24"/>
          <w:szCs w:val="24"/>
          <w:lang w:val="ro-MD"/>
        </w:rPr>
        <w:t xml:space="preserve">Să ajusteze și să actualizeze Legea insolvabilității, </w:t>
      </w:r>
      <w:r w:rsidR="0038225D" w:rsidRPr="00FE54EB">
        <w:rPr>
          <w:rFonts w:asciiTheme="majorHAnsi" w:eastAsia="Times New Roman" w:hAnsiTheme="majorHAnsi" w:cstheme="majorHAnsi"/>
          <w:sz w:val="24"/>
          <w:szCs w:val="24"/>
          <w:lang w:val="ro-MD"/>
        </w:rPr>
        <w:t xml:space="preserve">în </w:t>
      </w:r>
      <w:r w:rsidRPr="00FE54EB">
        <w:rPr>
          <w:rFonts w:asciiTheme="majorHAnsi" w:eastAsia="Times New Roman" w:hAnsiTheme="majorHAnsi" w:cstheme="majorHAnsi"/>
          <w:sz w:val="24"/>
          <w:szCs w:val="24"/>
          <w:lang w:val="ro-MD"/>
        </w:rPr>
        <w:t>corela</w:t>
      </w:r>
      <w:r w:rsidR="0038225D" w:rsidRPr="00FE54EB">
        <w:rPr>
          <w:rFonts w:asciiTheme="majorHAnsi" w:eastAsia="Times New Roman" w:hAnsiTheme="majorHAnsi" w:cstheme="majorHAnsi"/>
          <w:sz w:val="24"/>
          <w:szCs w:val="24"/>
          <w:lang w:val="ro-MD"/>
        </w:rPr>
        <w:t>ție</w:t>
      </w:r>
      <w:r w:rsidRPr="00FE54EB">
        <w:rPr>
          <w:rFonts w:asciiTheme="majorHAnsi" w:eastAsia="Times New Roman" w:hAnsiTheme="majorHAnsi" w:cstheme="majorHAnsi"/>
          <w:sz w:val="24"/>
          <w:szCs w:val="24"/>
          <w:lang w:val="ro-MD"/>
        </w:rPr>
        <w:t xml:space="preserve"> cu Codul fiscal și Codul </w:t>
      </w:r>
      <w:r w:rsidR="0038225D" w:rsidRPr="00FE54EB">
        <w:rPr>
          <w:rFonts w:asciiTheme="majorHAnsi" w:eastAsia="Times New Roman" w:hAnsiTheme="majorHAnsi" w:cstheme="majorHAnsi"/>
          <w:sz w:val="24"/>
          <w:szCs w:val="24"/>
          <w:lang w:val="ro-MD"/>
        </w:rPr>
        <w:t>m</w:t>
      </w:r>
      <w:r w:rsidRPr="00FE54EB">
        <w:rPr>
          <w:rFonts w:asciiTheme="majorHAnsi" w:eastAsia="Times New Roman" w:hAnsiTheme="majorHAnsi" w:cstheme="majorHAnsi"/>
          <w:sz w:val="24"/>
          <w:szCs w:val="24"/>
          <w:lang w:val="ro-MD"/>
        </w:rPr>
        <w:t>uncii</w:t>
      </w:r>
      <w:r w:rsidR="0038225D" w:rsidRPr="00FE54EB">
        <w:rPr>
          <w:rFonts w:asciiTheme="majorHAnsi" w:eastAsia="Times New Roman" w:hAnsiTheme="majorHAnsi" w:cstheme="majorHAnsi"/>
          <w:sz w:val="24"/>
          <w:szCs w:val="24"/>
          <w:lang w:val="ro-MD"/>
        </w:rPr>
        <w:t>,</w:t>
      </w:r>
      <w:r w:rsidRPr="00FE54EB">
        <w:rPr>
          <w:rFonts w:asciiTheme="majorHAnsi" w:eastAsia="Times New Roman" w:hAnsiTheme="majorHAnsi" w:cstheme="majorHAnsi"/>
          <w:sz w:val="24"/>
          <w:szCs w:val="24"/>
          <w:lang w:val="ro-MD"/>
        </w:rPr>
        <w:t xml:space="preserve"> în scopul asigurării drepturilor p</w:t>
      </w:r>
      <w:r w:rsidR="005828EE" w:rsidRPr="00FE54EB">
        <w:rPr>
          <w:rFonts w:asciiTheme="majorHAnsi" w:eastAsia="Times New Roman" w:hAnsiTheme="majorHAnsi" w:cstheme="majorHAnsi"/>
          <w:sz w:val="24"/>
          <w:szCs w:val="24"/>
          <w:lang w:val="ro-MD"/>
        </w:rPr>
        <w:t>ersoanelor la prestații sociale</w:t>
      </w:r>
      <w:r w:rsidR="008947B7" w:rsidRPr="00FE54EB">
        <w:rPr>
          <w:rFonts w:asciiTheme="majorHAnsi" w:eastAsia="Times New Roman" w:hAnsiTheme="majorHAnsi" w:cstheme="majorHAnsi"/>
          <w:sz w:val="24"/>
          <w:szCs w:val="24"/>
          <w:lang w:val="ro-MD"/>
        </w:rPr>
        <w:t>, inclusiv prin includerea datoriilor aferente contribuțiilor de asigurări sociale pe același rang cu</w:t>
      </w:r>
      <w:r w:rsidR="003B3AE8" w:rsidRPr="00FE54EB">
        <w:rPr>
          <w:rFonts w:asciiTheme="majorHAnsi" w:eastAsia="Times New Roman" w:hAnsiTheme="majorHAnsi" w:cstheme="majorHAnsi"/>
          <w:sz w:val="24"/>
          <w:szCs w:val="24"/>
          <w:lang w:val="ro-MD"/>
        </w:rPr>
        <w:t xml:space="preserve"> datoriile aferente salarizării </w:t>
      </w:r>
      <w:r w:rsidR="003B3AE8" w:rsidRPr="00FE54EB">
        <w:rPr>
          <w:rFonts w:asciiTheme="majorHAnsi" w:hAnsiTheme="majorHAnsi" w:cstheme="majorHAnsi"/>
          <w:i/>
          <w:sz w:val="24"/>
          <w:szCs w:val="24"/>
          <w:lang w:val="ro-MD"/>
        </w:rPr>
        <w:t>(Observația 7.6 – Secțiunea VII);</w:t>
      </w:r>
    </w:p>
    <w:p w14:paraId="50465AD1" w14:textId="6EBF40A2" w:rsidR="007754D1" w:rsidRPr="00FE54EB" w:rsidRDefault="005828EE" w:rsidP="00BD479A">
      <w:pPr>
        <w:pStyle w:val="aa"/>
        <w:numPr>
          <w:ilvl w:val="0"/>
          <w:numId w:val="35"/>
        </w:numPr>
        <w:spacing w:after="0" w:line="276" w:lineRule="auto"/>
        <w:jc w:val="both"/>
        <w:rPr>
          <w:rFonts w:asciiTheme="majorHAnsi" w:eastAsia="Times New Roman" w:hAnsiTheme="majorHAnsi" w:cstheme="majorHAnsi"/>
          <w:sz w:val="28"/>
          <w:szCs w:val="24"/>
          <w:lang w:val="ro-MD"/>
        </w:rPr>
      </w:pPr>
      <w:r w:rsidRPr="00FE54EB">
        <w:rPr>
          <w:rFonts w:asciiTheme="majorHAnsi" w:hAnsiTheme="majorHAnsi" w:cstheme="majorHAnsi"/>
          <w:sz w:val="24"/>
          <w:szCs w:val="24"/>
          <w:lang w:val="ro-MD"/>
        </w:rPr>
        <w:t xml:space="preserve">Să examineze cauzele problemelor aferente sustenabilității BASS </w:t>
      </w:r>
      <w:r w:rsidR="007754D1" w:rsidRPr="00FE54EB">
        <w:rPr>
          <w:rFonts w:asciiTheme="majorHAnsi" w:hAnsiTheme="majorHAnsi" w:cstheme="majorHAnsi"/>
          <w:sz w:val="24"/>
          <w:szCs w:val="24"/>
          <w:lang w:val="ro-MD"/>
        </w:rPr>
        <w:t xml:space="preserve">și să identifice soluții pentru majorarea </w:t>
      </w:r>
      <w:r w:rsidR="003B3AE8" w:rsidRPr="00FE54EB">
        <w:rPr>
          <w:rFonts w:asciiTheme="majorHAnsi" w:hAnsiTheme="majorHAnsi" w:cstheme="majorHAnsi"/>
          <w:sz w:val="24"/>
          <w:szCs w:val="24"/>
          <w:lang w:val="ro-MD"/>
        </w:rPr>
        <w:t xml:space="preserve">veniturilor proprii </w:t>
      </w:r>
      <w:r w:rsidR="0038225D" w:rsidRPr="00FE54EB">
        <w:rPr>
          <w:rFonts w:asciiTheme="majorHAnsi" w:hAnsiTheme="majorHAnsi" w:cstheme="majorHAnsi"/>
          <w:sz w:val="24"/>
          <w:szCs w:val="24"/>
          <w:lang w:val="ro-MD"/>
        </w:rPr>
        <w:t>ale</w:t>
      </w:r>
      <w:r w:rsidR="003B3AE8" w:rsidRPr="00FE54EB">
        <w:rPr>
          <w:rFonts w:asciiTheme="majorHAnsi" w:hAnsiTheme="majorHAnsi" w:cstheme="majorHAnsi"/>
          <w:sz w:val="24"/>
          <w:szCs w:val="24"/>
          <w:lang w:val="ro-MD"/>
        </w:rPr>
        <w:t xml:space="preserve"> BASS </w:t>
      </w:r>
      <w:r w:rsidR="00641A94" w:rsidRPr="00FE54EB">
        <w:rPr>
          <w:rFonts w:asciiTheme="majorHAnsi" w:hAnsiTheme="majorHAnsi" w:cstheme="majorHAnsi"/>
          <w:sz w:val="24"/>
          <w:szCs w:val="24"/>
          <w:lang w:val="ro-MD"/>
        </w:rPr>
        <w:t>și elimin</w:t>
      </w:r>
      <w:r w:rsidR="00EA6F56" w:rsidRPr="00FE54EB">
        <w:rPr>
          <w:rFonts w:asciiTheme="majorHAnsi" w:hAnsiTheme="majorHAnsi" w:cstheme="majorHAnsi"/>
          <w:sz w:val="24"/>
          <w:szCs w:val="24"/>
          <w:lang w:val="ro-MD"/>
        </w:rPr>
        <w:t>area</w:t>
      </w:r>
      <w:r w:rsidR="00641A94" w:rsidRPr="00FE54EB">
        <w:rPr>
          <w:rFonts w:asciiTheme="majorHAnsi" w:hAnsiTheme="majorHAnsi" w:cstheme="majorHAnsi"/>
          <w:sz w:val="24"/>
          <w:szCs w:val="24"/>
          <w:lang w:val="ro-MD"/>
        </w:rPr>
        <w:t xml:space="preserve"> surselor de achitare a salariilor în plic </w:t>
      </w:r>
      <w:r w:rsidR="003B3AE8" w:rsidRPr="00FE54EB">
        <w:rPr>
          <w:rFonts w:asciiTheme="majorHAnsi" w:hAnsiTheme="majorHAnsi" w:cstheme="majorHAnsi"/>
          <w:i/>
          <w:sz w:val="24"/>
          <w:szCs w:val="24"/>
          <w:lang w:val="ro-MD"/>
        </w:rPr>
        <w:t>(Observația 5.3 – Secțiunea V);</w:t>
      </w:r>
    </w:p>
    <w:p w14:paraId="5BD2F4B7" w14:textId="27C731F8" w:rsidR="007754D1" w:rsidRPr="0038225D" w:rsidRDefault="007754D1" w:rsidP="00BD479A">
      <w:pPr>
        <w:pStyle w:val="aa"/>
        <w:numPr>
          <w:ilvl w:val="0"/>
          <w:numId w:val="35"/>
        </w:numPr>
        <w:spacing w:after="0" w:line="276" w:lineRule="auto"/>
        <w:jc w:val="both"/>
        <w:rPr>
          <w:rFonts w:asciiTheme="majorHAnsi" w:eastAsia="Times New Roman" w:hAnsiTheme="majorHAnsi" w:cstheme="majorHAnsi"/>
          <w:sz w:val="28"/>
          <w:szCs w:val="24"/>
          <w:lang w:val="ro-MD"/>
        </w:rPr>
      </w:pPr>
      <w:r w:rsidRPr="00FE54EB">
        <w:rPr>
          <w:rFonts w:asciiTheme="majorHAnsi" w:hAnsiTheme="majorHAnsi" w:cstheme="majorHAnsi"/>
          <w:sz w:val="24"/>
          <w:szCs w:val="24"/>
          <w:lang w:val="ro-MD"/>
        </w:rPr>
        <w:t>Să asigure fundamentarea cotelor diferențiate</w:t>
      </w:r>
      <w:r w:rsidRPr="00736448">
        <w:rPr>
          <w:rFonts w:asciiTheme="majorHAnsi" w:hAnsiTheme="majorHAnsi" w:cstheme="majorHAnsi"/>
          <w:sz w:val="24"/>
          <w:szCs w:val="24"/>
          <w:lang w:val="ro-MD"/>
        </w:rPr>
        <w:t xml:space="preserve"> de asigurări sociale, cu evaluarea impactului și corectitudinea reflectării acestora </w:t>
      </w:r>
      <w:r w:rsidR="00CC170C" w:rsidRPr="00736448">
        <w:rPr>
          <w:rFonts w:asciiTheme="majorHAnsi" w:hAnsiTheme="majorHAnsi" w:cstheme="majorHAnsi"/>
          <w:sz w:val="24"/>
          <w:szCs w:val="24"/>
          <w:lang w:val="ro-MD"/>
        </w:rPr>
        <w:t>în rapoartele financiare</w:t>
      </w:r>
      <w:r w:rsidR="0038225D">
        <w:rPr>
          <w:rFonts w:asciiTheme="majorHAnsi" w:hAnsiTheme="majorHAnsi" w:cstheme="majorHAnsi"/>
          <w:sz w:val="24"/>
          <w:szCs w:val="24"/>
          <w:lang w:val="ro-MD"/>
        </w:rPr>
        <w:t xml:space="preserve"> </w:t>
      </w:r>
      <w:r w:rsidR="00CC170C" w:rsidRPr="00B7675F">
        <w:rPr>
          <w:rFonts w:asciiTheme="majorHAnsi" w:hAnsiTheme="majorHAnsi" w:cstheme="majorHAnsi"/>
          <w:i/>
          <w:sz w:val="24"/>
          <w:szCs w:val="24"/>
          <w:lang w:val="ro-MD"/>
        </w:rPr>
        <w:t>(Observația 5.5</w:t>
      </w:r>
      <w:r w:rsidR="00D46168" w:rsidRPr="00B7675F">
        <w:rPr>
          <w:rFonts w:asciiTheme="majorHAnsi" w:hAnsiTheme="majorHAnsi" w:cstheme="majorHAnsi"/>
          <w:i/>
          <w:sz w:val="24"/>
          <w:szCs w:val="24"/>
          <w:lang w:val="ro-MD"/>
        </w:rPr>
        <w:t>, 7.5</w:t>
      </w:r>
      <w:r w:rsidR="00CC170C" w:rsidRPr="00B7675F">
        <w:rPr>
          <w:rFonts w:asciiTheme="majorHAnsi" w:hAnsiTheme="majorHAnsi" w:cstheme="majorHAnsi"/>
          <w:i/>
          <w:sz w:val="24"/>
          <w:szCs w:val="24"/>
          <w:lang w:val="ro-MD"/>
        </w:rPr>
        <w:t xml:space="preserve"> – Secțiunea </w:t>
      </w:r>
      <w:r w:rsidR="00CC170C" w:rsidRPr="0038225D">
        <w:rPr>
          <w:rFonts w:asciiTheme="majorHAnsi" w:hAnsiTheme="majorHAnsi" w:cstheme="majorHAnsi"/>
          <w:i/>
          <w:sz w:val="24"/>
          <w:szCs w:val="24"/>
          <w:lang w:val="ro-MD"/>
        </w:rPr>
        <w:t>V</w:t>
      </w:r>
      <w:r w:rsidR="00D46168" w:rsidRPr="0038225D">
        <w:rPr>
          <w:rFonts w:asciiTheme="majorHAnsi" w:hAnsiTheme="majorHAnsi" w:cstheme="majorHAnsi"/>
          <w:i/>
          <w:sz w:val="24"/>
          <w:szCs w:val="24"/>
          <w:lang w:val="ro-MD"/>
        </w:rPr>
        <w:t>, VII</w:t>
      </w:r>
      <w:r w:rsidR="00CC170C" w:rsidRPr="0038225D">
        <w:rPr>
          <w:rFonts w:asciiTheme="majorHAnsi" w:hAnsiTheme="majorHAnsi" w:cstheme="majorHAnsi"/>
          <w:i/>
          <w:sz w:val="24"/>
          <w:szCs w:val="24"/>
          <w:lang w:val="ro-MD"/>
        </w:rPr>
        <w:t>);</w:t>
      </w:r>
    </w:p>
    <w:p w14:paraId="3F2B6F58" w14:textId="00EEEC7B" w:rsidR="004F53CF" w:rsidRPr="00B7675F" w:rsidRDefault="004F53CF" w:rsidP="00D30FC7">
      <w:pPr>
        <w:pStyle w:val="aa"/>
        <w:numPr>
          <w:ilvl w:val="0"/>
          <w:numId w:val="35"/>
        </w:numPr>
        <w:spacing w:after="0" w:line="276" w:lineRule="auto"/>
        <w:jc w:val="both"/>
        <w:rPr>
          <w:rFonts w:asciiTheme="majorHAnsi" w:hAnsiTheme="majorHAnsi" w:cstheme="majorHAnsi"/>
          <w:b/>
          <w:sz w:val="24"/>
          <w:szCs w:val="24"/>
          <w:lang w:val="ro-MD"/>
        </w:rPr>
      </w:pPr>
      <w:r w:rsidRPr="0038225D">
        <w:rPr>
          <w:rFonts w:asciiTheme="majorHAnsi" w:eastAsia="Times New Roman" w:hAnsiTheme="majorHAnsi" w:cstheme="majorHAnsi"/>
          <w:sz w:val="24"/>
          <w:szCs w:val="24"/>
          <w:lang w:val="ro-MD"/>
        </w:rPr>
        <w:t>Să asigure elaborarea și aprobarea mecanismelor de identificare și control a</w:t>
      </w:r>
      <w:r w:rsidR="0038225D">
        <w:rPr>
          <w:rFonts w:asciiTheme="majorHAnsi" w:eastAsia="Times New Roman" w:hAnsiTheme="majorHAnsi" w:cstheme="majorHAnsi"/>
          <w:sz w:val="24"/>
          <w:szCs w:val="24"/>
          <w:lang w:val="ro-MD"/>
        </w:rPr>
        <w:t>l</w:t>
      </w:r>
      <w:r w:rsidRPr="0038225D">
        <w:rPr>
          <w:rFonts w:asciiTheme="majorHAnsi" w:eastAsia="Times New Roman" w:hAnsiTheme="majorHAnsi" w:cstheme="majorHAnsi"/>
          <w:sz w:val="24"/>
          <w:szCs w:val="24"/>
          <w:lang w:val="ro-MD"/>
        </w:rPr>
        <w:t xml:space="preserve"> solicitări</w:t>
      </w:r>
      <w:r w:rsidR="0038225D">
        <w:rPr>
          <w:rFonts w:asciiTheme="majorHAnsi" w:eastAsia="Times New Roman" w:hAnsiTheme="majorHAnsi" w:cstheme="majorHAnsi"/>
          <w:sz w:val="24"/>
          <w:szCs w:val="24"/>
          <w:lang w:val="ro-MD"/>
        </w:rPr>
        <w:t>i</w:t>
      </w:r>
      <w:r w:rsidRPr="0038225D">
        <w:rPr>
          <w:rFonts w:asciiTheme="majorHAnsi" w:eastAsia="Times New Roman" w:hAnsiTheme="majorHAnsi" w:cstheme="majorHAnsi"/>
          <w:sz w:val="24"/>
          <w:szCs w:val="24"/>
          <w:lang w:val="ro-MD"/>
        </w:rPr>
        <w:t xml:space="preserve"> indemnizației de șomaj tehnic finanțat din bugetul de stat, în scopul asigurării conformității ac</w:t>
      </w:r>
      <w:r w:rsidR="00DF2034" w:rsidRPr="00B7675F">
        <w:rPr>
          <w:rFonts w:asciiTheme="majorHAnsi" w:eastAsia="Times New Roman" w:hAnsiTheme="majorHAnsi" w:cstheme="majorHAnsi"/>
          <w:sz w:val="24"/>
          <w:szCs w:val="24"/>
          <w:lang w:val="ro-MD"/>
        </w:rPr>
        <w:t xml:space="preserve">ordării și raportării veridice </w:t>
      </w:r>
      <w:r w:rsidR="00DF2034" w:rsidRPr="00B7675F">
        <w:rPr>
          <w:rFonts w:asciiTheme="majorHAnsi" w:hAnsiTheme="majorHAnsi" w:cstheme="majorHAnsi"/>
          <w:i/>
          <w:sz w:val="24"/>
          <w:szCs w:val="24"/>
          <w:lang w:val="ro-MD"/>
        </w:rPr>
        <w:t>(Observația 7.4 – Secțiunea VII);</w:t>
      </w:r>
    </w:p>
    <w:p w14:paraId="6B4494DB" w14:textId="68F2EABF" w:rsidR="005C4AA7" w:rsidRPr="00FE54EB" w:rsidRDefault="005C4AA7" w:rsidP="004F53CF">
      <w:pPr>
        <w:spacing w:after="0" w:line="276" w:lineRule="auto"/>
        <w:jc w:val="both"/>
        <w:rPr>
          <w:rFonts w:asciiTheme="majorHAnsi" w:hAnsiTheme="majorHAnsi" w:cstheme="majorHAnsi"/>
          <w:b/>
          <w:sz w:val="24"/>
          <w:szCs w:val="24"/>
          <w:lang w:val="ro-MD"/>
        </w:rPr>
      </w:pPr>
      <w:r w:rsidRPr="00FE54EB">
        <w:rPr>
          <w:rFonts w:asciiTheme="majorHAnsi" w:hAnsiTheme="majorHAnsi" w:cstheme="majorHAnsi"/>
          <w:b/>
          <w:sz w:val="24"/>
          <w:szCs w:val="24"/>
          <w:lang w:val="ro-MD"/>
        </w:rPr>
        <w:t xml:space="preserve">Recomandare Serviciului Fiscal de Stat </w:t>
      </w:r>
    </w:p>
    <w:p w14:paraId="1897FB7F" w14:textId="7402573A" w:rsidR="0073048B" w:rsidRPr="00FE54EB" w:rsidRDefault="0073048B" w:rsidP="00BD479A">
      <w:pPr>
        <w:pStyle w:val="aa"/>
        <w:numPr>
          <w:ilvl w:val="0"/>
          <w:numId w:val="35"/>
        </w:numPr>
        <w:spacing w:after="0" w:line="276" w:lineRule="auto"/>
        <w:jc w:val="both"/>
        <w:rPr>
          <w:rFonts w:asciiTheme="majorHAnsi" w:eastAsia="Times New Roman" w:hAnsiTheme="majorHAnsi" w:cstheme="majorHAnsi"/>
          <w:sz w:val="24"/>
          <w:szCs w:val="24"/>
          <w:lang w:val="ro-MD"/>
        </w:rPr>
      </w:pPr>
      <w:r w:rsidRPr="00FE54EB">
        <w:rPr>
          <w:rFonts w:asciiTheme="majorHAnsi" w:eastAsia="Times New Roman" w:hAnsiTheme="majorHAnsi" w:cstheme="majorHAnsi"/>
          <w:sz w:val="24"/>
          <w:szCs w:val="24"/>
          <w:lang w:val="ro-MD"/>
        </w:rPr>
        <w:t xml:space="preserve">Să întreprindă acțiuni </w:t>
      </w:r>
      <w:r w:rsidR="00975296" w:rsidRPr="00FE54EB">
        <w:rPr>
          <w:rFonts w:asciiTheme="majorHAnsi" w:eastAsia="Times New Roman" w:hAnsiTheme="majorHAnsi" w:cstheme="majorHAnsi"/>
          <w:sz w:val="24"/>
          <w:szCs w:val="24"/>
          <w:lang w:val="ro-MD"/>
        </w:rPr>
        <w:t>de monitorizare și conformare a contribuabililor</w:t>
      </w:r>
      <w:r w:rsidR="00A55063" w:rsidRPr="00FE54EB">
        <w:rPr>
          <w:rFonts w:asciiTheme="majorHAnsi" w:eastAsia="Times New Roman" w:hAnsiTheme="majorHAnsi" w:cstheme="majorHAnsi"/>
          <w:sz w:val="24"/>
          <w:szCs w:val="24"/>
          <w:lang w:val="ro-MD"/>
        </w:rPr>
        <w:t>,</w:t>
      </w:r>
      <w:r w:rsidR="00975296" w:rsidRPr="00FE54EB">
        <w:rPr>
          <w:rFonts w:asciiTheme="majorHAnsi" w:eastAsia="Times New Roman" w:hAnsiTheme="majorHAnsi" w:cstheme="majorHAnsi"/>
          <w:sz w:val="24"/>
          <w:szCs w:val="24"/>
          <w:lang w:val="ro-MD"/>
        </w:rPr>
        <w:t xml:space="preserve"> în vederea </w:t>
      </w:r>
      <w:r w:rsidRPr="00FE54EB">
        <w:rPr>
          <w:rFonts w:asciiTheme="majorHAnsi" w:eastAsia="Times New Roman" w:hAnsiTheme="majorHAnsi" w:cstheme="majorHAnsi"/>
          <w:sz w:val="24"/>
          <w:szCs w:val="24"/>
          <w:lang w:val="ro-MD"/>
        </w:rPr>
        <w:t>colect</w:t>
      </w:r>
      <w:r w:rsidR="00975296" w:rsidRPr="00FE54EB">
        <w:rPr>
          <w:rFonts w:asciiTheme="majorHAnsi" w:eastAsia="Times New Roman" w:hAnsiTheme="majorHAnsi" w:cstheme="majorHAnsi"/>
          <w:sz w:val="24"/>
          <w:szCs w:val="24"/>
          <w:lang w:val="ro-MD"/>
        </w:rPr>
        <w:t>ării</w:t>
      </w:r>
      <w:r w:rsidRPr="00FE54EB">
        <w:rPr>
          <w:rFonts w:asciiTheme="majorHAnsi" w:eastAsia="Times New Roman" w:hAnsiTheme="majorHAnsi" w:cstheme="majorHAnsi"/>
          <w:sz w:val="24"/>
          <w:szCs w:val="24"/>
          <w:lang w:val="ro-MD"/>
        </w:rPr>
        <w:t xml:space="preserve"> veniturilor aferente impozitului pe venit din divi</w:t>
      </w:r>
      <w:r w:rsidR="0035287C" w:rsidRPr="00FE54EB">
        <w:rPr>
          <w:rFonts w:asciiTheme="majorHAnsi" w:eastAsia="Times New Roman" w:hAnsiTheme="majorHAnsi" w:cstheme="majorHAnsi"/>
          <w:sz w:val="24"/>
          <w:szCs w:val="24"/>
          <w:lang w:val="ro-MD"/>
        </w:rPr>
        <w:t>dendele achitate și virate la bugetul de stat</w:t>
      </w:r>
      <w:r w:rsidR="00DF2034" w:rsidRPr="00FE54EB">
        <w:rPr>
          <w:rFonts w:asciiTheme="majorHAnsi" w:eastAsia="Times New Roman" w:hAnsiTheme="majorHAnsi" w:cstheme="majorHAnsi"/>
          <w:sz w:val="24"/>
          <w:szCs w:val="24"/>
          <w:lang w:val="ro-MD"/>
        </w:rPr>
        <w:t xml:space="preserve"> </w:t>
      </w:r>
      <w:r w:rsidR="00DF2034" w:rsidRPr="00FE54EB">
        <w:rPr>
          <w:rFonts w:asciiTheme="majorHAnsi" w:hAnsiTheme="majorHAnsi" w:cstheme="majorHAnsi"/>
          <w:i/>
          <w:sz w:val="24"/>
          <w:szCs w:val="24"/>
          <w:lang w:val="ro-MD"/>
        </w:rPr>
        <w:t>(Observația 5.7 – Secțiunea V);</w:t>
      </w:r>
    </w:p>
    <w:p w14:paraId="23AA3458" w14:textId="1E6BF06D" w:rsidR="003072C4" w:rsidRPr="00DF3043" w:rsidRDefault="005D0865" w:rsidP="00902A0E">
      <w:pPr>
        <w:pStyle w:val="aa"/>
        <w:numPr>
          <w:ilvl w:val="0"/>
          <w:numId w:val="35"/>
        </w:numPr>
        <w:spacing w:after="0" w:line="276" w:lineRule="auto"/>
        <w:jc w:val="both"/>
        <w:rPr>
          <w:rFonts w:asciiTheme="majorHAnsi" w:hAnsiTheme="majorHAnsi" w:cstheme="majorHAnsi"/>
          <w:sz w:val="24"/>
          <w:szCs w:val="24"/>
          <w:lang w:val="ro-MD"/>
        </w:rPr>
      </w:pPr>
      <w:r w:rsidRPr="00FE54EB">
        <w:rPr>
          <w:rFonts w:asciiTheme="majorHAnsi" w:hAnsiTheme="majorHAnsi" w:cstheme="majorHAnsi"/>
          <w:sz w:val="24"/>
          <w:szCs w:val="24"/>
          <w:lang w:val="ro-MD"/>
        </w:rPr>
        <w:t>Să î</w:t>
      </w:r>
      <w:r w:rsidR="005C4AA7" w:rsidRPr="00FE54EB">
        <w:rPr>
          <w:rFonts w:asciiTheme="majorHAnsi" w:hAnsiTheme="majorHAnsi" w:cstheme="majorHAnsi"/>
          <w:sz w:val="24"/>
          <w:szCs w:val="24"/>
          <w:lang w:val="ro-MD"/>
        </w:rPr>
        <w:t>ntreprind</w:t>
      </w:r>
      <w:r w:rsidRPr="00FE54EB">
        <w:rPr>
          <w:rFonts w:asciiTheme="majorHAnsi" w:hAnsiTheme="majorHAnsi" w:cstheme="majorHAnsi"/>
          <w:sz w:val="24"/>
          <w:szCs w:val="24"/>
          <w:lang w:val="ro-MD"/>
        </w:rPr>
        <w:t>ă acțiuni</w:t>
      </w:r>
      <w:r w:rsidR="005C4AA7" w:rsidRPr="00FE54EB">
        <w:rPr>
          <w:rFonts w:asciiTheme="majorHAnsi" w:hAnsiTheme="majorHAnsi" w:cstheme="majorHAnsi"/>
          <w:sz w:val="24"/>
          <w:szCs w:val="24"/>
          <w:lang w:val="ro-MD"/>
        </w:rPr>
        <w:t xml:space="preserve"> de</w:t>
      </w:r>
      <w:r w:rsidR="004858DE" w:rsidRPr="00FE54EB">
        <w:rPr>
          <w:rFonts w:asciiTheme="majorHAnsi" w:hAnsiTheme="majorHAnsi" w:cstheme="majorHAnsi"/>
          <w:sz w:val="24"/>
          <w:szCs w:val="24"/>
          <w:lang w:val="ro-MD"/>
        </w:rPr>
        <w:t xml:space="preserve"> conformare și</w:t>
      </w:r>
      <w:r w:rsidR="005C4AA7" w:rsidRPr="00FE54EB">
        <w:rPr>
          <w:rFonts w:asciiTheme="majorHAnsi" w:hAnsiTheme="majorHAnsi" w:cstheme="majorHAnsi"/>
          <w:sz w:val="24"/>
          <w:szCs w:val="24"/>
          <w:lang w:val="ro-MD"/>
        </w:rPr>
        <w:t xml:space="preserve"> disciplinare a liber-profesioniștilor</w:t>
      </w:r>
      <w:r w:rsidR="00A55063" w:rsidRPr="00FE54EB">
        <w:rPr>
          <w:rFonts w:asciiTheme="majorHAnsi" w:hAnsiTheme="majorHAnsi" w:cstheme="majorHAnsi"/>
          <w:sz w:val="24"/>
          <w:szCs w:val="24"/>
          <w:lang w:val="ro-MD"/>
        </w:rPr>
        <w:t>,</w:t>
      </w:r>
      <w:r w:rsidR="005C4AA7" w:rsidRPr="00FE54EB">
        <w:rPr>
          <w:rFonts w:asciiTheme="majorHAnsi" w:hAnsiTheme="majorHAnsi" w:cstheme="majorHAnsi"/>
          <w:sz w:val="24"/>
          <w:szCs w:val="24"/>
          <w:lang w:val="ro-MD"/>
        </w:rPr>
        <w:t xml:space="preserve"> în aspectul declarării și virării în termen a contribuțiilor de asigur</w:t>
      </w:r>
      <w:r w:rsidR="00DF2034" w:rsidRPr="00FE54EB">
        <w:rPr>
          <w:rFonts w:asciiTheme="majorHAnsi" w:hAnsiTheme="majorHAnsi" w:cstheme="majorHAnsi"/>
          <w:sz w:val="24"/>
          <w:szCs w:val="24"/>
          <w:lang w:val="ro-MD"/>
        </w:rPr>
        <w:t xml:space="preserve">ări sociale de stat obligatorii </w:t>
      </w:r>
      <w:r w:rsidR="00DF2034" w:rsidRPr="00FE54EB">
        <w:rPr>
          <w:rFonts w:asciiTheme="majorHAnsi" w:hAnsiTheme="majorHAnsi" w:cstheme="majorHAnsi"/>
          <w:i/>
          <w:sz w:val="24"/>
          <w:szCs w:val="24"/>
          <w:lang w:val="ro-MD"/>
        </w:rPr>
        <w:t>(Observația 6.2 – Secțiunea VI);</w:t>
      </w:r>
    </w:p>
    <w:p w14:paraId="2DF34B95" w14:textId="77777777" w:rsidR="00DF3043" w:rsidRPr="00FE54EB" w:rsidRDefault="00DF3043" w:rsidP="00DF3043">
      <w:pPr>
        <w:pStyle w:val="aa"/>
        <w:spacing w:after="0" w:line="276" w:lineRule="auto"/>
        <w:jc w:val="both"/>
        <w:rPr>
          <w:rFonts w:asciiTheme="majorHAnsi" w:hAnsiTheme="majorHAnsi" w:cstheme="majorHAnsi"/>
          <w:sz w:val="24"/>
          <w:szCs w:val="24"/>
          <w:lang w:val="ro-MD"/>
        </w:rPr>
      </w:pPr>
    </w:p>
    <w:p w14:paraId="030C9708" w14:textId="417AEB85" w:rsidR="005C4AA7" w:rsidRPr="00FE54EB" w:rsidRDefault="005C4AA7" w:rsidP="0010219C">
      <w:pPr>
        <w:pStyle w:val="a6"/>
        <w:shd w:val="clear" w:color="auto" w:fill="FFFFFF" w:themeFill="background1"/>
        <w:spacing w:line="276" w:lineRule="auto"/>
        <w:ind w:firstLine="0"/>
        <w:rPr>
          <w:rFonts w:asciiTheme="majorHAnsi" w:eastAsiaTheme="minorHAnsi" w:hAnsiTheme="majorHAnsi" w:cstheme="majorHAnsi"/>
          <w:b/>
          <w:lang w:val="ro-MD"/>
        </w:rPr>
      </w:pPr>
      <w:r w:rsidRPr="00FE54EB">
        <w:rPr>
          <w:rFonts w:asciiTheme="majorHAnsi" w:eastAsiaTheme="minorHAnsi" w:hAnsiTheme="majorHAnsi" w:cstheme="majorHAnsi"/>
          <w:b/>
          <w:lang w:val="ro-MD"/>
        </w:rPr>
        <w:t>Recomandare Agenției Servicii Publice</w:t>
      </w:r>
    </w:p>
    <w:p w14:paraId="150AC8CE" w14:textId="51157877" w:rsidR="005C4AA7" w:rsidRPr="00B7675F" w:rsidRDefault="005C4AA7" w:rsidP="00BD479A">
      <w:pPr>
        <w:pStyle w:val="a6"/>
        <w:numPr>
          <w:ilvl w:val="0"/>
          <w:numId w:val="35"/>
        </w:numPr>
        <w:spacing w:line="276" w:lineRule="auto"/>
        <w:rPr>
          <w:rFonts w:asciiTheme="majorHAnsi" w:hAnsiTheme="majorHAnsi" w:cstheme="majorHAnsi"/>
          <w:lang w:val="ro-MD"/>
        </w:rPr>
      </w:pPr>
      <w:r w:rsidRPr="00FE54EB">
        <w:rPr>
          <w:rFonts w:asciiTheme="majorHAnsi" w:hAnsiTheme="majorHAnsi" w:cstheme="majorHAnsi"/>
          <w:lang w:val="ro-MD"/>
        </w:rPr>
        <w:t>Să evalueze și să eficientizeze, de comun cu părțile implicate, procesele aferente formării și schimbului de date privind decesul beneficiarilor de prestații sociale, în scopul excluderii cheltuielilor nejustificate ce se suportă din</w:t>
      </w:r>
      <w:r w:rsidRPr="00B7675F">
        <w:rPr>
          <w:rFonts w:asciiTheme="majorHAnsi" w:hAnsiTheme="majorHAnsi" w:cstheme="majorHAnsi"/>
          <w:lang w:val="ro-MD"/>
        </w:rPr>
        <w:t xml:space="preserve"> BASS</w:t>
      </w:r>
      <w:r w:rsidR="00DF2034" w:rsidRPr="00B7675F">
        <w:rPr>
          <w:rFonts w:asciiTheme="majorHAnsi" w:hAnsiTheme="majorHAnsi" w:cstheme="majorHAnsi"/>
          <w:lang w:val="ro-MD"/>
        </w:rPr>
        <w:t xml:space="preserve"> </w:t>
      </w:r>
      <w:r w:rsidR="00DF2034" w:rsidRPr="00B7675F">
        <w:rPr>
          <w:rFonts w:asciiTheme="majorHAnsi" w:hAnsiTheme="majorHAnsi" w:cstheme="majorHAnsi"/>
          <w:i/>
          <w:lang w:val="ro-MD"/>
        </w:rPr>
        <w:t>(Observația 6.4 – Secțiunea VI);</w:t>
      </w:r>
    </w:p>
    <w:p w14:paraId="59C63179" w14:textId="48951679" w:rsidR="005C4AA7" w:rsidRPr="00B7675F" w:rsidRDefault="005C4AA7" w:rsidP="00BD479A">
      <w:pPr>
        <w:pStyle w:val="a6"/>
        <w:numPr>
          <w:ilvl w:val="0"/>
          <w:numId w:val="35"/>
        </w:numPr>
        <w:spacing w:line="276" w:lineRule="auto"/>
        <w:rPr>
          <w:rFonts w:asciiTheme="majorHAnsi" w:hAnsiTheme="majorHAnsi" w:cstheme="majorHAnsi"/>
          <w:lang w:val="ro-MD"/>
        </w:rPr>
      </w:pPr>
      <w:r w:rsidRPr="00B7675F">
        <w:rPr>
          <w:rFonts w:asciiTheme="majorHAnsi" w:hAnsiTheme="majorHAnsi" w:cstheme="majorHAnsi"/>
          <w:lang w:val="ro-MD"/>
        </w:rPr>
        <w:t xml:space="preserve">Să întreprindă acțiuni pentru înregistrarea operativă a decesului persoanelor în </w:t>
      </w:r>
      <w:r w:rsidR="00DF2034" w:rsidRPr="00B7675F">
        <w:rPr>
          <w:rFonts w:asciiTheme="majorHAnsi" w:hAnsiTheme="majorHAnsi" w:cstheme="majorHAnsi"/>
          <w:lang w:val="ro-MD"/>
        </w:rPr>
        <w:t xml:space="preserve">Registrul de </w:t>
      </w:r>
      <w:r w:rsidR="0038225D">
        <w:rPr>
          <w:rFonts w:asciiTheme="majorHAnsi" w:hAnsiTheme="majorHAnsi" w:cstheme="majorHAnsi"/>
          <w:lang w:val="ro-MD"/>
        </w:rPr>
        <w:t>s</w:t>
      </w:r>
      <w:r w:rsidR="00DF2034" w:rsidRPr="0038225D">
        <w:rPr>
          <w:rFonts w:asciiTheme="majorHAnsi" w:hAnsiTheme="majorHAnsi" w:cstheme="majorHAnsi"/>
          <w:lang w:val="ro-MD"/>
        </w:rPr>
        <w:t xml:space="preserve">tat al populației </w:t>
      </w:r>
      <w:r w:rsidR="00DF2034" w:rsidRPr="00B7675F">
        <w:rPr>
          <w:rFonts w:asciiTheme="majorHAnsi" w:hAnsiTheme="majorHAnsi" w:cstheme="majorHAnsi"/>
          <w:i/>
          <w:lang w:val="ro-MD"/>
        </w:rPr>
        <w:t>(Observația 6.4 – Secțiunea VI);</w:t>
      </w:r>
    </w:p>
    <w:p w14:paraId="5E2FC94D" w14:textId="36C3353A" w:rsidR="005567FD" w:rsidRPr="00B7675F" w:rsidRDefault="00AE5592" w:rsidP="005567FD">
      <w:pPr>
        <w:pStyle w:val="a6"/>
        <w:spacing w:line="276" w:lineRule="auto"/>
        <w:ind w:firstLine="0"/>
        <w:rPr>
          <w:rFonts w:asciiTheme="majorHAnsi" w:eastAsiaTheme="minorHAnsi" w:hAnsiTheme="majorHAnsi" w:cstheme="majorHAnsi"/>
          <w:b/>
          <w:lang w:val="ro-MD"/>
        </w:rPr>
      </w:pPr>
      <w:r w:rsidRPr="00B7675F">
        <w:rPr>
          <w:rFonts w:asciiTheme="majorHAnsi" w:eastAsiaTheme="minorHAnsi" w:hAnsiTheme="majorHAnsi" w:cstheme="majorHAnsi"/>
          <w:b/>
          <w:lang w:val="ro-MD"/>
        </w:rPr>
        <w:t xml:space="preserve">Recomandări </w:t>
      </w:r>
      <w:r w:rsidR="005567FD" w:rsidRPr="00B7675F">
        <w:rPr>
          <w:rFonts w:asciiTheme="majorHAnsi" w:eastAsiaTheme="minorHAnsi" w:hAnsiTheme="majorHAnsi" w:cstheme="majorHAnsi"/>
          <w:b/>
          <w:lang w:val="ro-MD"/>
        </w:rPr>
        <w:t>Casei Naționale de Asigurări Sociale</w:t>
      </w:r>
    </w:p>
    <w:p w14:paraId="44CEB7C9" w14:textId="1A8C0C4E" w:rsidR="005567FD" w:rsidRPr="00B7675F" w:rsidRDefault="00AE5592" w:rsidP="00BD479A">
      <w:pPr>
        <w:pStyle w:val="aa"/>
        <w:numPr>
          <w:ilvl w:val="0"/>
          <w:numId w:val="35"/>
        </w:numPr>
        <w:spacing w:after="0" w:line="276" w:lineRule="auto"/>
        <w:jc w:val="both"/>
        <w:rPr>
          <w:rFonts w:asciiTheme="majorHAnsi" w:eastAsia="Times New Roman" w:hAnsiTheme="majorHAnsi" w:cstheme="majorHAnsi"/>
          <w:sz w:val="24"/>
          <w:szCs w:val="24"/>
          <w:lang w:val="ro-MD"/>
        </w:rPr>
      </w:pPr>
      <w:r w:rsidRPr="00B7675F">
        <w:rPr>
          <w:rFonts w:asciiTheme="majorHAnsi" w:eastAsia="Times New Roman" w:hAnsiTheme="majorHAnsi" w:cstheme="majorHAnsi"/>
          <w:sz w:val="24"/>
          <w:szCs w:val="24"/>
          <w:lang w:val="ro-MD"/>
        </w:rPr>
        <w:t>Să monitorizeze procesul de</w:t>
      </w:r>
      <w:r w:rsidR="005567FD" w:rsidRPr="00B7675F">
        <w:rPr>
          <w:rFonts w:asciiTheme="majorHAnsi" w:eastAsia="Times New Roman" w:hAnsiTheme="majorHAnsi" w:cstheme="majorHAnsi"/>
          <w:sz w:val="24"/>
          <w:szCs w:val="24"/>
          <w:lang w:val="ro-MD"/>
        </w:rPr>
        <w:t xml:space="preserve"> achitare în termen a indemnizației în cazul d</w:t>
      </w:r>
      <w:r w:rsidR="00FE6D61" w:rsidRPr="00B7675F">
        <w:rPr>
          <w:rFonts w:asciiTheme="majorHAnsi" w:eastAsia="Times New Roman" w:hAnsiTheme="majorHAnsi" w:cstheme="majorHAnsi"/>
          <w:sz w:val="24"/>
          <w:szCs w:val="24"/>
          <w:lang w:val="ro-MD"/>
        </w:rPr>
        <w:t>ecesului unuia dintre soți</w:t>
      </w:r>
      <w:r w:rsidR="00DF2034" w:rsidRPr="00B7675F">
        <w:rPr>
          <w:rFonts w:asciiTheme="majorHAnsi" w:eastAsia="Times New Roman" w:hAnsiTheme="majorHAnsi" w:cstheme="majorHAnsi"/>
          <w:sz w:val="24"/>
          <w:szCs w:val="24"/>
          <w:lang w:val="ro-MD"/>
        </w:rPr>
        <w:t xml:space="preserve"> </w:t>
      </w:r>
      <w:r w:rsidR="00DF2034" w:rsidRPr="00B7675F">
        <w:rPr>
          <w:rFonts w:asciiTheme="majorHAnsi" w:hAnsiTheme="majorHAnsi" w:cstheme="majorHAnsi"/>
          <w:i/>
          <w:sz w:val="24"/>
          <w:szCs w:val="24"/>
          <w:lang w:val="ro-MD"/>
        </w:rPr>
        <w:t>(Observația 7.10 – Secțiunea VII);</w:t>
      </w:r>
    </w:p>
    <w:p w14:paraId="7DCEE3AB" w14:textId="77777777" w:rsidR="005C4AA7" w:rsidRPr="00B7675F" w:rsidRDefault="005C4AA7" w:rsidP="0010219C">
      <w:pPr>
        <w:pStyle w:val="a6"/>
        <w:shd w:val="clear" w:color="auto" w:fill="FFFFFF" w:themeFill="background1"/>
        <w:spacing w:line="276" w:lineRule="auto"/>
        <w:ind w:firstLine="0"/>
        <w:rPr>
          <w:rFonts w:asciiTheme="majorHAnsi" w:hAnsiTheme="majorHAnsi" w:cstheme="majorHAnsi"/>
          <w:i/>
          <w:noProof/>
          <w:u w:val="single"/>
          <w:lang w:val="ro-MD"/>
        </w:rPr>
      </w:pPr>
      <w:r w:rsidRPr="00B7675F">
        <w:rPr>
          <w:rFonts w:asciiTheme="majorHAnsi" w:eastAsiaTheme="minorHAnsi" w:hAnsiTheme="majorHAnsi" w:cstheme="majorHAnsi"/>
          <w:b/>
          <w:lang w:val="ro-MD"/>
        </w:rPr>
        <w:t>Recomandare Inspectoratului de Stat al Muncii</w:t>
      </w:r>
    </w:p>
    <w:p w14:paraId="050102CC" w14:textId="09C0D8D7" w:rsidR="005C4AA7" w:rsidRPr="0038225D" w:rsidRDefault="00544C52" w:rsidP="00BD479A">
      <w:pPr>
        <w:pStyle w:val="a6"/>
        <w:numPr>
          <w:ilvl w:val="0"/>
          <w:numId w:val="35"/>
        </w:numPr>
        <w:spacing w:line="276" w:lineRule="auto"/>
        <w:rPr>
          <w:rFonts w:asciiTheme="majorHAnsi" w:hAnsiTheme="majorHAnsi" w:cstheme="majorHAnsi"/>
          <w:lang w:val="ro-MD"/>
        </w:rPr>
      </w:pPr>
      <w:r w:rsidRPr="00B7675F">
        <w:rPr>
          <w:rFonts w:asciiTheme="majorHAnsi" w:hAnsiTheme="majorHAnsi" w:cstheme="majorHAnsi"/>
          <w:lang w:val="ro-MD"/>
        </w:rPr>
        <w:t>Să întreprindă acțiuni de control și m</w:t>
      </w:r>
      <w:r w:rsidR="00B87B44" w:rsidRPr="00B7675F">
        <w:rPr>
          <w:rFonts w:asciiTheme="majorHAnsi" w:hAnsiTheme="majorHAnsi" w:cstheme="majorHAnsi"/>
          <w:lang w:val="ro-MD"/>
        </w:rPr>
        <w:t>onitorizare</w:t>
      </w:r>
      <w:r w:rsidR="005C4AA7" w:rsidRPr="00B7675F">
        <w:rPr>
          <w:rFonts w:asciiTheme="majorHAnsi" w:hAnsiTheme="majorHAnsi" w:cstheme="majorHAnsi"/>
          <w:lang w:val="ro-MD"/>
        </w:rPr>
        <w:t xml:space="preserve"> </w:t>
      </w:r>
      <w:r w:rsidRPr="00B7675F">
        <w:rPr>
          <w:rFonts w:asciiTheme="majorHAnsi" w:hAnsiTheme="majorHAnsi" w:cstheme="majorHAnsi"/>
          <w:lang w:val="ro-MD"/>
        </w:rPr>
        <w:t xml:space="preserve">a </w:t>
      </w:r>
      <w:r w:rsidR="005C4AA7" w:rsidRPr="00B7675F">
        <w:rPr>
          <w:rFonts w:asciiTheme="majorHAnsi" w:hAnsiTheme="majorHAnsi" w:cstheme="majorHAnsi"/>
          <w:lang w:val="ro-MD"/>
        </w:rPr>
        <w:t xml:space="preserve">procesului de stabilire </w:t>
      </w:r>
      <w:r w:rsidRPr="00B7675F">
        <w:rPr>
          <w:rFonts w:asciiTheme="majorHAnsi" w:hAnsiTheme="majorHAnsi" w:cstheme="majorHAnsi"/>
          <w:lang w:val="ro-MD"/>
        </w:rPr>
        <w:t xml:space="preserve">a indemnizației de șomaj tehnic, în scopul obținerii asigurării </w:t>
      </w:r>
      <w:r w:rsidR="0038225D">
        <w:rPr>
          <w:rFonts w:asciiTheme="majorHAnsi" w:hAnsiTheme="majorHAnsi" w:cstheme="majorHAnsi"/>
          <w:lang w:val="ro-MD"/>
        </w:rPr>
        <w:t xml:space="preserve">privind </w:t>
      </w:r>
      <w:r w:rsidRPr="0038225D">
        <w:rPr>
          <w:rFonts w:asciiTheme="majorHAnsi" w:hAnsiTheme="majorHAnsi" w:cstheme="majorHAnsi"/>
          <w:lang w:val="ro-MD"/>
        </w:rPr>
        <w:t>confor</w:t>
      </w:r>
      <w:r w:rsidR="00DF2034" w:rsidRPr="0038225D">
        <w:rPr>
          <w:rFonts w:asciiTheme="majorHAnsi" w:hAnsiTheme="majorHAnsi" w:cstheme="majorHAnsi"/>
          <w:lang w:val="ro-MD"/>
        </w:rPr>
        <w:t>mit</w:t>
      </w:r>
      <w:r w:rsidR="0038225D">
        <w:rPr>
          <w:rFonts w:asciiTheme="majorHAnsi" w:hAnsiTheme="majorHAnsi" w:cstheme="majorHAnsi"/>
          <w:lang w:val="ro-MD"/>
        </w:rPr>
        <w:t>atea</w:t>
      </w:r>
      <w:r w:rsidR="00DF2034" w:rsidRPr="0038225D">
        <w:rPr>
          <w:rFonts w:asciiTheme="majorHAnsi" w:hAnsiTheme="majorHAnsi" w:cstheme="majorHAnsi"/>
          <w:lang w:val="ro-MD"/>
        </w:rPr>
        <w:t xml:space="preserve"> acordării acestora </w:t>
      </w:r>
      <w:r w:rsidR="00DF2034" w:rsidRPr="0038225D">
        <w:rPr>
          <w:rFonts w:asciiTheme="majorHAnsi" w:hAnsiTheme="majorHAnsi" w:cstheme="majorHAnsi"/>
          <w:i/>
          <w:lang w:val="ro-MD"/>
        </w:rPr>
        <w:t>(Observația 7.4 – Secțiunea VII);</w:t>
      </w:r>
    </w:p>
    <w:p w14:paraId="4FA753CA" w14:textId="2BDAED81" w:rsidR="00FE6D61" w:rsidRPr="00FE54EB" w:rsidRDefault="00FE6D61" w:rsidP="00FE6D61">
      <w:pPr>
        <w:pStyle w:val="a6"/>
        <w:numPr>
          <w:ilvl w:val="0"/>
          <w:numId w:val="35"/>
        </w:numPr>
        <w:spacing w:line="276" w:lineRule="auto"/>
        <w:rPr>
          <w:rFonts w:asciiTheme="majorHAnsi" w:hAnsiTheme="majorHAnsi" w:cstheme="majorHAnsi"/>
          <w:lang w:val="ro-MD"/>
        </w:rPr>
      </w:pPr>
      <w:r w:rsidRPr="0038225D">
        <w:rPr>
          <w:rFonts w:asciiTheme="majorHAnsi" w:hAnsiTheme="majorHAnsi" w:cstheme="majorHAnsi"/>
          <w:lang w:val="ro-MD"/>
        </w:rPr>
        <w:t>Să întreprindă acțiuni de control aferent combaterii fenomenului salariilor în</w:t>
      </w:r>
      <w:r w:rsidR="00B87B44" w:rsidRPr="0038225D">
        <w:rPr>
          <w:rFonts w:asciiTheme="majorHAnsi" w:hAnsiTheme="majorHAnsi" w:cstheme="majorHAnsi"/>
          <w:lang w:val="ro-MD"/>
        </w:rPr>
        <w:t xml:space="preserve"> plic, precum și </w:t>
      </w:r>
      <w:r w:rsidR="0038225D">
        <w:rPr>
          <w:rFonts w:asciiTheme="majorHAnsi" w:hAnsiTheme="majorHAnsi" w:cstheme="majorHAnsi"/>
          <w:lang w:val="ro-MD"/>
        </w:rPr>
        <w:t xml:space="preserve">de </w:t>
      </w:r>
      <w:r w:rsidR="00B87B44" w:rsidRPr="0038225D">
        <w:rPr>
          <w:rFonts w:asciiTheme="majorHAnsi" w:hAnsiTheme="majorHAnsi" w:cstheme="majorHAnsi"/>
          <w:lang w:val="ro-MD"/>
        </w:rPr>
        <w:t>monitorizare</w:t>
      </w:r>
      <w:r w:rsidR="0038225D">
        <w:rPr>
          <w:rFonts w:asciiTheme="majorHAnsi" w:hAnsiTheme="majorHAnsi" w:cstheme="majorHAnsi"/>
          <w:lang w:val="ro-MD"/>
        </w:rPr>
        <w:t xml:space="preserve"> </w:t>
      </w:r>
      <w:r w:rsidR="00B87B44" w:rsidRPr="0038225D">
        <w:rPr>
          <w:rFonts w:asciiTheme="majorHAnsi" w:hAnsiTheme="majorHAnsi" w:cstheme="majorHAnsi"/>
          <w:lang w:val="ro-MD"/>
        </w:rPr>
        <w:t>a</w:t>
      </w:r>
      <w:r w:rsidRPr="0038225D">
        <w:rPr>
          <w:rFonts w:asciiTheme="majorHAnsi" w:hAnsiTheme="majorHAnsi" w:cstheme="majorHAnsi"/>
          <w:lang w:val="ro-MD"/>
        </w:rPr>
        <w:t xml:space="preserve"> </w:t>
      </w:r>
      <w:r w:rsidRPr="00FE54EB">
        <w:rPr>
          <w:rFonts w:asciiTheme="majorHAnsi" w:hAnsiTheme="majorHAnsi" w:cstheme="majorHAnsi"/>
          <w:lang w:val="ro-MD"/>
        </w:rPr>
        <w:t xml:space="preserve">procesului de stabilire a indemnizației de șomaj tehnic, în scopul obținerii asigurării </w:t>
      </w:r>
      <w:r w:rsidR="0038225D" w:rsidRPr="00FE54EB">
        <w:rPr>
          <w:rFonts w:asciiTheme="majorHAnsi" w:hAnsiTheme="majorHAnsi" w:cstheme="majorHAnsi"/>
          <w:lang w:val="ro-MD"/>
        </w:rPr>
        <w:t xml:space="preserve">privind </w:t>
      </w:r>
      <w:r w:rsidRPr="00FE54EB">
        <w:rPr>
          <w:rFonts w:asciiTheme="majorHAnsi" w:hAnsiTheme="majorHAnsi" w:cstheme="majorHAnsi"/>
          <w:lang w:val="ro-MD"/>
        </w:rPr>
        <w:t>c</w:t>
      </w:r>
      <w:r w:rsidR="00B87B44" w:rsidRPr="00FE54EB">
        <w:rPr>
          <w:rFonts w:asciiTheme="majorHAnsi" w:hAnsiTheme="majorHAnsi" w:cstheme="majorHAnsi"/>
          <w:lang w:val="ro-MD"/>
        </w:rPr>
        <w:t>onformit</w:t>
      </w:r>
      <w:r w:rsidR="0038225D" w:rsidRPr="00FE54EB">
        <w:rPr>
          <w:rFonts w:asciiTheme="majorHAnsi" w:hAnsiTheme="majorHAnsi" w:cstheme="majorHAnsi"/>
          <w:lang w:val="ro-MD"/>
        </w:rPr>
        <w:t>atea</w:t>
      </w:r>
      <w:r w:rsidR="00B87B44" w:rsidRPr="00FE54EB">
        <w:rPr>
          <w:rFonts w:asciiTheme="majorHAnsi" w:hAnsiTheme="majorHAnsi" w:cstheme="majorHAnsi"/>
          <w:lang w:val="ro-MD"/>
        </w:rPr>
        <w:t xml:space="preserve"> acordării acestor</w:t>
      </w:r>
      <w:r w:rsidR="00DF2034" w:rsidRPr="00FE54EB">
        <w:rPr>
          <w:rFonts w:asciiTheme="majorHAnsi" w:hAnsiTheme="majorHAnsi" w:cstheme="majorHAnsi"/>
          <w:lang w:val="ro-MD"/>
        </w:rPr>
        <w:t xml:space="preserve">a </w:t>
      </w:r>
      <w:r w:rsidR="00DF2034" w:rsidRPr="00FE54EB">
        <w:rPr>
          <w:rFonts w:asciiTheme="majorHAnsi" w:hAnsiTheme="majorHAnsi" w:cstheme="majorHAnsi"/>
          <w:i/>
          <w:lang w:val="ro-MD"/>
        </w:rPr>
        <w:t>(Observația 5.7, 7.4 – Secțiunea V, VII)</w:t>
      </w:r>
      <w:r w:rsidR="00A55063" w:rsidRPr="00FE54EB">
        <w:rPr>
          <w:rFonts w:asciiTheme="majorHAnsi" w:hAnsiTheme="majorHAnsi" w:cstheme="majorHAnsi"/>
          <w:i/>
          <w:lang w:val="ro-MD"/>
        </w:rPr>
        <w:t>;</w:t>
      </w:r>
    </w:p>
    <w:p w14:paraId="2554AF9B" w14:textId="61437FA2" w:rsidR="00CB6D62" w:rsidRPr="00FE54EB" w:rsidRDefault="00CB6D62" w:rsidP="00CB6D62">
      <w:pPr>
        <w:pStyle w:val="a6"/>
        <w:shd w:val="clear" w:color="auto" w:fill="FFFFFF" w:themeFill="background1"/>
        <w:spacing w:line="276" w:lineRule="auto"/>
        <w:ind w:left="360" w:firstLine="0"/>
        <w:rPr>
          <w:rFonts w:asciiTheme="majorHAnsi" w:eastAsiaTheme="minorHAnsi" w:hAnsiTheme="majorHAnsi" w:cstheme="majorHAnsi"/>
          <w:b/>
          <w:lang w:val="ro-MD"/>
        </w:rPr>
      </w:pPr>
      <w:r w:rsidRPr="00FE54EB">
        <w:rPr>
          <w:rFonts w:asciiTheme="majorHAnsi" w:eastAsiaTheme="minorHAnsi" w:hAnsiTheme="majorHAnsi" w:cstheme="majorHAnsi"/>
          <w:b/>
          <w:lang w:val="ro-MD"/>
        </w:rPr>
        <w:t>Recomandare Biroului Național de Statistică</w:t>
      </w:r>
    </w:p>
    <w:p w14:paraId="4E149996" w14:textId="02228681" w:rsidR="00CB6D62" w:rsidRPr="00FE54EB" w:rsidRDefault="00A55063" w:rsidP="00CB6D62">
      <w:pPr>
        <w:pStyle w:val="a6"/>
        <w:numPr>
          <w:ilvl w:val="0"/>
          <w:numId w:val="35"/>
        </w:numPr>
        <w:spacing w:line="276" w:lineRule="auto"/>
        <w:rPr>
          <w:rFonts w:asciiTheme="majorHAnsi" w:hAnsiTheme="majorHAnsi" w:cstheme="majorHAnsi"/>
          <w:lang w:val="ro-MD"/>
        </w:rPr>
      </w:pPr>
      <w:r w:rsidRPr="00FE54EB">
        <w:rPr>
          <w:rFonts w:asciiTheme="majorHAnsi" w:hAnsiTheme="majorHAnsi" w:cstheme="majorHAnsi"/>
          <w:lang w:val="ro-MD"/>
        </w:rPr>
        <w:t>S</w:t>
      </w:r>
      <w:r w:rsidR="00CB6D62" w:rsidRPr="00FE54EB">
        <w:rPr>
          <w:rFonts w:asciiTheme="majorHAnsi" w:hAnsiTheme="majorHAnsi" w:cstheme="majorHAnsi"/>
          <w:lang w:val="ro-MD"/>
        </w:rPr>
        <w:t xml:space="preserve">ă </w:t>
      </w:r>
      <w:r w:rsidR="00641A94" w:rsidRPr="00FE54EB">
        <w:rPr>
          <w:rFonts w:asciiTheme="majorHAnsi" w:hAnsiTheme="majorHAnsi" w:cstheme="majorHAnsi"/>
          <w:lang w:val="ro-MD"/>
        </w:rPr>
        <w:t>estimeze</w:t>
      </w:r>
      <w:r w:rsidRPr="00FE54EB">
        <w:rPr>
          <w:rFonts w:asciiTheme="majorHAnsi" w:hAnsiTheme="majorHAnsi" w:cstheme="majorHAnsi"/>
          <w:lang w:val="ro-MD"/>
        </w:rPr>
        <w:t>, în cadrul cercetărilor statistice,</w:t>
      </w:r>
      <w:r w:rsidR="00641A94" w:rsidRPr="00FE54EB">
        <w:rPr>
          <w:rFonts w:asciiTheme="majorHAnsi" w:hAnsiTheme="majorHAnsi" w:cstheme="majorHAnsi"/>
          <w:lang w:val="ro-MD"/>
        </w:rPr>
        <w:t xml:space="preserve"> numărul </w:t>
      </w:r>
      <w:r w:rsidR="00CB6D62" w:rsidRPr="00FE54EB">
        <w:rPr>
          <w:rFonts w:asciiTheme="majorHAnsi" w:hAnsiTheme="majorHAnsi" w:cstheme="majorHAnsi"/>
          <w:lang w:val="ro-MD"/>
        </w:rPr>
        <w:t xml:space="preserve">real de persoane care nu activează legal </w:t>
      </w:r>
      <w:r w:rsidR="00641A94" w:rsidRPr="00FE54EB">
        <w:rPr>
          <w:rFonts w:asciiTheme="majorHAnsi" w:hAnsiTheme="majorHAnsi" w:cstheme="majorHAnsi"/>
          <w:lang w:val="ro-MD"/>
        </w:rPr>
        <w:t xml:space="preserve">și să identifice cauzele acestei situații, </w:t>
      </w:r>
      <w:r w:rsidR="00CB6D62" w:rsidRPr="00FE54EB">
        <w:rPr>
          <w:rFonts w:asciiTheme="majorHAnsi" w:hAnsiTheme="majorHAnsi" w:cstheme="majorHAnsi"/>
          <w:lang w:val="ro-MD"/>
        </w:rPr>
        <w:t>în scopul oferirii indic</w:t>
      </w:r>
      <w:r w:rsidR="000F2B92" w:rsidRPr="00FE54EB">
        <w:rPr>
          <w:rFonts w:asciiTheme="majorHAnsi" w:hAnsiTheme="majorHAnsi" w:cstheme="majorHAnsi"/>
          <w:lang w:val="ro-MD"/>
        </w:rPr>
        <w:t>a</w:t>
      </w:r>
      <w:r w:rsidR="00CB6D62" w:rsidRPr="00FE54EB">
        <w:rPr>
          <w:rFonts w:asciiTheme="majorHAnsi" w:hAnsiTheme="majorHAnsi" w:cstheme="majorHAnsi"/>
          <w:lang w:val="ro-MD"/>
        </w:rPr>
        <w:t>torilor veridici pentru elaborarea politicilor și acțiunilor de combatere a fenomenului salariilor în plic și muncii nedeclarate</w:t>
      </w:r>
      <w:r w:rsidRPr="00FE54EB">
        <w:rPr>
          <w:rFonts w:asciiTheme="majorHAnsi" w:hAnsiTheme="majorHAnsi" w:cstheme="majorHAnsi"/>
          <w:lang w:val="ro-MD"/>
        </w:rPr>
        <w:t>.</w:t>
      </w:r>
    </w:p>
    <w:p w14:paraId="27FAF99A" w14:textId="77777777" w:rsidR="00902A0E" w:rsidRPr="00B7675F" w:rsidRDefault="00902A0E" w:rsidP="00902A0E">
      <w:pPr>
        <w:pStyle w:val="a6"/>
        <w:spacing w:line="276" w:lineRule="auto"/>
        <w:ind w:left="720" w:firstLine="0"/>
        <w:rPr>
          <w:rFonts w:asciiTheme="majorHAnsi" w:hAnsiTheme="majorHAnsi" w:cstheme="majorHAnsi"/>
          <w:lang w:val="ro-MD"/>
        </w:rPr>
      </w:pPr>
    </w:p>
    <w:p w14:paraId="254AB05A" w14:textId="170F5B6A" w:rsidR="003664F4" w:rsidRPr="00736448" w:rsidRDefault="003664F4" w:rsidP="00902A0E">
      <w:pPr>
        <w:pStyle w:val="aa"/>
        <w:keepNext/>
        <w:keepLines/>
        <w:numPr>
          <w:ilvl w:val="0"/>
          <w:numId w:val="2"/>
        </w:numPr>
        <w:spacing w:after="0" w:line="276" w:lineRule="auto"/>
        <w:ind w:left="0" w:firstLine="0"/>
        <w:outlineLvl w:val="0"/>
        <w:rPr>
          <w:rFonts w:asciiTheme="majorHAnsi" w:eastAsiaTheme="majorEastAsia" w:hAnsiTheme="majorHAnsi" w:cstheme="majorHAnsi"/>
          <w:b/>
          <w:sz w:val="28"/>
          <w:szCs w:val="28"/>
          <w:lang w:val="ro-MD"/>
        </w:rPr>
      </w:pPr>
      <w:r w:rsidRPr="00736448">
        <w:rPr>
          <w:rFonts w:asciiTheme="majorHAnsi" w:eastAsiaTheme="majorEastAsia" w:hAnsiTheme="majorHAnsi" w:cstheme="majorHAnsi"/>
          <w:b/>
          <w:sz w:val="28"/>
          <w:szCs w:val="28"/>
          <w:lang w:val="ro-MD"/>
        </w:rPr>
        <w:t>RESPONSABILITĂȚILE CELOR ÎNSĂRCINAȚI CU GUVERNANȚA PENTRU RAPOARTELE GUVERNULUI</w:t>
      </w:r>
    </w:p>
    <w:p w14:paraId="3D5C2D6F" w14:textId="77777777" w:rsidR="003664F4" w:rsidRPr="00736448" w:rsidRDefault="003664F4" w:rsidP="003664F4">
      <w:pPr>
        <w:spacing w:after="0" w:line="276" w:lineRule="auto"/>
        <w:jc w:val="both"/>
        <w:rPr>
          <w:rFonts w:asciiTheme="majorHAnsi" w:eastAsia="Times New Roman" w:hAnsiTheme="majorHAnsi" w:cstheme="majorHAnsi"/>
          <w:b/>
          <w:sz w:val="24"/>
          <w:szCs w:val="24"/>
          <w:lang w:val="ro-MD"/>
        </w:rPr>
      </w:pPr>
      <w:r w:rsidRPr="00736448">
        <w:rPr>
          <w:rFonts w:asciiTheme="majorHAnsi" w:eastAsia="Times New Roman" w:hAnsiTheme="majorHAnsi" w:cstheme="majorHAnsi"/>
          <w:b/>
          <w:sz w:val="24"/>
          <w:szCs w:val="24"/>
          <w:lang w:val="ro-MD"/>
        </w:rPr>
        <w:t>Responsabilitatea Guvernului</w:t>
      </w:r>
      <w:r w:rsidRPr="00736448">
        <w:rPr>
          <w:rFonts w:asciiTheme="majorHAnsi" w:eastAsia="Times New Roman" w:hAnsiTheme="majorHAnsi" w:cstheme="majorHAnsi"/>
          <w:sz w:val="24"/>
          <w:szCs w:val="24"/>
          <w:lang w:val="ro-MD"/>
        </w:rPr>
        <w:t xml:space="preserve"> în domeniul finanțelor publice este de a exercita conducerea generală a activității executive în domeniul gestionării finanțelor publice, în conformitate cu principiile şi regulile stabilite</w:t>
      </w:r>
      <w:r w:rsidRPr="00736448">
        <w:rPr>
          <w:rFonts w:asciiTheme="majorHAnsi" w:eastAsia="Times New Roman" w:hAnsiTheme="majorHAnsi" w:cstheme="majorHAnsi"/>
          <w:sz w:val="24"/>
          <w:szCs w:val="24"/>
          <w:vertAlign w:val="superscript"/>
          <w:lang w:val="ro-MD"/>
        </w:rPr>
        <w:footnoteReference w:id="91"/>
      </w:r>
      <w:r w:rsidRPr="00736448">
        <w:rPr>
          <w:rFonts w:asciiTheme="majorHAnsi" w:eastAsia="Times New Roman" w:hAnsiTheme="majorHAnsi" w:cstheme="majorHAnsi"/>
          <w:sz w:val="24"/>
          <w:szCs w:val="24"/>
          <w:lang w:val="ro-MD"/>
        </w:rPr>
        <w:t>.</w:t>
      </w:r>
    </w:p>
    <w:p w14:paraId="1447D2C5" w14:textId="5B8D11A2" w:rsidR="003664F4" w:rsidRPr="00736448" w:rsidRDefault="003664F4" w:rsidP="003664F4">
      <w:pPr>
        <w:spacing w:after="0" w:line="276" w:lineRule="auto"/>
        <w:jc w:val="both"/>
        <w:rPr>
          <w:rFonts w:asciiTheme="majorHAnsi" w:eastAsia="Times New Roman" w:hAnsiTheme="majorHAnsi" w:cstheme="majorHAnsi"/>
          <w:sz w:val="24"/>
          <w:szCs w:val="24"/>
          <w:lang w:val="ro-MD"/>
        </w:rPr>
      </w:pPr>
      <w:r w:rsidRPr="00736448">
        <w:rPr>
          <w:rFonts w:asciiTheme="majorHAnsi" w:eastAsia="Times New Roman" w:hAnsiTheme="majorHAnsi" w:cstheme="majorHAnsi"/>
          <w:b/>
          <w:bCs/>
          <w:iCs/>
          <w:sz w:val="24"/>
          <w:szCs w:val="24"/>
          <w:lang w:val="ro-MD"/>
        </w:rPr>
        <w:t xml:space="preserve">Responsabilitatea Ministerului Muncii şi Protecției Sociale </w:t>
      </w:r>
      <w:r w:rsidRPr="00736448">
        <w:rPr>
          <w:rFonts w:asciiTheme="majorHAnsi" w:eastAsia="Times New Roman" w:hAnsiTheme="majorHAnsi" w:cstheme="majorHAnsi"/>
          <w:sz w:val="24"/>
          <w:szCs w:val="24"/>
          <w:lang w:val="ro-MD"/>
        </w:rPr>
        <w:t xml:space="preserve">constă în monitorizarea şi analiza executării </w:t>
      </w:r>
      <w:r w:rsidRPr="00736448">
        <w:rPr>
          <w:rFonts w:asciiTheme="majorHAnsi" w:hAnsiTheme="majorHAnsi" w:cstheme="majorHAnsi"/>
          <w:sz w:val="24"/>
          <w:szCs w:val="24"/>
          <w:lang w:val="ro-MD"/>
        </w:rPr>
        <w:t>bugetului asigurărilor sociale de stat</w:t>
      </w:r>
      <w:r w:rsidRPr="00736448">
        <w:rPr>
          <w:rFonts w:asciiTheme="majorHAnsi" w:eastAsia="Times New Roman" w:hAnsiTheme="majorHAnsi" w:cstheme="majorHAnsi"/>
          <w:sz w:val="24"/>
          <w:szCs w:val="24"/>
          <w:vertAlign w:val="superscript"/>
          <w:lang w:val="ro-MD"/>
        </w:rPr>
        <w:footnoteReference w:id="92"/>
      </w:r>
      <w:r w:rsidRPr="00736448">
        <w:rPr>
          <w:rFonts w:asciiTheme="majorHAnsi" w:eastAsia="Times New Roman" w:hAnsiTheme="majorHAnsi" w:cstheme="majorHAnsi"/>
          <w:sz w:val="24"/>
          <w:szCs w:val="24"/>
          <w:lang w:val="ro-MD"/>
        </w:rPr>
        <w:t>.</w:t>
      </w:r>
    </w:p>
    <w:p w14:paraId="226D8212" w14:textId="77777777" w:rsidR="003664F4" w:rsidRPr="00736448" w:rsidRDefault="003664F4" w:rsidP="003664F4">
      <w:pPr>
        <w:spacing w:after="0" w:line="276" w:lineRule="auto"/>
        <w:jc w:val="both"/>
        <w:rPr>
          <w:rFonts w:asciiTheme="majorHAnsi" w:eastAsia="Times New Roman" w:hAnsiTheme="majorHAnsi" w:cstheme="majorHAnsi"/>
          <w:sz w:val="24"/>
          <w:szCs w:val="24"/>
          <w:lang w:val="ro-MD"/>
        </w:rPr>
      </w:pPr>
      <w:r w:rsidRPr="00736448">
        <w:rPr>
          <w:rFonts w:asciiTheme="majorHAnsi" w:eastAsia="Times New Roman" w:hAnsiTheme="majorHAnsi" w:cstheme="majorHAnsi"/>
          <w:b/>
          <w:bCs/>
          <w:iCs/>
          <w:sz w:val="24"/>
          <w:szCs w:val="24"/>
          <w:lang w:val="ro-MD"/>
        </w:rPr>
        <w:t xml:space="preserve">Responsabilitatea Ministerului Finanțelor </w:t>
      </w:r>
      <w:r w:rsidRPr="00736448">
        <w:rPr>
          <w:rFonts w:asciiTheme="majorHAnsi" w:eastAsia="Times New Roman" w:hAnsiTheme="majorHAnsi" w:cstheme="majorHAnsi"/>
          <w:bCs/>
          <w:iCs/>
          <w:sz w:val="24"/>
          <w:szCs w:val="24"/>
          <w:lang w:val="ro-MD"/>
        </w:rPr>
        <w:t>ține de</w:t>
      </w:r>
      <w:r w:rsidRPr="00736448">
        <w:rPr>
          <w:rFonts w:asciiTheme="majorHAnsi" w:eastAsia="Times New Roman" w:hAnsiTheme="majorHAnsi" w:cstheme="majorHAnsi"/>
          <w:sz w:val="24"/>
          <w:szCs w:val="24"/>
          <w:vertAlign w:val="superscript"/>
          <w:lang w:val="ro-MD"/>
        </w:rPr>
        <w:footnoteReference w:id="93"/>
      </w:r>
      <w:r w:rsidRPr="00736448">
        <w:rPr>
          <w:rFonts w:asciiTheme="majorHAnsi" w:eastAsia="Times New Roman" w:hAnsiTheme="majorHAnsi" w:cstheme="majorHAnsi"/>
          <w:bCs/>
          <w:iCs/>
          <w:sz w:val="24"/>
          <w:szCs w:val="24"/>
          <w:lang w:val="ro-MD"/>
        </w:rPr>
        <w:t>:</w:t>
      </w:r>
    </w:p>
    <w:p w14:paraId="5E23B059" w14:textId="77777777" w:rsidR="003664F4" w:rsidRPr="00736448" w:rsidRDefault="003664F4" w:rsidP="003664F4">
      <w:pPr>
        <w:spacing w:after="0" w:line="276" w:lineRule="auto"/>
        <w:jc w:val="both"/>
        <w:rPr>
          <w:rFonts w:asciiTheme="majorHAnsi" w:eastAsia="Times New Roman" w:hAnsiTheme="majorHAnsi" w:cstheme="majorHAnsi"/>
          <w:sz w:val="24"/>
          <w:szCs w:val="24"/>
          <w:lang w:val="ro-MD"/>
        </w:rPr>
      </w:pPr>
      <w:r w:rsidRPr="00736448">
        <w:rPr>
          <w:rFonts w:asciiTheme="majorHAnsi" w:eastAsia="Times New Roman" w:hAnsiTheme="majorHAnsi" w:cstheme="majorHAnsi"/>
          <w:sz w:val="24"/>
          <w:szCs w:val="24"/>
          <w:lang w:val="ro-MD"/>
        </w:rPr>
        <w:t>- elaborarea şi aprobarea, în baza Legii contabilității şi în conformitate cu Planul de conturi contabile, a metodologiei privind evidența contabilă în sistemul bugetar, inclusiv privind contabilitatea executării BASS;</w:t>
      </w:r>
    </w:p>
    <w:p w14:paraId="1A312EEF" w14:textId="7AE8AFBB" w:rsidR="003664F4" w:rsidRPr="00736448" w:rsidRDefault="003664F4" w:rsidP="003664F4">
      <w:pPr>
        <w:spacing w:after="0" w:line="276" w:lineRule="auto"/>
        <w:jc w:val="both"/>
        <w:rPr>
          <w:rFonts w:asciiTheme="majorHAnsi" w:hAnsiTheme="majorHAnsi" w:cstheme="majorHAnsi"/>
          <w:sz w:val="24"/>
          <w:szCs w:val="24"/>
          <w:lang w:val="ro-MD"/>
        </w:rPr>
      </w:pPr>
      <w:r w:rsidRPr="00736448">
        <w:rPr>
          <w:rFonts w:asciiTheme="majorHAnsi" w:eastAsia="Times New Roman" w:hAnsiTheme="majorHAnsi" w:cstheme="majorHAnsi"/>
          <w:sz w:val="24"/>
          <w:szCs w:val="24"/>
          <w:lang w:val="ro-MD"/>
        </w:rPr>
        <w:t>- elaborarea şi aprobarea metodologiei privind implementarea cadrului normativ-legal în domeniul finanțelor publice, inclusiv privind evidența contabilă și raportarea bugetelor componente ale bugetului public național, precum și acordarea asistenței metodologice în procesul bugetar.</w:t>
      </w:r>
      <w:r w:rsidRPr="00736448">
        <w:rPr>
          <w:rFonts w:asciiTheme="majorHAnsi" w:hAnsiTheme="majorHAnsi" w:cstheme="majorHAnsi"/>
          <w:sz w:val="24"/>
          <w:szCs w:val="24"/>
          <w:lang w:val="ro-MD"/>
        </w:rPr>
        <w:t xml:space="preserve"> </w:t>
      </w:r>
    </w:p>
    <w:p w14:paraId="4BAA97DD" w14:textId="2CEC7B89" w:rsidR="00043F06" w:rsidRPr="00736448" w:rsidRDefault="00043F06" w:rsidP="003664F4">
      <w:pPr>
        <w:spacing w:after="0" w:line="276" w:lineRule="auto"/>
        <w:jc w:val="both"/>
        <w:rPr>
          <w:rFonts w:asciiTheme="majorHAnsi" w:hAnsiTheme="majorHAnsi" w:cstheme="majorHAnsi"/>
          <w:sz w:val="24"/>
          <w:szCs w:val="24"/>
          <w:lang w:val="ro-MD"/>
        </w:rPr>
      </w:pPr>
      <w:r w:rsidRPr="00736448">
        <w:rPr>
          <w:rFonts w:asciiTheme="majorHAnsi" w:hAnsiTheme="majorHAnsi" w:cstheme="majorHAnsi"/>
          <w:b/>
          <w:sz w:val="24"/>
          <w:szCs w:val="24"/>
          <w:lang w:val="ro-MD"/>
        </w:rPr>
        <w:t>Responsabilitatea Serviciului Fiscal de Stat</w:t>
      </w:r>
      <w:r w:rsidR="009C2D7D" w:rsidRPr="00736448">
        <w:rPr>
          <w:rFonts w:asciiTheme="majorHAnsi" w:hAnsiTheme="majorHAnsi" w:cstheme="majorHAnsi"/>
          <w:sz w:val="24"/>
          <w:szCs w:val="24"/>
          <w:lang w:val="ro-MD"/>
        </w:rPr>
        <w:t xml:space="preserve"> constă în asigurarea administrării fiscale prin crearea de condiţii contribuabililor pentru conformare la respectarea legislaţiei și monitorizarea procesului de conformare, aplicarea uniformă a politicii şi reglementărilor în domeniul fiscal; efectuarea controlului asupra calculării corecte şi a virării în termen a contribuţiilor la bugetul asigurărilor sociale de stat şi aplică sancţiuni pentru încălcarea prevederilor legale referitoare la calcularea acestora.</w:t>
      </w:r>
    </w:p>
    <w:p w14:paraId="6BE2502D" w14:textId="4DEA576E" w:rsidR="003664F4" w:rsidRPr="00736448" w:rsidRDefault="003664F4" w:rsidP="003664F4">
      <w:pPr>
        <w:spacing w:after="0" w:line="276" w:lineRule="auto"/>
        <w:jc w:val="both"/>
        <w:rPr>
          <w:rFonts w:asciiTheme="majorHAnsi" w:hAnsiTheme="majorHAnsi" w:cstheme="majorHAnsi"/>
          <w:sz w:val="24"/>
          <w:szCs w:val="24"/>
          <w:lang w:val="ro-MD"/>
        </w:rPr>
      </w:pPr>
      <w:r w:rsidRPr="00736448">
        <w:rPr>
          <w:rFonts w:asciiTheme="majorHAnsi" w:eastAsia="Times New Roman" w:hAnsiTheme="majorHAnsi" w:cstheme="majorHAnsi"/>
          <w:b/>
          <w:sz w:val="24"/>
          <w:szCs w:val="24"/>
          <w:lang w:val="ro-MD"/>
        </w:rPr>
        <w:t xml:space="preserve">Responsabilitatea Casei Naționale de Asigurări Sociale </w:t>
      </w:r>
      <w:r w:rsidRPr="00736448">
        <w:rPr>
          <w:rFonts w:asciiTheme="majorHAnsi" w:eastAsia="Times New Roman" w:hAnsiTheme="majorHAnsi" w:cstheme="majorHAnsi"/>
          <w:sz w:val="24"/>
          <w:szCs w:val="24"/>
          <w:lang w:val="ro-MD"/>
        </w:rPr>
        <w:t>a constat în pregătirea și prezentarea fidelă către Guvern, Ministerul Sănătății,</w:t>
      </w:r>
      <w:r w:rsidR="001D2229" w:rsidRPr="00736448">
        <w:rPr>
          <w:rFonts w:asciiTheme="majorHAnsi" w:eastAsia="Times New Roman" w:hAnsiTheme="majorHAnsi" w:cstheme="majorHAnsi"/>
          <w:sz w:val="24"/>
          <w:szCs w:val="24"/>
          <w:lang w:val="ro-MD"/>
        </w:rPr>
        <w:t xml:space="preserve"> Ministerul</w:t>
      </w:r>
      <w:r w:rsidRPr="00736448">
        <w:rPr>
          <w:rFonts w:asciiTheme="majorHAnsi" w:eastAsia="Times New Roman" w:hAnsiTheme="majorHAnsi" w:cstheme="majorHAnsi"/>
          <w:sz w:val="24"/>
          <w:szCs w:val="24"/>
          <w:lang w:val="ro-MD"/>
        </w:rPr>
        <w:t xml:space="preserve"> Muncii şi Protecției Sociale și Ministerul Finanțelor a </w:t>
      </w:r>
      <w:r w:rsidRPr="00736448">
        <w:rPr>
          <w:rFonts w:asciiTheme="majorHAnsi" w:hAnsiTheme="majorHAnsi" w:cstheme="majorHAnsi"/>
          <w:sz w:val="24"/>
          <w:szCs w:val="24"/>
          <w:lang w:val="ro-MD"/>
        </w:rPr>
        <w:t>rapoartelor privind executarea bugetului asigurărilor sociale de stat în conformitate cu cadrul de raportare aplicabil şi asigurarea publicării acestora</w:t>
      </w:r>
      <w:r w:rsidRPr="00736448">
        <w:rPr>
          <w:rFonts w:asciiTheme="majorHAnsi" w:eastAsia="Times New Roman" w:hAnsiTheme="majorHAnsi" w:cstheme="majorHAnsi"/>
          <w:sz w:val="24"/>
          <w:szCs w:val="24"/>
          <w:vertAlign w:val="superscript"/>
          <w:lang w:val="ro-MD" w:eastAsia="ro-RO"/>
        </w:rPr>
        <w:footnoteReference w:id="94"/>
      </w:r>
      <w:r w:rsidRPr="00736448">
        <w:rPr>
          <w:rFonts w:asciiTheme="majorHAnsi" w:eastAsia="Times New Roman" w:hAnsiTheme="majorHAnsi" w:cstheme="majorHAnsi"/>
          <w:sz w:val="24"/>
          <w:szCs w:val="24"/>
          <w:lang w:val="ro-MD"/>
        </w:rPr>
        <w:t xml:space="preserve">. Totodată, conducătorul Casei Naționale </w:t>
      </w:r>
      <w:r w:rsidRPr="00736448">
        <w:rPr>
          <w:rFonts w:asciiTheme="majorHAnsi" w:hAnsiTheme="majorHAnsi" w:cstheme="majorHAnsi"/>
          <w:sz w:val="24"/>
          <w:szCs w:val="24"/>
          <w:lang w:val="ro-MD"/>
        </w:rPr>
        <w:t>este responsabil de implementarea unui sistem de control intern care asigură întocmirea rapoartelor ce nu conțin denaturări semnificative, cauzate de fraude sau de erori.</w:t>
      </w:r>
    </w:p>
    <w:p w14:paraId="642AC7E1" w14:textId="1A0538C6" w:rsidR="003664F4" w:rsidRPr="00736448" w:rsidRDefault="003664F4" w:rsidP="003664F4">
      <w:pPr>
        <w:spacing w:after="0" w:line="276" w:lineRule="auto"/>
        <w:jc w:val="both"/>
        <w:rPr>
          <w:rFonts w:asciiTheme="majorHAnsi" w:hAnsiTheme="majorHAnsi" w:cstheme="majorHAnsi"/>
          <w:sz w:val="24"/>
          <w:szCs w:val="24"/>
          <w:lang w:val="ro-MD"/>
        </w:rPr>
      </w:pPr>
      <w:r w:rsidRPr="00736448">
        <w:rPr>
          <w:rFonts w:asciiTheme="majorHAnsi" w:hAnsiTheme="majorHAnsi" w:cstheme="majorHAnsi"/>
          <w:b/>
          <w:sz w:val="24"/>
          <w:szCs w:val="24"/>
          <w:lang w:val="ro-MD"/>
        </w:rPr>
        <w:t>Directoarea generală a Casei Naționale de Asigurări Sociale</w:t>
      </w:r>
      <w:r w:rsidRPr="00736448">
        <w:rPr>
          <w:rFonts w:asciiTheme="majorHAnsi" w:hAnsiTheme="majorHAnsi" w:cstheme="majorHAnsi"/>
          <w:sz w:val="24"/>
          <w:szCs w:val="24"/>
          <w:lang w:val="ro-MD"/>
        </w:rPr>
        <w:t xml:space="preserve"> este responsabilă de pregătirea şi prezentarea fidelă a Raportului Guvernului privind executarea bugetului asigurărilor sociale de stat pentru anul 202</w:t>
      </w:r>
      <w:r w:rsidR="001D2229" w:rsidRPr="00736448">
        <w:rPr>
          <w:rFonts w:asciiTheme="majorHAnsi" w:hAnsiTheme="majorHAnsi" w:cstheme="majorHAnsi"/>
          <w:sz w:val="24"/>
          <w:szCs w:val="24"/>
          <w:lang w:val="ro-MD"/>
        </w:rPr>
        <w:t>2</w:t>
      </w:r>
      <w:r w:rsidRPr="00736448">
        <w:rPr>
          <w:rFonts w:asciiTheme="majorHAnsi" w:hAnsiTheme="majorHAnsi" w:cstheme="majorHAnsi"/>
          <w:sz w:val="24"/>
          <w:szCs w:val="24"/>
          <w:lang w:val="ro-MD"/>
        </w:rPr>
        <w:t>, în conformitate cu cadrul de raportare aplicabil</w:t>
      </w:r>
      <w:r w:rsidRPr="00736448">
        <w:rPr>
          <w:rFonts w:asciiTheme="majorHAnsi" w:hAnsiTheme="majorHAnsi" w:cstheme="majorHAnsi"/>
          <w:sz w:val="24"/>
          <w:szCs w:val="24"/>
          <w:vertAlign w:val="superscript"/>
          <w:lang w:val="ro-MD"/>
        </w:rPr>
        <w:footnoteReference w:id="95"/>
      </w:r>
      <w:r w:rsidRPr="00736448">
        <w:rPr>
          <w:rFonts w:asciiTheme="majorHAnsi" w:hAnsiTheme="majorHAnsi" w:cstheme="majorHAnsi"/>
          <w:sz w:val="24"/>
          <w:szCs w:val="24"/>
          <w:lang w:val="ro-MD"/>
        </w:rPr>
        <w:t>. De asemenea, responsabilitatea managementului este de a organiza și a implementa sistemul de control intern</w:t>
      </w:r>
      <w:r w:rsidRPr="00736448">
        <w:rPr>
          <w:rFonts w:asciiTheme="majorHAnsi" w:hAnsiTheme="majorHAnsi" w:cstheme="majorHAnsi"/>
          <w:sz w:val="24"/>
          <w:szCs w:val="24"/>
          <w:vertAlign w:val="superscript"/>
          <w:lang w:val="ro-MD"/>
        </w:rPr>
        <w:footnoteReference w:id="96"/>
      </w:r>
      <w:r w:rsidRPr="00736448">
        <w:rPr>
          <w:rFonts w:asciiTheme="majorHAnsi" w:hAnsiTheme="majorHAnsi" w:cstheme="majorHAnsi"/>
          <w:sz w:val="24"/>
          <w:szCs w:val="24"/>
          <w:lang w:val="ro-MD"/>
        </w:rPr>
        <w:t xml:space="preserve">, în scopul de a asigura desfășurarea și organizarea eficientă a activității entității, inclusiv respectarea strictă a integrității activelor, prevenirea și descoperirea cauzelor de fraudă și eroare, exactitatea și plenitudinea datelor raportate, precum şi pregătirea oportună a informaţiilor financiare credibile. Totodată, la întocmirea situațiilor financiare, conducerea este responsabilă de evaluarea capacității autorității de a-și continua activitatea în baza principiului continuității activității. </w:t>
      </w:r>
    </w:p>
    <w:p w14:paraId="5842F48E" w14:textId="77777777" w:rsidR="003664F4" w:rsidRPr="00736448" w:rsidRDefault="003664F4" w:rsidP="003664F4">
      <w:pPr>
        <w:spacing w:after="0" w:line="276" w:lineRule="auto"/>
        <w:jc w:val="both"/>
        <w:rPr>
          <w:rFonts w:asciiTheme="majorHAnsi" w:hAnsiTheme="majorHAnsi" w:cstheme="majorHAnsi"/>
          <w:sz w:val="24"/>
          <w:szCs w:val="24"/>
          <w:lang w:val="ro-MD"/>
        </w:rPr>
      </w:pPr>
    </w:p>
    <w:p w14:paraId="1BACC20E" w14:textId="77777777" w:rsidR="003664F4" w:rsidRPr="00736448" w:rsidRDefault="003664F4" w:rsidP="003664F4">
      <w:pPr>
        <w:keepNext/>
        <w:keepLines/>
        <w:numPr>
          <w:ilvl w:val="0"/>
          <w:numId w:val="2"/>
        </w:numPr>
        <w:spacing w:after="0" w:line="276" w:lineRule="auto"/>
        <w:jc w:val="both"/>
        <w:outlineLvl w:val="0"/>
        <w:rPr>
          <w:rFonts w:asciiTheme="majorHAnsi" w:eastAsiaTheme="majorEastAsia" w:hAnsiTheme="majorHAnsi" w:cstheme="majorHAnsi"/>
          <w:b/>
          <w:sz w:val="28"/>
          <w:szCs w:val="28"/>
          <w:lang w:val="ro-MD"/>
        </w:rPr>
      </w:pPr>
      <w:bookmarkStart w:id="6" w:name="_Toc35000690"/>
      <w:r w:rsidRPr="00736448">
        <w:rPr>
          <w:rFonts w:asciiTheme="majorHAnsi" w:eastAsiaTheme="majorEastAsia" w:hAnsiTheme="majorHAnsi" w:cstheme="majorHAnsi"/>
          <w:b/>
          <w:sz w:val="28"/>
          <w:szCs w:val="28"/>
          <w:lang w:val="ro-MD"/>
        </w:rPr>
        <w:t xml:space="preserve">RESPONSABILITĂȚILE AUDITORULUI ÎNTR-UN AUDIT AL RAPOARTELOR </w:t>
      </w:r>
      <w:bookmarkEnd w:id="6"/>
      <w:r w:rsidRPr="00736448">
        <w:rPr>
          <w:rFonts w:asciiTheme="majorHAnsi" w:eastAsiaTheme="majorEastAsia" w:hAnsiTheme="majorHAnsi" w:cstheme="majorHAnsi"/>
          <w:b/>
          <w:sz w:val="28"/>
          <w:szCs w:val="28"/>
          <w:lang w:val="ro-MD"/>
        </w:rPr>
        <w:t>GUVERNULUI</w:t>
      </w:r>
    </w:p>
    <w:p w14:paraId="4D9D5E17" w14:textId="77777777" w:rsidR="003664F4" w:rsidRPr="00736448" w:rsidRDefault="003664F4" w:rsidP="003664F4">
      <w:pPr>
        <w:autoSpaceDE w:val="0"/>
        <w:autoSpaceDN w:val="0"/>
        <w:adjustRightInd w:val="0"/>
        <w:spacing w:after="0" w:line="276" w:lineRule="auto"/>
        <w:ind w:right="-23"/>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Responsabilitatea noastră este de a planifica și a realiza misiunea de audit, cu obținerea probelor suficiente și adecvate în vederea susținerii bazei pentru opinia de audit. Obiectivele noastre sunt: obținerea unei asigurări rezonabile că rapoartele financiare nu sunt afectate de denaturări semnificative, cauzate de fraude sau erori, precum și emiterea unei opinii.</w:t>
      </w:r>
    </w:p>
    <w:p w14:paraId="292F6B61" w14:textId="77777777" w:rsidR="003664F4" w:rsidRPr="00736448" w:rsidRDefault="003664F4" w:rsidP="003664F4">
      <w:pPr>
        <w:autoSpaceDE w:val="0"/>
        <w:autoSpaceDN w:val="0"/>
        <w:adjustRightInd w:val="0"/>
        <w:spacing w:after="0" w:line="276" w:lineRule="auto"/>
        <w:ind w:right="-23"/>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Asigurarea rezonabilă este un nivel ridicat de asigurare, dar nu este o garanție că un audit efectuat în conformitate cu Standardele Internaționale va detecta întotdeauna o denaturare semnificativă atunci când ea există. Denaturările pot fi ca urmare a fraudelor sau erorilor. Totodată, denaturările pot fi considerate semnificative dacă, în mod individual sau în ansamblu, pot influența deciziile economice ale utilizatorilor acestor rapoarte financiare. </w:t>
      </w:r>
    </w:p>
    <w:p w14:paraId="1B37259B" w14:textId="3A65EB3B" w:rsidR="003664F4" w:rsidRPr="00736448" w:rsidRDefault="003664F4" w:rsidP="003664F4">
      <w:pPr>
        <w:autoSpaceDE w:val="0"/>
        <w:autoSpaceDN w:val="0"/>
        <w:adjustRightInd w:val="0"/>
        <w:spacing w:after="0" w:line="276" w:lineRule="auto"/>
        <w:ind w:right="-23"/>
        <w:jc w:val="both"/>
        <w:rPr>
          <w:lang w:val="ro-MD"/>
        </w:rPr>
      </w:pPr>
      <w:r w:rsidRPr="00736448">
        <w:rPr>
          <w:rFonts w:asciiTheme="majorHAnsi" w:hAnsiTheme="majorHAnsi" w:cstheme="majorHAnsi"/>
          <w:sz w:val="24"/>
          <w:szCs w:val="24"/>
          <w:lang w:val="ro-MD"/>
        </w:rPr>
        <w:t xml:space="preserve">O descriere suplimentară a responsabilităților auditorului într-un audit al rapoartelor financiare este plasată pe site-ul Curții de Conturi, la adresa: </w:t>
      </w:r>
      <w:hyperlink r:id="rId36" w:tgtFrame="_blank" w:history="1">
        <w:r w:rsidR="00995BD6" w:rsidRPr="00736448">
          <w:rPr>
            <w:rStyle w:val="af2"/>
            <w:rFonts w:asciiTheme="majorHAnsi" w:hAnsiTheme="majorHAnsi" w:cstheme="majorHAnsi"/>
            <w:color w:val="0563C1"/>
            <w:sz w:val="24"/>
            <w:szCs w:val="24"/>
            <w:lang w:val="ro-MD"/>
          </w:rPr>
          <w:t>https://www.ccrm.md/ro/responsabilitati-in-auditul-financiar-3596.html</w:t>
        </w:r>
      </w:hyperlink>
      <w:r w:rsidR="00995BD6" w:rsidRPr="00736448">
        <w:rPr>
          <w:lang w:val="ro-MD"/>
        </w:rPr>
        <w:t xml:space="preserve"> </w:t>
      </w:r>
    </w:p>
    <w:p w14:paraId="2DAA7C15" w14:textId="77777777" w:rsidR="003664F4" w:rsidRPr="00736448" w:rsidRDefault="003664F4" w:rsidP="003664F4">
      <w:pPr>
        <w:autoSpaceDE w:val="0"/>
        <w:autoSpaceDN w:val="0"/>
        <w:adjustRightInd w:val="0"/>
        <w:spacing w:after="0" w:line="276" w:lineRule="auto"/>
        <w:ind w:right="-23"/>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Această descriere face parte din Raportul nostru de audit.</w:t>
      </w:r>
    </w:p>
    <w:p w14:paraId="67931617" w14:textId="76434BEC" w:rsidR="0038225D" w:rsidRDefault="0038225D" w:rsidP="003664F4">
      <w:pPr>
        <w:spacing w:after="0" w:line="276" w:lineRule="auto"/>
        <w:rPr>
          <w:rFonts w:asciiTheme="majorHAnsi" w:hAnsiTheme="majorHAnsi" w:cstheme="majorHAnsi"/>
          <w:b/>
          <w:color w:val="000000" w:themeColor="text1"/>
          <w:sz w:val="24"/>
          <w:szCs w:val="24"/>
          <w:lang w:val="ro-MD"/>
        </w:rPr>
      </w:pPr>
    </w:p>
    <w:p w14:paraId="0EC48A5C" w14:textId="77777777" w:rsidR="00DF3043" w:rsidRDefault="00DF3043" w:rsidP="003664F4">
      <w:pPr>
        <w:spacing w:after="0" w:line="276" w:lineRule="auto"/>
        <w:rPr>
          <w:rFonts w:asciiTheme="majorHAnsi" w:hAnsiTheme="majorHAnsi" w:cstheme="majorHAnsi"/>
          <w:b/>
          <w:color w:val="000000" w:themeColor="text1"/>
          <w:sz w:val="24"/>
          <w:szCs w:val="24"/>
          <w:lang w:val="ro-MD"/>
        </w:rPr>
      </w:pPr>
    </w:p>
    <w:p w14:paraId="0B1618F1" w14:textId="56AAA5C6" w:rsidR="003664F4" w:rsidRPr="00736448" w:rsidRDefault="003664F4" w:rsidP="003664F4">
      <w:pPr>
        <w:spacing w:after="0" w:line="276" w:lineRule="auto"/>
        <w:rPr>
          <w:rFonts w:asciiTheme="majorHAnsi" w:hAnsiTheme="majorHAnsi" w:cstheme="majorHAnsi"/>
          <w:b/>
          <w:color w:val="000000" w:themeColor="text1"/>
          <w:sz w:val="24"/>
          <w:szCs w:val="24"/>
          <w:lang w:val="ro-MD"/>
        </w:rPr>
      </w:pPr>
      <w:r w:rsidRPr="00736448">
        <w:rPr>
          <w:rFonts w:asciiTheme="majorHAnsi" w:hAnsiTheme="majorHAnsi" w:cstheme="majorHAnsi"/>
          <w:b/>
          <w:color w:val="000000" w:themeColor="text1"/>
          <w:sz w:val="24"/>
          <w:szCs w:val="24"/>
          <w:lang w:val="ro-MD"/>
        </w:rPr>
        <w:t>Semnătura auditorului</w:t>
      </w:r>
    </w:p>
    <w:p w14:paraId="4EE664B1" w14:textId="77777777" w:rsidR="0038225D" w:rsidRDefault="0038225D" w:rsidP="003664F4">
      <w:pPr>
        <w:spacing w:after="0" w:line="276" w:lineRule="auto"/>
        <w:jc w:val="both"/>
        <w:rPr>
          <w:rFonts w:asciiTheme="majorHAnsi" w:hAnsiTheme="majorHAnsi" w:cstheme="majorHAnsi"/>
          <w:b/>
          <w:bCs/>
          <w:iCs/>
          <w:sz w:val="24"/>
          <w:szCs w:val="24"/>
          <w:lang w:val="ro-MD"/>
        </w:rPr>
      </w:pPr>
    </w:p>
    <w:p w14:paraId="69C79CCF" w14:textId="73C104E9" w:rsidR="003664F4" w:rsidRPr="00736448" w:rsidRDefault="003664F4" w:rsidP="003664F4">
      <w:pPr>
        <w:spacing w:after="0" w:line="276" w:lineRule="auto"/>
        <w:jc w:val="both"/>
        <w:rPr>
          <w:rFonts w:asciiTheme="majorHAnsi" w:hAnsiTheme="majorHAnsi" w:cstheme="majorHAnsi"/>
          <w:b/>
          <w:bCs/>
          <w:iCs/>
          <w:sz w:val="24"/>
          <w:szCs w:val="24"/>
          <w:lang w:val="ro-MD"/>
        </w:rPr>
      </w:pPr>
      <w:r w:rsidRPr="00736448">
        <w:rPr>
          <w:rFonts w:asciiTheme="majorHAnsi" w:hAnsiTheme="majorHAnsi" w:cstheme="majorHAnsi"/>
          <w:b/>
          <w:bCs/>
          <w:iCs/>
          <w:sz w:val="24"/>
          <w:szCs w:val="24"/>
          <w:lang w:val="ro-MD"/>
        </w:rPr>
        <w:t>Echipa de audit:</w:t>
      </w:r>
    </w:p>
    <w:p w14:paraId="29D78F74" w14:textId="77777777" w:rsidR="003664F4" w:rsidRPr="00736448" w:rsidRDefault="003664F4" w:rsidP="003664F4">
      <w:pPr>
        <w:tabs>
          <w:tab w:val="left" w:pos="1080"/>
        </w:tabs>
        <w:spacing w:after="0" w:line="276" w:lineRule="auto"/>
        <w:contextualSpacing/>
        <w:jc w:val="both"/>
        <w:rPr>
          <w:rFonts w:asciiTheme="majorHAnsi" w:hAnsiTheme="majorHAnsi" w:cstheme="majorHAnsi"/>
          <w:bCs/>
          <w:iCs/>
          <w:sz w:val="24"/>
          <w:szCs w:val="24"/>
          <w:lang w:val="ro-MD"/>
        </w:rPr>
      </w:pPr>
      <w:r w:rsidRPr="00736448">
        <w:rPr>
          <w:rFonts w:asciiTheme="majorHAnsi" w:hAnsiTheme="majorHAnsi" w:cstheme="majorHAnsi"/>
          <w:bCs/>
          <w:iCs/>
          <w:sz w:val="24"/>
          <w:szCs w:val="24"/>
          <w:lang w:val="ro-MD"/>
        </w:rPr>
        <w:t xml:space="preserve">Șefa echipei de audit, </w:t>
      </w:r>
    </w:p>
    <w:p w14:paraId="4DA70CA9" w14:textId="77777777"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 xml:space="preserve">Șefa Direcției de audit I </w:t>
      </w:r>
    </w:p>
    <w:p w14:paraId="1C9DA017" w14:textId="77777777"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în cadrul Direcției generale de audit II,</w:t>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t>Irina Rogaciov</w:t>
      </w:r>
      <w:r w:rsidRPr="00736448">
        <w:rPr>
          <w:rFonts w:asciiTheme="majorHAnsi" w:hAnsiTheme="majorHAnsi" w:cstheme="majorHAnsi"/>
          <w:sz w:val="24"/>
          <w:szCs w:val="24"/>
          <w:lang w:val="ro-MD"/>
        </w:rPr>
        <w:tab/>
      </w:r>
    </w:p>
    <w:p w14:paraId="66134D06" w14:textId="77777777"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p>
    <w:p w14:paraId="0D7EC1A4" w14:textId="77777777"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Auditoare publică principală,</w:t>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t>Viorica Rațoi</w:t>
      </w:r>
      <w:r w:rsidRPr="00736448">
        <w:rPr>
          <w:rFonts w:asciiTheme="majorHAnsi" w:hAnsiTheme="majorHAnsi" w:cstheme="majorHAnsi"/>
          <w:sz w:val="24"/>
          <w:szCs w:val="24"/>
          <w:lang w:val="ro-MD"/>
        </w:rPr>
        <w:tab/>
        <w:t xml:space="preserve"> </w:t>
      </w:r>
    </w:p>
    <w:p w14:paraId="52D7579D" w14:textId="3AAAD556"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Auditoare publică superioară,</w:t>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t>Ana Miron</w:t>
      </w:r>
    </w:p>
    <w:p w14:paraId="2A49143A" w14:textId="1324A4D1"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Auditoare publică superioară,</w:t>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t>Aliona Manole</w:t>
      </w:r>
    </w:p>
    <w:p w14:paraId="5099C804" w14:textId="77777777" w:rsidR="003664F4" w:rsidRPr="00736448" w:rsidRDefault="003664F4" w:rsidP="003664F4">
      <w:pPr>
        <w:spacing w:after="0" w:line="276" w:lineRule="auto"/>
        <w:rPr>
          <w:rFonts w:asciiTheme="majorHAnsi" w:hAnsiTheme="majorHAnsi" w:cstheme="majorHAnsi"/>
          <w:b/>
          <w:bCs/>
          <w:iCs/>
          <w:sz w:val="24"/>
          <w:szCs w:val="24"/>
          <w:lang w:val="ro-MD"/>
        </w:rPr>
      </w:pPr>
    </w:p>
    <w:p w14:paraId="369B1E37" w14:textId="77777777" w:rsidR="003664F4" w:rsidRPr="00736448" w:rsidRDefault="003664F4" w:rsidP="003664F4">
      <w:pPr>
        <w:spacing w:after="0" w:line="276" w:lineRule="auto"/>
        <w:rPr>
          <w:rFonts w:asciiTheme="majorHAnsi" w:hAnsiTheme="majorHAnsi" w:cstheme="majorHAnsi"/>
          <w:b/>
          <w:bCs/>
          <w:iCs/>
          <w:sz w:val="24"/>
          <w:szCs w:val="24"/>
          <w:lang w:val="ro-MD"/>
        </w:rPr>
      </w:pPr>
      <w:r w:rsidRPr="00736448">
        <w:rPr>
          <w:rFonts w:asciiTheme="majorHAnsi" w:hAnsiTheme="majorHAnsi" w:cstheme="majorHAnsi"/>
          <w:b/>
          <w:bCs/>
          <w:iCs/>
          <w:sz w:val="24"/>
          <w:szCs w:val="24"/>
          <w:lang w:val="ro-MD"/>
        </w:rPr>
        <w:t xml:space="preserve">Responsabilă de monitorizarea și asigurarea calității auditului: </w:t>
      </w:r>
    </w:p>
    <w:p w14:paraId="77E2F8DF" w14:textId="77777777" w:rsidR="003664F4" w:rsidRPr="00736448" w:rsidRDefault="003664F4" w:rsidP="003664F4">
      <w:pPr>
        <w:tabs>
          <w:tab w:val="left" w:pos="1080"/>
        </w:tabs>
        <w:spacing w:after="0" w:line="276" w:lineRule="auto"/>
        <w:contextualSpacing/>
        <w:jc w:val="both"/>
        <w:rPr>
          <w:rFonts w:asciiTheme="majorHAnsi" w:hAnsiTheme="majorHAnsi" w:cstheme="majorHAnsi"/>
          <w:sz w:val="24"/>
          <w:szCs w:val="24"/>
          <w:lang w:val="ro-MD"/>
        </w:rPr>
      </w:pPr>
      <w:r w:rsidRPr="00736448">
        <w:rPr>
          <w:rFonts w:asciiTheme="majorHAnsi" w:hAnsiTheme="majorHAnsi" w:cstheme="majorHAnsi"/>
          <w:sz w:val="24"/>
          <w:szCs w:val="24"/>
          <w:lang w:val="ro-MD"/>
        </w:rPr>
        <w:t>Șefa Direcției generale de audit II,</w:t>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r>
      <w:r w:rsidRPr="00736448">
        <w:rPr>
          <w:rFonts w:asciiTheme="majorHAnsi" w:hAnsiTheme="majorHAnsi" w:cstheme="majorHAnsi"/>
          <w:sz w:val="24"/>
          <w:szCs w:val="24"/>
          <w:lang w:val="ro-MD"/>
        </w:rPr>
        <w:tab/>
        <w:t xml:space="preserve">Sofia Ciuvalschi </w:t>
      </w:r>
    </w:p>
    <w:p w14:paraId="1E72E42C" w14:textId="77777777" w:rsidR="00036557" w:rsidRPr="00736448" w:rsidRDefault="00036557" w:rsidP="003220CF">
      <w:pPr>
        <w:pStyle w:val="1"/>
        <w:numPr>
          <w:ilvl w:val="0"/>
          <w:numId w:val="0"/>
        </w:numPr>
        <w:jc w:val="left"/>
        <w:rPr>
          <w:rFonts w:asciiTheme="majorHAnsi" w:hAnsiTheme="majorHAnsi"/>
          <w:b w:val="0"/>
          <w:sz w:val="24"/>
        </w:rPr>
        <w:sectPr w:rsidR="00036557" w:rsidRPr="00736448" w:rsidSect="00DE27FA">
          <w:footerReference w:type="default" r:id="rId37"/>
          <w:type w:val="continuous"/>
          <w:pgSz w:w="12240" w:h="15840"/>
          <w:pgMar w:top="1140" w:right="851" w:bottom="1140" w:left="1355" w:header="720" w:footer="720" w:gutter="0"/>
          <w:cols w:space="720"/>
          <w:titlePg/>
          <w:docGrid w:linePitch="360"/>
        </w:sectPr>
      </w:pPr>
    </w:p>
    <w:p w14:paraId="52D9AF80" w14:textId="280287A0" w:rsidR="00DC25E0" w:rsidRPr="00736448" w:rsidRDefault="00DC25E0" w:rsidP="00DC25E0">
      <w:pPr>
        <w:pStyle w:val="1"/>
        <w:numPr>
          <w:ilvl w:val="0"/>
          <w:numId w:val="0"/>
        </w:numPr>
        <w:jc w:val="right"/>
        <w:rPr>
          <w:rFonts w:asciiTheme="majorHAnsi" w:hAnsiTheme="majorHAnsi"/>
          <w:b w:val="0"/>
          <w:sz w:val="24"/>
        </w:rPr>
      </w:pPr>
      <w:r w:rsidRPr="00736448">
        <w:rPr>
          <w:rFonts w:asciiTheme="majorHAnsi" w:hAnsiTheme="majorHAnsi"/>
          <w:b w:val="0"/>
          <w:sz w:val="24"/>
        </w:rPr>
        <w:t>ANEXE</w:t>
      </w:r>
    </w:p>
    <w:p w14:paraId="22603D1F" w14:textId="1F7F5B14" w:rsidR="00036557" w:rsidRPr="00181EA0" w:rsidRDefault="00036557" w:rsidP="004C228A">
      <w:pPr>
        <w:pStyle w:val="2"/>
        <w:jc w:val="right"/>
        <w:rPr>
          <w:rFonts w:eastAsia="Times New Roman" w:cstheme="majorHAnsi"/>
          <w:b/>
          <w:iCs/>
          <w:color w:val="000000" w:themeColor="text1"/>
          <w:sz w:val="24"/>
          <w:szCs w:val="24"/>
          <w:lang w:val="ro-MD"/>
        </w:rPr>
      </w:pPr>
      <w:r w:rsidRPr="00181EA0">
        <w:rPr>
          <w:rFonts w:eastAsia="Times New Roman" w:cstheme="majorHAnsi"/>
          <w:b/>
          <w:color w:val="000000" w:themeColor="text1"/>
          <w:sz w:val="24"/>
          <w:szCs w:val="24"/>
          <w:lang w:val="ro-MD"/>
        </w:rPr>
        <w:t>Anexa nr.</w:t>
      </w:r>
      <w:r w:rsidR="004C228A" w:rsidRPr="00181EA0">
        <w:rPr>
          <w:rFonts w:eastAsia="Times New Roman" w:cstheme="majorHAnsi"/>
          <w:b/>
          <w:color w:val="000000" w:themeColor="text1"/>
          <w:sz w:val="24"/>
          <w:szCs w:val="24"/>
          <w:lang w:val="ro-MD"/>
        </w:rPr>
        <w:t>1</w:t>
      </w:r>
    </w:p>
    <w:p w14:paraId="611593F1" w14:textId="77777777" w:rsidR="00036557" w:rsidRPr="00736448" w:rsidRDefault="00036557" w:rsidP="00036557">
      <w:pPr>
        <w:spacing w:after="0" w:line="240" w:lineRule="auto"/>
        <w:jc w:val="center"/>
        <w:rPr>
          <w:rFonts w:asciiTheme="majorHAnsi" w:eastAsia="Times New Roman" w:hAnsiTheme="majorHAnsi" w:cstheme="majorHAnsi"/>
          <w:b/>
          <w:sz w:val="24"/>
          <w:szCs w:val="24"/>
          <w:lang w:val="ro-MD"/>
        </w:rPr>
      </w:pPr>
      <w:r w:rsidRPr="00736448">
        <w:rPr>
          <w:rFonts w:asciiTheme="majorHAnsi" w:hAnsiTheme="majorHAnsi" w:cstheme="majorHAnsi"/>
          <w:b/>
          <w:sz w:val="24"/>
          <w:szCs w:val="24"/>
          <w:lang w:val="ro-MD"/>
        </w:rPr>
        <w:t>Dinamica veniturilor bugetului asigurărilor sociale de stat în anii 2018-2022</w:t>
      </w:r>
      <w:r w:rsidRPr="00736448">
        <w:rPr>
          <w:rFonts w:asciiTheme="majorHAnsi" w:eastAsia="Times New Roman" w:hAnsiTheme="majorHAnsi" w:cstheme="majorHAnsi"/>
          <w:b/>
          <w:sz w:val="24"/>
          <w:szCs w:val="24"/>
          <w:lang w:val="ro-MD"/>
        </w:rPr>
        <w:t> (mil. lei)</w:t>
      </w:r>
    </w:p>
    <w:tbl>
      <w:tblPr>
        <w:tblW w:w="14440" w:type="dxa"/>
        <w:tblLook w:val="04A0" w:firstRow="1" w:lastRow="0" w:firstColumn="1" w:lastColumn="0" w:noHBand="0" w:noVBand="1"/>
      </w:tblPr>
      <w:tblGrid>
        <w:gridCol w:w="1008"/>
        <w:gridCol w:w="957"/>
        <w:gridCol w:w="957"/>
        <w:gridCol w:w="957"/>
        <w:gridCol w:w="958"/>
        <w:gridCol w:w="958"/>
        <w:gridCol w:w="954"/>
        <w:gridCol w:w="1116"/>
        <w:gridCol w:w="954"/>
        <w:gridCol w:w="1235"/>
        <w:gridCol w:w="958"/>
        <w:gridCol w:w="1235"/>
        <w:gridCol w:w="958"/>
        <w:gridCol w:w="1235"/>
      </w:tblGrid>
      <w:tr w:rsidR="00036557" w:rsidRPr="00B7675F" w14:paraId="33AB1D28" w14:textId="77777777" w:rsidTr="001871A3">
        <w:trPr>
          <w:trHeight w:val="288"/>
        </w:trPr>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D981E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Indicatori</w:t>
            </w:r>
          </w:p>
        </w:tc>
        <w:tc>
          <w:tcPr>
            <w:tcW w:w="4800"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A5976B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Anii</w:t>
            </w:r>
          </w:p>
        </w:tc>
        <w:tc>
          <w:tcPr>
            <w:tcW w:w="2080" w:type="dxa"/>
            <w:gridSpan w:val="2"/>
            <w:tcBorders>
              <w:top w:val="single" w:sz="8" w:space="0" w:color="auto"/>
              <w:left w:val="nil"/>
              <w:bottom w:val="nil"/>
              <w:right w:val="single" w:sz="8" w:space="0" w:color="000000"/>
            </w:tcBorders>
            <w:shd w:val="clear" w:color="auto" w:fill="auto"/>
            <w:vAlign w:val="center"/>
            <w:hideMark/>
          </w:tcPr>
          <w:p w14:paraId="752B8D9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Devieri</w:t>
            </w:r>
          </w:p>
        </w:tc>
        <w:tc>
          <w:tcPr>
            <w:tcW w:w="2200" w:type="dxa"/>
            <w:gridSpan w:val="2"/>
            <w:tcBorders>
              <w:top w:val="single" w:sz="8" w:space="0" w:color="auto"/>
              <w:left w:val="nil"/>
              <w:bottom w:val="nil"/>
              <w:right w:val="single" w:sz="8" w:space="0" w:color="000000"/>
            </w:tcBorders>
            <w:shd w:val="clear" w:color="auto" w:fill="auto"/>
            <w:vAlign w:val="center"/>
            <w:hideMark/>
          </w:tcPr>
          <w:p w14:paraId="22E2B3A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 xml:space="preserve">Devieri, </w:t>
            </w:r>
          </w:p>
        </w:tc>
        <w:tc>
          <w:tcPr>
            <w:tcW w:w="2200" w:type="dxa"/>
            <w:gridSpan w:val="2"/>
            <w:tcBorders>
              <w:top w:val="single" w:sz="8" w:space="0" w:color="auto"/>
              <w:left w:val="nil"/>
              <w:bottom w:val="nil"/>
              <w:right w:val="single" w:sz="8" w:space="0" w:color="000000"/>
            </w:tcBorders>
            <w:shd w:val="clear" w:color="auto" w:fill="auto"/>
            <w:vAlign w:val="center"/>
            <w:hideMark/>
          </w:tcPr>
          <w:p w14:paraId="6E135F6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 xml:space="preserve">Devieri, </w:t>
            </w:r>
          </w:p>
        </w:tc>
        <w:tc>
          <w:tcPr>
            <w:tcW w:w="2200" w:type="dxa"/>
            <w:gridSpan w:val="2"/>
            <w:tcBorders>
              <w:top w:val="single" w:sz="8" w:space="0" w:color="auto"/>
              <w:left w:val="nil"/>
              <w:bottom w:val="nil"/>
              <w:right w:val="single" w:sz="8" w:space="0" w:color="000000"/>
            </w:tcBorders>
            <w:shd w:val="clear" w:color="auto" w:fill="auto"/>
            <w:vAlign w:val="center"/>
            <w:hideMark/>
          </w:tcPr>
          <w:p w14:paraId="783F68F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 xml:space="preserve">Devieri, </w:t>
            </w:r>
          </w:p>
        </w:tc>
      </w:tr>
      <w:tr w:rsidR="00036557" w:rsidRPr="00B7675F" w14:paraId="5BD981AE" w14:textId="77777777" w:rsidTr="001871A3">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68A5562" w14:textId="77777777" w:rsidR="00036557" w:rsidRPr="00736448" w:rsidRDefault="00036557" w:rsidP="001871A3">
            <w:pPr>
              <w:spacing w:after="0" w:line="240" w:lineRule="auto"/>
              <w:rPr>
                <w:rFonts w:ascii="Calibri Light" w:eastAsia="Times New Roman" w:hAnsi="Calibri Light" w:cs="Calibri Light"/>
                <w:b/>
                <w:bCs/>
                <w:color w:val="000000"/>
                <w:sz w:val="18"/>
                <w:szCs w:val="18"/>
                <w:lang w:val="ro-MD"/>
              </w:rPr>
            </w:pPr>
          </w:p>
        </w:tc>
        <w:tc>
          <w:tcPr>
            <w:tcW w:w="4800" w:type="dxa"/>
            <w:gridSpan w:val="5"/>
            <w:vMerge/>
            <w:tcBorders>
              <w:top w:val="single" w:sz="8" w:space="0" w:color="auto"/>
              <w:left w:val="single" w:sz="8" w:space="0" w:color="auto"/>
              <w:bottom w:val="single" w:sz="8" w:space="0" w:color="000000"/>
              <w:right w:val="single" w:sz="8" w:space="0" w:color="000000"/>
            </w:tcBorders>
            <w:vAlign w:val="center"/>
            <w:hideMark/>
          </w:tcPr>
          <w:p w14:paraId="43FA5FE0" w14:textId="77777777" w:rsidR="00036557" w:rsidRPr="00736448" w:rsidRDefault="00036557" w:rsidP="001871A3">
            <w:pPr>
              <w:spacing w:after="0" w:line="240" w:lineRule="auto"/>
              <w:rPr>
                <w:rFonts w:ascii="Calibri Light" w:eastAsia="Times New Roman" w:hAnsi="Calibri Light" w:cs="Calibri Light"/>
                <w:b/>
                <w:bCs/>
                <w:color w:val="000000"/>
                <w:sz w:val="18"/>
                <w:szCs w:val="18"/>
                <w:lang w:val="ro-MD"/>
              </w:rPr>
            </w:pPr>
          </w:p>
        </w:tc>
        <w:tc>
          <w:tcPr>
            <w:tcW w:w="2080" w:type="dxa"/>
            <w:gridSpan w:val="2"/>
            <w:tcBorders>
              <w:top w:val="nil"/>
              <w:left w:val="nil"/>
              <w:bottom w:val="single" w:sz="8" w:space="0" w:color="auto"/>
              <w:right w:val="single" w:sz="8" w:space="0" w:color="000000"/>
            </w:tcBorders>
            <w:shd w:val="clear" w:color="auto" w:fill="auto"/>
            <w:vAlign w:val="center"/>
            <w:hideMark/>
          </w:tcPr>
          <w:p w14:paraId="773CF4F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2022-2021</w:t>
            </w:r>
          </w:p>
        </w:tc>
        <w:tc>
          <w:tcPr>
            <w:tcW w:w="2200" w:type="dxa"/>
            <w:gridSpan w:val="2"/>
            <w:tcBorders>
              <w:top w:val="nil"/>
              <w:left w:val="nil"/>
              <w:bottom w:val="single" w:sz="8" w:space="0" w:color="auto"/>
              <w:right w:val="single" w:sz="8" w:space="0" w:color="000000"/>
            </w:tcBorders>
            <w:shd w:val="clear" w:color="auto" w:fill="auto"/>
            <w:vAlign w:val="center"/>
            <w:hideMark/>
          </w:tcPr>
          <w:p w14:paraId="788E3A03"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2022-2020</w:t>
            </w:r>
          </w:p>
        </w:tc>
        <w:tc>
          <w:tcPr>
            <w:tcW w:w="2200" w:type="dxa"/>
            <w:gridSpan w:val="2"/>
            <w:tcBorders>
              <w:top w:val="nil"/>
              <w:left w:val="nil"/>
              <w:bottom w:val="single" w:sz="8" w:space="0" w:color="auto"/>
              <w:right w:val="single" w:sz="8" w:space="0" w:color="000000"/>
            </w:tcBorders>
            <w:shd w:val="clear" w:color="auto" w:fill="auto"/>
            <w:vAlign w:val="center"/>
            <w:hideMark/>
          </w:tcPr>
          <w:p w14:paraId="03546B3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2022-2019</w:t>
            </w:r>
          </w:p>
        </w:tc>
        <w:tc>
          <w:tcPr>
            <w:tcW w:w="2200" w:type="dxa"/>
            <w:gridSpan w:val="2"/>
            <w:tcBorders>
              <w:top w:val="nil"/>
              <w:left w:val="nil"/>
              <w:bottom w:val="single" w:sz="8" w:space="0" w:color="auto"/>
              <w:right w:val="single" w:sz="8" w:space="0" w:color="000000"/>
            </w:tcBorders>
            <w:shd w:val="clear" w:color="auto" w:fill="auto"/>
            <w:vAlign w:val="center"/>
            <w:hideMark/>
          </w:tcPr>
          <w:p w14:paraId="58A20CFF"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2022-2018</w:t>
            </w:r>
          </w:p>
        </w:tc>
      </w:tr>
      <w:tr w:rsidR="00036557" w:rsidRPr="00B7675F" w14:paraId="355CF364" w14:textId="77777777" w:rsidTr="001871A3">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4250E865" w14:textId="77777777" w:rsidR="00036557" w:rsidRPr="00736448" w:rsidRDefault="00036557" w:rsidP="001871A3">
            <w:pPr>
              <w:spacing w:after="0" w:line="240" w:lineRule="auto"/>
              <w:rPr>
                <w:rFonts w:ascii="Calibri Light" w:eastAsia="Times New Roman" w:hAnsi="Calibri Light" w:cs="Calibri Light"/>
                <w:b/>
                <w:bCs/>
                <w:color w:val="000000"/>
                <w:sz w:val="18"/>
                <w:szCs w:val="18"/>
                <w:lang w:val="ro-MD"/>
              </w:rPr>
            </w:pPr>
          </w:p>
        </w:tc>
        <w:tc>
          <w:tcPr>
            <w:tcW w:w="960" w:type="dxa"/>
            <w:tcBorders>
              <w:top w:val="nil"/>
              <w:left w:val="nil"/>
              <w:bottom w:val="single" w:sz="8" w:space="0" w:color="auto"/>
              <w:right w:val="single" w:sz="8" w:space="0" w:color="auto"/>
            </w:tcBorders>
            <w:shd w:val="clear" w:color="auto" w:fill="auto"/>
            <w:vAlign w:val="center"/>
            <w:hideMark/>
          </w:tcPr>
          <w:p w14:paraId="34F0520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2018</w:t>
            </w:r>
          </w:p>
        </w:tc>
        <w:tc>
          <w:tcPr>
            <w:tcW w:w="960" w:type="dxa"/>
            <w:tcBorders>
              <w:top w:val="nil"/>
              <w:left w:val="nil"/>
              <w:bottom w:val="single" w:sz="8" w:space="0" w:color="auto"/>
              <w:right w:val="single" w:sz="8" w:space="0" w:color="auto"/>
            </w:tcBorders>
            <w:shd w:val="clear" w:color="auto" w:fill="auto"/>
            <w:vAlign w:val="center"/>
            <w:hideMark/>
          </w:tcPr>
          <w:p w14:paraId="02874FCE"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2019</w:t>
            </w:r>
          </w:p>
        </w:tc>
        <w:tc>
          <w:tcPr>
            <w:tcW w:w="960" w:type="dxa"/>
            <w:tcBorders>
              <w:top w:val="nil"/>
              <w:left w:val="nil"/>
              <w:bottom w:val="single" w:sz="8" w:space="0" w:color="auto"/>
              <w:right w:val="single" w:sz="8" w:space="0" w:color="auto"/>
            </w:tcBorders>
            <w:shd w:val="clear" w:color="auto" w:fill="auto"/>
            <w:vAlign w:val="center"/>
            <w:hideMark/>
          </w:tcPr>
          <w:p w14:paraId="1C0D37F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2020</w:t>
            </w:r>
          </w:p>
        </w:tc>
        <w:tc>
          <w:tcPr>
            <w:tcW w:w="960" w:type="dxa"/>
            <w:tcBorders>
              <w:top w:val="nil"/>
              <w:left w:val="nil"/>
              <w:bottom w:val="single" w:sz="8" w:space="0" w:color="auto"/>
              <w:right w:val="single" w:sz="8" w:space="0" w:color="auto"/>
            </w:tcBorders>
            <w:shd w:val="clear" w:color="auto" w:fill="auto"/>
            <w:vAlign w:val="center"/>
            <w:hideMark/>
          </w:tcPr>
          <w:p w14:paraId="422936C2"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2021</w:t>
            </w:r>
          </w:p>
        </w:tc>
        <w:tc>
          <w:tcPr>
            <w:tcW w:w="960" w:type="dxa"/>
            <w:tcBorders>
              <w:top w:val="nil"/>
              <w:left w:val="nil"/>
              <w:bottom w:val="single" w:sz="8" w:space="0" w:color="auto"/>
              <w:right w:val="single" w:sz="8" w:space="0" w:color="auto"/>
            </w:tcBorders>
            <w:shd w:val="clear" w:color="auto" w:fill="auto"/>
            <w:vAlign w:val="center"/>
            <w:hideMark/>
          </w:tcPr>
          <w:p w14:paraId="42267F2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2022</w:t>
            </w:r>
          </w:p>
        </w:tc>
        <w:tc>
          <w:tcPr>
            <w:tcW w:w="960" w:type="dxa"/>
            <w:tcBorders>
              <w:top w:val="nil"/>
              <w:left w:val="nil"/>
              <w:bottom w:val="single" w:sz="8" w:space="0" w:color="auto"/>
              <w:right w:val="single" w:sz="8" w:space="0" w:color="auto"/>
            </w:tcBorders>
            <w:shd w:val="clear" w:color="auto" w:fill="auto"/>
            <w:vAlign w:val="center"/>
            <w:hideMark/>
          </w:tcPr>
          <w:p w14:paraId="59E8CA5E"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1120" w:type="dxa"/>
            <w:tcBorders>
              <w:top w:val="nil"/>
              <w:left w:val="nil"/>
              <w:bottom w:val="single" w:sz="8" w:space="0" w:color="auto"/>
              <w:right w:val="single" w:sz="8" w:space="0" w:color="auto"/>
            </w:tcBorders>
            <w:shd w:val="clear" w:color="auto" w:fill="auto"/>
            <w:vAlign w:val="center"/>
            <w:hideMark/>
          </w:tcPr>
          <w:p w14:paraId="52A851C3"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960" w:type="dxa"/>
            <w:tcBorders>
              <w:top w:val="nil"/>
              <w:left w:val="nil"/>
              <w:bottom w:val="single" w:sz="8" w:space="0" w:color="auto"/>
              <w:right w:val="single" w:sz="8" w:space="0" w:color="auto"/>
            </w:tcBorders>
            <w:shd w:val="clear" w:color="auto" w:fill="auto"/>
            <w:vAlign w:val="center"/>
            <w:hideMark/>
          </w:tcPr>
          <w:p w14:paraId="1E5588F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1240" w:type="dxa"/>
            <w:tcBorders>
              <w:top w:val="nil"/>
              <w:left w:val="nil"/>
              <w:bottom w:val="single" w:sz="8" w:space="0" w:color="auto"/>
              <w:right w:val="single" w:sz="8" w:space="0" w:color="auto"/>
            </w:tcBorders>
            <w:shd w:val="clear" w:color="auto" w:fill="auto"/>
            <w:vAlign w:val="center"/>
            <w:hideMark/>
          </w:tcPr>
          <w:p w14:paraId="527477D8"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960" w:type="dxa"/>
            <w:tcBorders>
              <w:top w:val="nil"/>
              <w:left w:val="nil"/>
              <w:bottom w:val="single" w:sz="8" w:space="0" w:color="auto"/>
              <w:right w:val="single" w:sz="8" w:space="0" w:color="auto"/>
            </w:tcBorders>
            <w:shd w:val="clear" w:color="auto" w:fill="auto"/>
            <w:vAlign w:val="center"/>
            <w:hideMark/>
          </w:tcPr>
          <w:p w14:paraId="59268CEF"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1240" w:type="dxa"/>
            <w:tcBorders>
              <w:top w:val="nil"/>
              <w:left w:val="nil"/>
              <w:bottom w:val="single" w:sz="8" w:space="0" w:color="auto"/>
              <w:right w:val="single" w:sz="8" w:space="0" w:color="auto"/>
            </w:tcBorders>
            <w:shd w:val="clear" w:color="auto" w:fill="auto"/>
            <w:vAlign w:val="center"/>
            <w:hideMark/>
          </w:tcPr>
          <w:p w14:paraId="36F9832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960" w:type="dxa"/>
            <w:tcBorders>
              <w:top w:val="nil"/>
              <w:left w:val="nil"/>
              <w:bottom w:val="single" w:sz="8" w:space="0" w:color="auto"/>
              <w:right w:val="single" w:sz="8" w:space="0" w:color="auto"/>
            </w:tcBorders>
            <w:shd w:val="clear" w:color="auto" w:fill="auto"/>
            <w:vAlign w:val="center"/>
            <w:hideMark/>
          </w:tcPr>
          <w:p w14:paraId="1D28DF83"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1240" w:type="dxa"/>
            <w:tcBorders>
              <w:top w:val="nil"/>
              <w:left w:val="nil"/>
              <w:bottom w:val="single" w:sz="8" w:space="0" w:color="auto"/>
              <w:right w:val="single" w:sz="8" w:space="0" w:color="auto"/>
            </w:tcBorders>
            <w:shd w:val="clear" w:color="auto" w:fill="auto"/>
            <w:vAlign w:val="center"/>
            <w:hideMark/>
          </w:tcPr>
          <w:p w14:paraId="4413597D"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r>
      <w:tr w:rsidR="00036557" w:rsidRPr="00B7675F" w14:paraId="31729DD5" w14:textId="77777777" w:rsidTr="001871A3">
        <w:trPr>
          <w:trHeight w:val="49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9F21B2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w:t>
            </w:r>
          </w:p>
        </w:tc>
        <w:tc>
          <w:tcPr>
            <w:tcW w:w="960" w:type="dxa"/>
            <w:tcBorders>
              <w:top w:val="nil"/>
              <w:left w:val="nil"/>
              <w:bottom w:val="single" w:sz="8" w:space="0" w:color="auto"/>
              <w:right w:val="single" w:sz="8" w:space="0" w:color="auto"/>
            </w:tcBorders>
            <w:shd w:val="clear" w:color="auto" w:fill="auto"/>
            <w:vAlign w:val="center"/>
            <w:hideMark/>
          </w:tcPr>
          <w:p w14:paraId="68082FC8"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w:t>
            </w:r>
          </w:p>
        </w:tc>
        <w:tc>
          <w:tcPr>
            <w:tcW w:w="960" w:type="dxa"/>
            <w:tcBorders>
              <w:top w:val="nil"/>
              <w:left w:val="nil"/>
              <w:bottom w:val="single" w:sz="8" w:space="0" w:color="auto"/>
              <w:right w:val="single" w:sz="8" w:space="0" w:color="auto"/>
            </w:tcBorders>
            <w:shd w:val="clear" w:color="auto" w:fill="auto"/>
            <w:vAlign w:val="center"/>
            <w:hideMark/>
          </w:tcPr>
          <w:p w14:paraId="1D1E079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w:t>
            </w:r>
          </w:p>
        </w:tc>
        <w:tc>
          <w:tcPr>
            <w:tcW w:w="960" w:type="dxa"/>
            <w:tcBorders>
              <w:top w:val="nil"/>
              <w:left w:val="nil"/>
              <w:bottom w:val="single" w:sz="8" w:space="0" w:color="auto"/>
              <w:right w:val="single" w:sz="8" w:space="0" w:color="auto"/>
            </w:tcBorders>
            <w:shd w:val="clear" w:color="auto" w:fill="auto"/>
            <w:vAlign w:val="center"/>
            <w:hideMark/>
          </w:tcPr>
          <w:p w14:paraId="2415EFF8"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w:t>
            </w:r>
          </w:p>
        </w:tc>
        <w:tc>
          <w:tcPr>
            <w:tcW w:w="960" w:type="dxa"/>
            <w:tcBorders>
              <w:top w:val="nil"/>
              <w:left w:val="nil"/>
              <w:bottom w:val="single" w:sz="8" w:space="0" w:color="auto"/>
              <w:right w:val="single" w:sz="8" w:space="0" w:color="auto"/>
            </w:tcBorders>
            <w:shd w:val="clear" w:color="auto" w:fill="auto"/>
            <w:vAlign w:val="center"/>
            <w:hideMark/>
          </w:tcPr>
          <w:p w14:paraId="78A3B4D6"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5</w:t>
            </w:r>
          </w:p>
        </w:tc>
        <w:tc>
          <w:tcPr>
            <w:tcW w:w="960" w:type="dxa"/>
            <w:tcBorders>
              <w:top w:val="nil"/>
              <w:left w:val="nil"/>
              <w:bottom w:val="single" w:sz="8" w:space="0" w:color="auto"/>
              <w:right w:val="single" w:sz="8" w:space="0" w:color="auto"/>
            </w:tcBorders>
            <w:shd w:val="clear" w:color="auto" w:fill="auto"/>
            <w:vAlign w:val="center"/>
            <w:hideMark/>
          </w:tcPr>
          <w:p w14:paraId="3B5D7B5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6</w:t>
            </w:r>
          </w:p>
        </w:tc>
        <w:tc>
          <w:tcPr>
            <w:tcW w:w="960" w:type="dxa"/>
            <w:tcBorders>
              <w:top w:val="nil"/>
              <w:left w:val="nil"/>
              <w:bottom w:val="single" w:sz="8" w:space="0" w:color="auto"/>
              <w:right w:val="single" w:sz="8" w:space="0" w:color="auto"/>
            </w:tcBorders>
            <w:shd w:val="clear" w:color="auto" w:fill="auto"/>
            <w:vAlign w:val="center"/>
            <w:hideMark/>
          </w:tcPr>
          <w:p w14:paraId="0C518D5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7=6-5</w:t>
            </w:r>
          </w:p>
        </w:tc>
        <w:tc>
          <w:tcPr>
            <w:tcW w:w="1120" w:type="dxa"/>
            <w:tcBorders>
              <w:top w:val="nil"/>
              <w:left w:val="nil"/>
              <w:bottom w:val="single" w:sz="8" w:space="0" w:color="auto"/>
              <w:right w:val="single" w:sz="8" w:space="0" w:color="auto"/>
            </w:tcBorders>
            <w:shd w:val="clear" w:color="auto" w:fill="auto"/>
            <w:vAlign w:val="center"/>
            <w:hideMark/>
          </w:tcPr>
          <w:p w14:paraId="2FA879E2"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8=6*100/5</w:t>
            </w:r>
          </w:p>
        </w:tc>
        <w:tc>
          <w:tcPr>
            <w:tcW w:w="960" w:type="dxa"/>
            <w:tcBorders>
              <w:top w:val="nil"/>
              <w:left w:val="nil"/>
              <w:bottom w:val="single" w:sz="8" w:space="0" w:color="auto"/>
              <w:right w:val="single" w:sz="8" w:space="0" w:color="auto"/>
            </w:tcBorders>
            <w:shd w:val="clear" w:color="auto" w:fill="auto"/>
            <w:vAlign w:val="center"/>
            <w:hideMark/>
          </w:tcPr>
          <w:p w14:paraId="6D5891D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9=6-4</w:t>
            </w:r>
          </w:p>
        </w:tc>
        <w:tc>
          <w:tcPr>
            <w:tcW w:w="1240" w:type="dxa"/>
            <w:tcBorders>
              <w:top w:val="nil"/>
              <w:left w:val="nil"/>
              <w:bottom w:val="single" w:sz="8" w:space="0" w:color="auto"/>
              <w:right w:val="single" w:sz="8" w:space="0" w:color="auto"/>
            </w:tcBorders>
            <w:shd w:val="clear" w:color="auto" w:fill="auto"/>
            <w:vAlign w:val="center"/>
            <w:hideMark/>
          </w:tcPr>
          <w:p w14:paraId="79DEDA0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10=6*100/4</w:t>
            </w:r>
          </w:p>
        </w:tc>
        <w:tc>
          <w:tcPr>
            <w:tcW w:w="960" w:type="dxa"/>
            <w:tcBorders>
              <w:top w:val="nil"/>
              <w:left w:val="nil"/>
              <w:bottom w:val="single" w:sz="8" w:space="0" w:color="auto"/>
              <w:right w:val="single" w:sz="8" w:space="0" w:color="auto"/>
            </w:tcBorders>
            <w:shd w:val="clear" w:color="auto" w:fill="auto"/>
            <w:vAlign w:val="center"/>
            <w:hideMark/>
          </w:tcPr>
          <w:p w14:paraId="755F86AC"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11=6-3</w:t>
            </w:r>
          </w:p>
        </w:tc>
        <w:tc>
          <w:tcPr>
            <w:tcW w:w="1240" w:type="dxa"/>
            <w:tcBorders>
              <w:top w:val="nil"/>
              <w:left w:val="nil"/>
              <w:bottom w:val="single" w:sz="8" w:space="0" w:color="auto"/>
              <w:right w:val="single" w:sz="8" w:space="0" w:color="auto"/>
            </w:tcBorders>
            <w:shd w:val="clear" w:color="auto" w:fill="auto"/>
            <w:vAlign w:val="center"/>
            <w:hideMark/>
          </w:tcPr>
          <w:p w14:paraId="6CBE7AF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12=6*100/3</w:t>
            </w:r>
          </w:p>
        </w:tc>
        <w:tc>
          <w:tcPr>
            <w:tcW w:w="960" w:type="dxa"/>
            <w:tcBorders>
              <w:top w:val="nil"/>
              <w:left w:val="nil"/>
              <w:bottom w:val="single" w:sz="8" w:space="0" w:color="auto"/>
              <w:right w:val="single" w:sz="8" w:space="0" w:color="auto"/>
            </w:tcBorders>
            <w:shd w:val="clear" w:color="auto" w:fill="auto"/>
            <w:vAlign w:val="center"/>
            <w:hideMark/>
          </w:tcPr>
          <w:p w14:paraId="6280CAD2"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13=6-2</w:t>
            </w:r>
          </w:p>
        </w:tc>
        <w:tc>
          <w:tcPr>
            <w:tcW w:w="1240" w:type="dxa"/>
            <w:tcBorders>
              <w:top w:val="nil"/>
              <w:left w:val="nil"/>
              <w:bottom w:val="single" w:sz="8" w:space="0" w:color="auto"/>
              <w:right w:val="single" w:sz="8" w:space="0" w:color="auto"/>
            </w:tcBorders>
            <w:shd w:val="clear" w:color="auto" w:fill="auto"/>
            <w:vAlign w:val="center"/>
            <w:hideMark/>
          </w:tcPr>
          <w:p w14:paraId="01F1B9D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14=6*100/2</w:t>
            </w:r>
          </w:p>
        </w:tc>
      </w:tr>
      <w:tr w:rsidR="00036557" w:rsidRPr="00B7675F" w14:paraId="3025315F" w14:textId="77777777" w:rsidTr="001871A3">
        <w:trPr>
          <w:trHeight w:val="49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51DC77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Venituri precizate</w:t>
            </w:r>
          </w:p>
        </w:tc>
        <w:tc>
          <w:tcPr>
            <w:tcW w:w="960" w:type="dxa"/>
            <w:tcBorders>
              <w:top w:val="nil"/>
              <w:left w:val="nil"/>
              <w:bottom w:val="single" w:sz="8" w:space="0" w:color="auto"/>
              <w:right w:val="single" w:sz="8" w:space="0" w:color="auto"/>
            </w:tcBorders>
            <w:shd w:val="clear" w:color="auto" w:fill="auto"/>
            <w:vAlign w:val="center"/>
            <w:hideMark/>
          </w:tcPr>
          <w:p w14:paraId="327A6EA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19628.90</w:t>
            </w:r>
          </w:p>
        </w:tc>
        <w:tc>
          <w:tcPr>
            <w:tcW w:w="960" w:type="dxa"/>
            <w:tcBorders>
              <w:top w:val="nil"/>
              <w:left w:val="nil"/>
              <w:bottom w:val="single" w:sz="8" w:space="0" w:color="auto"/>
              <w:right w:val="single" w:sz="8" w:space="0" w:color="auto"/>
            </w:tcBorders>
            <w:shd w:val="clear" w:color="auto" w:fill="auto"/>
            <w:vAlign w:val="center"/>
            <w:hideMark/>
          </w:tcPr>
          <w:p w14:paraId="1DF40CF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21869.90</w:t>
            </w:r>
          </w:p>
        </w:tc>
        <w:tc>
          <w:tcPr>
            <w:tcW w:w="960" w:type="dxa"/>
            <w:tcBorders>
              <w:top w:val="nil"/>
              <w:left w:val="nil"/>
              <w:bottom w:val="single" w:sz="8" w:space="0" w:color="auto"/>
              <w:right w:val="single" w:sz="8" w:space="0" w:color="auto"/>
            </w:tcBorders>
            <w:shd w:val="clear" w:color="auto" w:fill="auto"/>
            <w:vAlign w:val="center"/>
            <w:hideMark/>
          </w:tcPr>
          <w:p w14:paraId="36A2CCE1"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24572.10</w:t>
            </w:r>
          </w:p>
        </w:tc>
        <w:tc>
          <w:tcPr>
            <w:tcW w:w="960" w:type="dxa"/>
            <w:tcBorders>
              <w:top w:val="nil"/>
              <w:left w:val="nil"/>
              <w:bottom w:val="single" w:sz="8" w:space="0" w:color="auto"/>
              <w:right w:val="single" w:sz="8" w:space="0" w:color="auto"/>
            </w:tcBorders>
            <w:shd w:val="clear" w:color="auto" w:fill="auto"/>
            <w:vAlign w:val="center"/>
            <w:hideMark/>
          </w:tcPr>
          <w:p w14:paraId="1E9AA97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27629.04</w:t>
            </w:r>
          </w:p>
        </w:tc>
        <w:tc>
          <w:tcPr>
            <w:tcW w:w="960" w:type="dxa"/>
            <w:tcBorders>
              <w:top w:val="nil"/>
              <w:left w:val="nil"/>
              <w:bottom w:val="single" w:sz="8" w:space="0" w:color="auto"/>
              <w:right w:val="single" w:sz="8" w:space="0" w:color="auto"/>
            </w:tcBorders>
            <w:shd w:val="clear" w:color="auto" w:fill="auto"/>
            <w:vAlign w:val="center"/>
            <w:hideMark/>
          </w:tcPr>
          <w:p w14:paraId="2E63BF8D"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34200.58</w:t>
            </w:r>
          </w:p>
        </w:tc>
        <w:tc>
          <w:tcPr>
            <w:tcW w:w="960" w:type="dxa"/>
            <w:tcBorders>
              <w:top w:val="nil"/>
              <w:left w:val="nil"/>
              <w:bottom w:val="single" w:sz="8" w:space="0" w:color="auto"/>
              <w:right w:val="single" w:sz="8" w:space="0" w:color="auto"/>
            </w:tcBorders>
            <w:shd w:val="clear" w:color="auto" w:fill="auto"/>
            <w:vAlign w:val="center"/>
            <w:hideMark/>
          </w:tcPr>
          <w:p w14:paraId="43B85A1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6571.54</w:t>
            </w:r>
          </w:p>
        </w:tc>
        <w:tc>
          <w:tcPr>
            <w:tcW w:w="1120" w:type="dxa"/>
            <w:tcBorders>
              <w:top w:val="nil"/>
              <w:left w:val="nil"/>
              <w:bottom w:val="single" w:sz="8" w:space="0" w:color="auto"/>
              <w:right w:val="single" w:sz="8" w:space="0" w:color="auto"/>
            </w:tcBorders>
            <w:shd w:val="clear" w:color="auto" w:fill="auto"/>
            <w:vAlign w:val="center"/>
            <w:hideMark/>
          </w:tcPr>
          <w:p w14:paraId="1265045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123.78</w:t>
            </w:r>
          </w:p>
        </w:tc>
        <w:tc>
          <w:tcPr>
            <w:tcW w:w="960" w:type="dxa"/>
            <w:tcBorders>
              <w:top w:val="nil"/>
              <w:left w:val="nil"/>
              <w:bottom w:val="single" w:sz="8" w:space="0" w:color="auto"/>
              <w:right w:val="single" w:sz="8" w:space="0" w:color="auto"/>
            </w:tcBorders>
            <w:shd w:val="clear" w:color="auto" w:fill="auto"/>
            <w:vAlign w:val="center"/>
            <w:hideMark/>
          </w:tcPr>
          <w:p w14:paraId="48644B3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9628.48</w:t>
            </w:r>
          </w:p>
        </w:tc>
        <w:tc>
          <w:tcPr>
            <w:tcW w:w="1240" w:type="dxa"/>
            <w:tcBorders>
              <w:top w:val="nil"/>
              <w:left w:val="nil"/>
              <w:bottom w:val="single" w:sz="8" w:space="0" w:color="auto"/>
              <w:right w:val="single" w:sz="8" w:space="0" w:color="auto"/>
            </w:tcBorders>
            <w:shd w:val="clear" w:color="auto" w:fill="auto"/>
            <w:vAlign w:val="center"/>
            <w:hideMark/>
          </w:tcPr>
          <w:p w14:paraId="4AA6F72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139.18</w:t>
            </w:r>
          </w:p>
        </w:tc>
        <w:tc>
          <w:tcPr>
            <w:tcW w:w="960" w:type="dxa"/>
            <w:tcBorders>
              <w:top w:val="nil"/>
              <w:left w:val="nil"/>
              <w:bottom w:val="single" w:sz="8" w:space="0" w:color="auto"/>
              <w:right w:val="single" w:sz="8" w:space="0" w:color="auto"/>
            </w:tcBorders>
            <w:shd w:val="clear" w:color="auto" w:fill="auto"/>
            <w:vAlign w:val="center"/>
            <w:hideMark/>
          </w:tcPr>
          <w:p w14:paraId="0264F33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12330.68</w:t>
            </w:r>
          </w:p>
        </w:tc>
        <w:tc>
          <w:tcPr>
            <w:tcW w:w="1240" w:type="dxa"/>
            <w:tcBorders>
              <w:top w:val="nil"/>
              <w:left w:val="nil"/>
              <w:bottom w:val="single" w:sz="8" w:space="0" w:color="auto"/>
              <w:right w:val="single" w:sz="8" w:space="0" w:color="auto"/>
            </w:tcBorders>
            <w:shd w:val="clear" w:color="auto" w:fill="auto"/>
            <w:vAlign w:val="center"/>
            <w:hideMark/>
          </w:tcPr>
          <w:p w14:paraId="75D2EFC6"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156.38</w:t>
            </w:r>
          </w:p>
        </w:tc>
        <w:tc>
          <w:tcPr>
            <w:tcW w:w="960" w:type="dxa"/>
            <w:tcBorders>
              <w:top w:val="nil"/>
              <w:left w:val="nil"/>
              <w:bottom w:val="single" w:sz="8" w:space="0" w:color="auto"/>
              <w:right w:val="single" w:sz="8" w:space="0" w:color="auto"/>
            </w:tcBorders>
            <w:shd w:val="clear" w:color="auto" w:fill="auto"/>
            <w:vAlign w:val="center"/>
            <w:hideMark/>
          </w:tcPr>
          <w:p w14:paraId="38456FA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14571.68</w:t>
            </w:r>
          </w:p>
        </w:tc>
        <w:tc>
          <w:tcPr>
            <w:tcW w:w="1240" w:type="dxa"/>
            <w:tcBorders>
              <w:top w:val="nil"/>
              <w:left w:val="nil"/>
              <w:bottom w:val="single" w:sz="8" w:space="0" w:color="auto"/>
              <w:right w:val="single" w:sz="8" w:space="0" w:color="auto"/>
            </w:tcBorders>
            <w:shd w:val="clear" w:color="auto" w:fill="auto"/>
            <w:vAlign w:val="center"/>
            <w:hideMark/>
          </w:tcPr>
          <w:p w14:paraId="5AD81EDF"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174.24</w:t>
            </w:r>
          </w:p>
        </w:tc>
      </w:tr>
      <w:tr w:rsidR="00036557" w:rsidRPr="00B7675F" w14:paraId="18FDF384" w14:textId="77777777" w:rsidTr="001871A3">
        <w:trPr>
          <w:trHeight w:val="73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1DE3D39E"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Venituri executate, inclusiv:</w:t>
            </w:r>
          </w:p>
        </w:tc>
        <w:tc>
          <w:tcPr>
            <w:tcW w:w="960" w:type="dxa"/>
            <w:tcBorders>
              <w:top w:val="nil"/>
              <w:left w:val="nil"/>
              <w:bottom w:val="single" w:sz="8" w:space="0" w:color="auto"/>
              <w:right w:val="single" w:sz="8" w:space="0" w:color="auto"/>
            </w:tcBorders>
            <w:shd w:val="clear" w:color="auto" w:fill="auto"/>
            <w:vAlign w:val="center"/>
            <w:hideMark/>
          </w:tcPr>
          <w:p w14:paraId="483A208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19790.30</w:t>
            </w:r>
          </w:p>
        </w:tc>
        <w:tc>
          <w:tcPr>
            <w:tcW w:w="960" w:type="dxa"/>
            <w:tcBorders>
              <w:top w:val="nil"/>
              <w:left w:val="nil"/>
              <w:bottom w:val="single" w:sz="8" w:space="0" w:color="auto"/>
              <w:right w:val="single" w:sz="8" w:space="0" w:color="auto"/>
            </w:tcBorders>
            <w:shd w:val="clear" w:color="auto" w:fill="auto"/>
            <w:vAlign w:val="center"/>
            <w:hideMark/>
          </w:tcPr>
          <w:p w14:paraId="78FEA37F"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21748.40</w:t>
            </w:r>
          </w:p>
        </w:tc>
        <w:tc>
          <w:tcPr>
            <w:tcW w:w="960" w:type="dxa"/>
            <w:tcBorders>
              <w:top w:val="nil"/>
              <w:left w:val="nil"/>
              <w:bottom w:val="single" w:sz="8" w:space="0" w:color="auto"/>
              <w:right w:val="single" w:sz="8" w:space="0" w:color="auto"/>
            </w:tcBorders>
            <w:shd w:val="clear" w:color="auto" w:fill="auto"/>
            <w:vAlign w:val="center"/>
            <w:hideMark/>
          </w:tcPr>
          <w:p w14:paraId="5BD331C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24285.50</w:t>
            </w:r>
          </w:p>
        </w:tc>
        <w:tc>
          <w:tcPr>
            <w:tcW w:w="960" w:type="dxa"/>
            <w:tcBorders>
              <w:top w:val="nil"/>
              <w:left w:val="nil"/>
              <w:bottom w:val="single" w:sz="8" w:space="0" w:color="auto"/>
              <w:right w:val="single" w:sz="8" w:space="0" w:color="auto"/>
            </w:tcBorders>
            <w:shd w:val="clear" w:color="auto" w:fill="auto"/>
            <w:vAlign w:val="center"/>
            <w:hideMark/>
          </w:tcPr>
          <w:p w14:paraId="502975D6"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27246.80</w:t>
            </w:r>
          </w:p>
        </w:tc>
        <w:tc>
          <w:tcPr>
            <w:tcW w:w="960" w:type="dxa"/>
            <w:tcBorders>
              <w:top w:val="nil"/>
              <w:left w:val="nil"/>
              <w:bottom w:val="single" w:sz="8" w:space="0" w:color="auto"/>
              <w:right w:val="single" w:sz="8" w:space="0" w:color="auto"/>
            </w:tcBorders>
            <w:shd w:val="clear" w:color="auto" w:fill="auto"/>
            <w:vAlign w:val="center"/>
            <w:hideMark/>
          </w:tcPr>
          <w:p w14:paraId="619A64B6"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33796.07</w:t>
            </w:r>
          </w:p>
        </w:tc>
        <w:tc>
          <w:tcPr>
            <w:tcW w:w="960" w:type="dxa"/>
            <w:tcBorders>
              <w:top w:val="nil"/>
              <w:left w:val="nil"/>
              <w:bottom w:val="single" w:sz="8" w:space="0" w:color="auto"/>
              <w:right w:val="single" w:sz="8" w:space="0" w:color="auto"/>
            </w:tcBorders>
            <w:shd w:val="clear" w:color="auto" w:fill="auto"/>
            <w:vAlign w:val="center"/>
            <w:hideMark/>
          </w:tcPr>
          <w:p w14:paraId="7B168F6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6549.22</w:t>
            </w:r>
          </w:p>
        </w:tc>
        <w:tc>
          <w:tcPr>
            <w:tcW w:w="1120" w:type="dxa"/>
            <w:tcBorders>
              <w:top w:val="nil"/>
              <w:left w:val="nil"/>
              <w:bottom w:val="single" w:sz="8" w:space="0" w:color="auto"/>
              <w:right w:val="single" w:sz="8" w:space="0" w:color="auto"/>
            </w:tcBorders>
            <w:shd w:val="clear" w:color="auto" w:fill="auto"/>
            <w:vAlign w:val="center"/>
            <w:hideMark/>
          </w:tcPr>
          <w:p w14:paraId="2B876058"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124.04</w:t>
            </w:r>
          </w:p>
        </w:tc>
        <w:tc>
          <w:tcPr>
            <w:tcW w:w="960" w:type="dxa"/>
            <w:tcBorders>
              <w:top w:val="nil"/>
              <w:left w:val="nil"/>
              <w:bottom w:val="single" w:sz="8" w:space="0" w:color="auto"/>
              <w:right w:val="single" w:sz="8" w:space="0" w:color="auto"/>
            </w:tcBorders>
            <w:shd w:val="clear" w:color="auto" w:fill="auto"/>
            <w:vAlign w:val="center"/>
            <w:hideMark/>
          </w:tcPr>
          <w:p w14:paraId="0387DD3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9510.57</w:t>
            </w:r>
          </w:p>
        </w:tc>
        <w:tc>
          <w:tcPr>
            <w:tcW w:w="1240" w:type="dxa"/>
            <w:tcBorders>
              <w:top w:val="nil"/>
              <w:left w:val="nil"/>
              <w:bottom w:val="single" w:sz="8" w:space="0" w:color="auto"/>
              <w:right w:val="single" w:sz="8" w:space="0" w:color="auto"/>
            </w:tcBorders>
            <w:shd w:val="clear" w:color="auto" w:fill="auto"/>
            <w:vAlign w:val="center"/>
            <w:hideMark/>
          </w:tcPr>
          <w:p w14:paraId="0E3E919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139.16</w:t>
            </w:r>
          </w:p>
        </w:tc>
        <w:tc>
          <w:tcPr>
            <w:tcW w:w="960" w:type="dxa"/>
            <w:tcBorders>
              <w:top w:val="nil"/>
              <w:left w:val="nil"/>
              <w:bottom w:val="single" w:sz="8" w:space="0" w:color="auto"/>
              <w:right w:val="single" w:sz="8" w:space="0" w:color="auto"/>
            </w:tcBorders>
            <w:shd w:val="clear" w:color="auto" w:fill="auto"/>
            <w:vAlign w:val="center"/>
            <w:hideMark/>
          </w:tcPr>
          <w:p w14:paraId="116475C6"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12047.67</w:t>
            </w:r>
          </w:p>
        </w:tc>
        <w:tc>
          <w:tcPr>
            <w:tcW w:w="1240" w:type="dxa"/>
            <w:tcBorders>
              <w:top w:val="nil"/>
              <w:left w:val="nil"/>
              <w:bottom w:val="single" w:sz="8" w:space="0" w:color="auto"/>
              <w:right w:val="single" w:sz="8" w:space="0" w:color="auto"/>
            </w:tcBorders>
            <w:shd w:val="clear" w:color="auto" w:fill="auto"/>
            <w:vAlign w:val="center"/>
            <w:hideMark/>
          </w:tcPr>
          <w:p w14:paraId="5606E29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155.40</w:t>
            </w:r>
          </w:p>
        </w:tc>
        <w:tc>
          <w:tcPr>
            <w:tcW w:w="960" w:type="dxa"/>
            <w:tcBorders>
              <w:top w:val="nil"/>
              <w:left w:val="nil"/>
              <w:bottom w:val="single" w:sz="8" w:space="0" w:color="auto"/>
              <w:right w:val="single" w:sz="8" w:space="0" w:color="auto"/>
            </w:tcBorders>
            <w:shd w:val="clear" w:color="auto" w:fill="auto"/>
            <w:vAlign w:val="center"/>
            <w:hideMark/>
          </w:tcPr>
          <w:p w14:paraId="612F23B3"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14005.77</w:t>
            </w:r>
          </w:p>
        </w:tc>
        <w:tc>
          <w:tcPr>
            <w:tcW w:w="1240" w:type="dxa"/>
            <w:tcBorders>
              <w:top w:val="nil"/>
              <w:left w:val="nil"/>
              <w:bottom w:val="single" w:sz="8" w:space="0" w:color="auto"/>
              <w:right w:val="single" w:sz="8" w:space="0" w:color="auto"/>
            </w:tcBorders>
            <w:shd w:val="clear" w:color="auto" w:fill="auto"/>
            <w:vAlign w:val="center"/>
            <w:hideMark/>
          </w:tcPr>
          <w:p w14:paraId="6879855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170.77</w:t>
            </w:r>
          </w:p>
        </w:tc>
      </w:tr>
      <w:tr w:rsidR="00036557" w:rsidRPr="00B7675F" w14:paraId="0519E4B8" w14:textId="77777777" w:rsidTr="001871A3">
        <w:trPr>
          <w:trHeight w:val="1395"/>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173C14E" w14:textId="77777777" w:rsidR="00036557" w:rsidRPr="00736448" w:rsidRDefault="00036557" w:rsidP="001871A3">
            <w:pPr>
              <w:spacing w:after="0" w:line="240" w:lineRule="auto"/>
              <w:jc w:val="both"/>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Contribuții şi prime de asigurări sociale de stat obligatorii</w:t>
            </w:r>
          </w:p>
        </w:tc>
        <w:tc>
          <w:tcPr>
            <w:tcW w:w="960" w:type="dxa"/>
            <w:tcBorders>
              <w:top w:val="nil"/>
              <w:left w:val="nil"/>
              <w:bottom w:val="single" w:sz="8" w:space="0" w:color="auto"/>
              <w:right w:val="single" w:sz="8" w:space="0" w:color="auto"/>
            </w:tcBorders>
            <w:shd w:val="clear" w:color="auto" w:fill="auto"/>
            <w:vAlign w:val="center"/>
            <w:hideMark/>
          </w:tcPr>
          <w:p w14:paraId="30CBA993"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13037.90</w:t>
            </w:r>
          </w:p>
        </w:tc>
        <w:tc>
          <w:tcPr>
            <w:tcW w:w="960" w:type="dxa"/>
            <w:tcBorders>
              <w:top w:val="nil"/>
              <w:left w:val="nil"/>
              <w:bottom w:val="single" w:sz="8" w:space="0" w:color="auto"/>
              <w:right w:val="single" w:sz="8" w:space="0" w:color="auto"/>
            </w:tcBorders>
            <w:shd w:val="clear" w:color="auto" w:fill="auto"/>
            <w:vAlign w:val="center"/>
            <w:hideMark/>
          </w:tcPr>
          <w:p w14:paraId="103536E2"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13635.60</w:t>
            </w:r>
          </w:p>
        </w:tc>
        <w:tc>
          <w:tcPr>
            <w:tcW w:w="960" w:type="dxa"/>
            <w:tcBorders>
              <w:top w:val="nil"/>
              <w:left w:val="nil"/>
              <w:bottom w:val="single" w:sz="8" w:space="0" w:color="auto"/>
              <w:right w:val="single" w:sz="8" w:space="0" w:color="auto"/>
            </w:tcBorders>
            <w:shd w:val="clear" w:color="auto" w:fill="auto"/>
            <w:vAlign w:val="center"/>
            <w:hideMark/>
          </w:tcPr>
          <w:p w14:paraId="648744B5"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14295.40</w:t>
            </w:r>
          </w:p>
        </w:tc>
        <w:tc>
          <w:tcPr>
            <w:tcW w:w="960" w:type="dxa"/>
            <w:tcBorders>
              <w:top w:val="nil"/>
              <w:left w:val="nil"/>
              <w:bottom w:val="single" w:sz="8" w:space="0" w:color="auto"/>
              <w:right w:val="single" w:sz="8" w:space="0" w:color="auto"/>
            </w:tcBorders>
            <w:shd w:val="clear" w:color="auto" w:fill="auto"/>
            <w:vAlign w:val="center"/>
            <w:hideMark/>
          </w:tcPr>
          <w:p w14:paraId="3463ADF8"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16223.90</w:t>
            </w:r>
          </w:p>
        </w:tc>
        <w:tc>
          <w:tcPr>
            <w:tcW w:w="960" w:type="dxa"/>
            <w:tcBorders>
              <w:top w:val="nil"/>
              <w:left w:val="nil"/>
              <w:bottom w:val="single" w:sz="8" w:space="0" w:color="auto"/>
              <w:right w:val="single" w:sz="8" w:space="0" w:color="auto"/>
            </w:tcBorders>
            <w:shd w:val="clear" w:color="auto" w:fill="auto"/>
            <w:vAlign w:val="center"/>
            <w:hideMark/>
          </w:tcPr>
          <w:p w14:paraId="6F15D13E"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18573.34</w:t>
            </w:r>
          </w:p>
        </w:tc>
        <w:tc>
          <w:tcPr>
            <w:tcW w:w="960" w:type="dxa"/>
            <w:tcBorders>
              <w:top w:val="nil"/>
              <w:left w:val="nil"/>
              <w:bottom w:val="single" w:sz="8" w:space="0" w:color="auto"/>
              <w:right w:val="single" w:sz="8" w:space="0" w:color="auto"/>
            </w:tcBorders>
            <w:shd w:val="clear" w:color="auto" w:fill="auto"/>
            <w:vAlign w:val="center"/>
            <w:hideMark/>
          </w:tcPr>
          <w:p w14:paraId="330922AC"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2349.44</w:t>
            </w:r>
          </w:p>
        </w:tc>
        <w:tc>
          <w:tcPr>
            <w:tcW w:w="1120" w:type="dxa"/>
            <w:tcBorders>
              <w:top w:val="nil"/>
              <w:left w:val="nil"/>
              <w:bottom w:val="single" w:sz="8" w:space="0" w:color="auto"/>
              <w:right w:val="single" w:sz="8" w:space="0" w:color="auto"/>
            </w:tcBorders>
            <w:shd w:val="clear" w:color="auto" w:fill="auto"/>
            <w:vAlign w:val="center"/>
            <w:hideMark/>
          </w:tcPr>
          <w:p w14:paraId="0083F0BD"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114.48</w:t>
            </w:r>
          </w:p>
        </w:tc>
        <w:tc>
          <w:tcPr>
            <w:tcW w:w="960" w:type="dxa"/>
            <w:tcBorders>
              <w:top w:val="nil"/>
              <w:left w:val="nil"/>
              <w:bottom w:val="single" w:sz="8" w:space="0" w:color="auto"/>
              <w:right w:val="single" w:sz="8" w:space="0" w:color="auto"/>
            </w:tcBorders>
            <w:shd w:val="clear" w:color="auto" w:fill="auto"/>
            <w:vAlign w:val="center"/>
            <w:hideMark/>
          </w:tcPr>
          <w:p w14:paraId="60B7246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4277.94</w:t>
            </w:r>
          </w:p>
        </w:tc>
        <w:tc>
          <w:tcPr>
            <w:tcW w:w="1240" w:type="dxa"/>
            <w:tcBorders>
              <w:top w:val="nil"/>
              <w:left w:val="nil"/>
              <w:bottom w:val="single" w:sz="8" w:space="0" w:color="auto"/>
              <w:right w:val="single" w:sz="8" w:space="0" w:color="auto"/>
            </w:tcBorders>
            <w:shd w:val="clear" w:color="auto" w:fill="auto"/>
            <w:vAlign w:val="center"/>
            <w:hideMark/>
          </w:tcPr>
          <w:p w14:paraId="6CFB6D0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129.93</w:t>
            </w:r>
          </w:p>
        </w:tc>
        <w:tc>
          <w:tcPr>
            <w:tcW w:w="960" w:type="dxa"/>
            <w:tcBorders>
              <w:top w:val="nil"/>
              <w:left w:val="nil"/>
              <w:bottom w:val="single" w:sz="8" w:space="0" w:color="auto"/>
              <w:right w:val="single" w:sz="8" w:space="0" w:color="auto"/>
            </w:tcBorders>
            <w:shd w:val="clear" w:color="auto" w:fill="auto"/>
            <w:vAlign w:val="center"/>
            <w:hideMark/>
          </w:tcPr>
          <w:p w14:paraId="0492E8BC"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4937.74</w:t>
            </w:r>
          </w:p>
        </w:tc>
        <w:tc>
          <w:tcPr>
            <w:tcW w:w="1240" w:type="dxa"/>
            <w:tcBorders>
              <w:top w:val="nil"/>
              <w:left w:val="nil"/>
              <w:bottom w:val="single" w:sz="8" w:space="0" w:color="auto"/>
              <w:right w:val="single" w:sz="8" w:space="0" w:color="auto"/>
            </w:tcBorders>
            <w:shd w:val="clear" w:color="auto" w:fill="auto"/>
            <w:vAlign w:val="center"/>
            <w:hideMark/>
          </w:tcPr>
          <w:p w14:paraId="12F72E8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136.21</w:t>
            </w:r>
          </w:p>
        </w:tc>
        <w:tc>
          <w:tcPr>
            <w:tcW w:w="960" w:type="dxa"/>
            <w:tcBorders>
              <w:top w:val="nil"/>
              <w:left w:val="nil"/>
              <w:bottom w:val="single" w:sz="8" w:space="0" w:color="auto"/>
              <w:right w:val="single" w:sz="8" w:space="0" w:color="auto"/>
            </w:tcBorders>
            <w:shd w:val="clear" w:color="auto" w:fill="auto"/>
            <w:vAlign w:val="center"/>
            <w:hideMark/>
          </w:tcPr>
          <w:p w14:paraId="2FC05CF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5535.44</w:t>
            </w:r>
          </w:p>
        </w:tc>
        <w:tc>
          <w:tcPr>
            <w:tcW w:w="1240" w:type="dxa"/>
            <w:tcBorders>
              <w:top w:val="nil"/>
              <w:left w:val="nil"/>
              <w:bottom w:val="single" w:sz="8" w:space="0" w:color="auto"/>
              <w:right w:val="single" w:sz="8" w:space="0" w:color="auto"/>
            </w:tcBorders>
            <w:shd w:val="clear" w:color="auto" w:fill="auto"/>
            <w:vAlign w:val="center"/>
            <w:hideMark/>
          </w:tcPr>
          <w:p w14:paraId="01BB2F8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142.46</w:t>
            </w:r>
          </w:p>
        </w:tc>
      </w:tr>
      <w:tr w:rsidR="00036557" w:rsidRPr="00B7675F" w14:paraId="1E7C6556" w14:textId="77777777" w:rsidTr="001871A3">
        <w:trPr>
          <w:trHeight w:val="492"/>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4D68288F" w14:textId="77777777" w:rsidR="00036557" w:rsidRPr="00736448" w:rsidRDefault="00036557" w:rsidP="001871A3">
            <w:pPr>
              <w:spacing w:after="0" w:line="240" w:lineRule="auto"/>
              <w:jc w:val="both"/>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Alte venituri</w:t>
            </w:r>
          </w:p>
        </w:tc>
        <w:tc>
          <w:tcPr>
            <w:tcW w:w="960" w:type="dxa"/>
            <w:tcBorders>
              <w:top w:val="nil"/>
              <w:left w:val="nil"/>
              <w:bottom w:val="single" w:sz="8" w:space="0" w:color="auto"/>
              <w:right w:val="single" w:sz="8" w:space="0" w:color="auto"/>
            </w:tcBorders>
            <w:shd w:val="clear" w:color="auto" w:fill="auto"/>
            <w:vAlign w:val="center"/>
            <w:hideMark/>
          </w:tcPr>
          <w:p w14:paraId="2FE8CBE2"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82.10</w:t>
            </w:r>
          </w:p>
        </w:tc>
        <w:tc>
          <w:tcPr>
            <w:tcW w:w="960" w:type="dxa"/>
            <w:tcBorders>
              <w:top w:val="nil"/>
              <w:left w:val="nil"/>
              <w:bottom w:val="single" w:sz="8" w:space="0" w:color="auto"/>
              <w:right w:val="single" w:sz="8" w:space="0" w:color="auto"/>
            </w:tcBorders>
            <w:shd w:val="clear" w:color="auto" w:fill="auto"/>
            <w:vAlign w:val="center"/>
            <w:hideMark/>
          </w:tcPr>
          <w:p w14:paraId="10E274C5"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155.60</w:t>
            </w:r>
          </w:p>
        </w:tc>
        <w:tc>
          <w:tcPr>
            <w:tcW w:w="960" w:type="dxa"/>
            <w:tcBorders>
              <w:top w:val="nil"/>
              <w:left w:val="nil"/>
              <w:bottom w:val="single" w:sz="8" w:space="0" w:color="auto"/>
              <w:right w:val="single" w:sz="8" w:space="0" w:color="auto"/>
            </w:tcBorders>
            <w:shd w:val="clear" w:color="auto" w:fill="auto"/>
            <w:vAlign w:val="center"/>
            <w:hideMark/>
          </w:tcPr>
          <w:p w14:paraId="5AA670F9"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220.80</w:t>
            </w:r>
          </w:p>
        </w:tc>
        <w:tc>
          <w:tcPr>
            <w:tcW w:w="960" w:type="dxa"/>
            <w:tcBorders>
              <w:top w:val="nil"/>
              <w:left w:val="nil"/>
              <w:bottom w:val="single" w:sz="8" w:space="0" w:color="auto"/>
              <w:right w:val="single" w:sz="8" w:space="0" w:color="auto"/>
            </w:tcBorders>
            <w:shd w:val="clear" w:color="auto" w:fill="auto"/>
            <w:vAlign w:val="center"/>
            <w:hideMark/>
          </w:tcPr>
          <w:p w14:paraId="3E48DE45"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298.30</w:t>
            </w:r>
          </w:p>
        </w:tc>
        <w:tc>
          <w:tcPr>
            <w:tcW w:w="960" w:type="dxa"/>
            <w:tcBorders>
              <w:top w:val="nil"/>
              <w:left w:val="nil"/>
              <w:bottom w:val="single" w:sz="8" w:space="0" w:color="auto"/>
              <w:right w:val="single" w:sz="8" w:space="0" w:color="auto"/>
            </w:tcBorders>
            <w:shd w:val="clear" w:color="auto" w:fill="auto"/>
            <w:vAlign w:val="center"/>
            <w:hideMark/>
          </w:tcPr>
          <w:p w14:paraId="0C83C06E"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428.70</w:t>
            </w:r>
          </w:p>
        </w:tc>
        <w:tc>
          <w:tcPr>
            <w:tcW w:w="960" w:type="dxa"/>
            <w:tcBorders>
              <w:top w:val="nil"/>
              <w:left w:val="nil"/>
              <w:bottom w:val="single" w:sz="8" w:space="0" w:color="auto"/>
              <w:right w:val="single" w:sz="8" w:space="0" w:color="auto"/>
            </w:tcBorders>
            <w:shd w:val="clear" w:color="auto" w:fill="auto"/>
            <w:vAlign w:val="center"/>
            <w:hideMark/>
          </w:tcPr>
          <w:p w14:paraId="3579FAC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130.4</w:t>
            </w:r>
          </w:p>
        </w:tc>
        <w:tc>
          <w:tcPr>
            <w:tcW w:w="1120" w:type="dxa"/>
            <w:tcBorders>
              <w:top w:val="nil"/>
              <w:left w:val="nil"/>
              <w:bottom w:val="single" w:sz="8" w:space="0" w:color="auto"/>
              <w:right w:val="single" w:sz="8" w:space="0" w:color="auto"/>
            </w:tcBorders>
            <w:shd w:val="clear" w:color="auto" w:fill="auto"/>
            <w:vAlign w:val="center"/>
            <w:hideMark/>
          </w:tcPr>
          <w:p w14:paraId="239579D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143.71</w:t>
            </w:r>
          </w:p>
        </w:tc>
        <w:tc>
          <w:tcPr>
            <w:tcW w:w="960" w:type="dxa"/>
            <w:tcBorders>
              <w:top w:val="nil"/>
              <w:left w:val="nil"/>
              <w:bottom w:val="single" w:sz="8" w:space="0" w:color="auto"/>
              <w:right w:val="single" w:sz="8" w:space="0" w:color="auto"/>
            </w:tcBorders>
            <w:shd w:val="clear" w:color="auto" w:fill="auto"/>
            <w:vAlign w:val="center"/>
            <w:hideMark/>
          </w:tcPr>
          <w:p w14:paraId="386FB14D"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207.90</w:t>
            </w:r>
          </w:p>
        </w:tc>
        <w:tc>
          <w:tcPr>
            <w:tcW w:w="1240" w:type="dxa"/>
            <w:tcBorders>
              <w:top w:val="nil"/>
              <w:left w:val="nil"/>
              <w:bottom w:val="single" w:sz="8" w:space="0" w:color="auto"/>
              <w:right w:val="single" w:sz="8" w:space="0" w:color="auto"/>
            </w:tcBorders>
            <w:shd w:val="clear" w:color="auto" w:fill="auto"/>
            <w:vAlign w:val="center"/>
            <w:hideMark/>
          </w:tcPr>
          <w:p w14:paraId="2FF1B768"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194.16</w:t>
            </w:r>
          </w:p>
        </w:tc>
        <w:tc>
          <w:tcPr>
            <w:tcW w:w="960" w:type="dxa"/>
            <w:tcBorders>
              <w:top w:val="nil"/>
              <w:left w:val="nil"/>
              <w:bottom w:val="single" w:sz="8" w:space="0" w:color="auto"/>
              <w:right w:val="single" w:sz="8" w:space="0" w:color="auto"/>
            </w:tcBorders>
            <w:shd w:val="clear" w:color="auto" w:fill="auto"/>
            <w:vAlign w:val="center"/>
            <w:hideMark/>
          </w:tcPr>
          <w:p w14:paraId="6715E1D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273.10</w:t>
            </w:r>
          </w:p>
        </w:tc>
        <w:tc>
          <w:tcPr>
            <w:tcW w:w="1240" w:type="dxa"/>
            <w:tcBorders>
              <w:top w:val="nil"/>
              <w:left w:val="nil"/>
              <w:bottom w:val="single" w:sz="8" w:space="0" w:color="auto"/>
              <w:right w:val="single" w:sz="8" w:space="0" w:color="auto"/>
            </w:tcBorders>
            <w:shd w:val="clear" w:color="auto" w:fill="auto"/>
            <w:vAlign w:val="center"/>
            <w:hideMark/>
          </w:tcPr>
          <w:p w14:paraId="4D865690"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275.51</w:t>
            </w:r>
          </w:p>
        </w:tc>
        <w:tc>
          <w:tcPr>
            <w:tcW w:w="960" w:type="dxa"/>
            <w:tcBorders>
              <w:top w:val="nil"/>
              <w:left w:val="nil"/>
              <w:bottom w:val="single" w:sz="8" w:space="0" w:color="auto"/>
              <w:right w:val="single" w:sz="8" w:space="0" w:color="auto"/>
            </w:tcBorders>
            <w:shd w:val="clear" w:color="auto" w:fill="auto"/>
            <w:vAlign w:val="center"/>
            <w:hideMark/>
          </w:tcPr>
          <w:p w14:paraId="35B3C182"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346.60</w:t>
            </w:r>
          </w:p>
        </w:tc>
        <w:tc>
          <w:tcPr>
            <w:tcW w:w="1240" w:type="dxa"/>
            <w:tcBorders>
              <w:top w:val="nil"/>
              <w:left w:val="nil"/>
              <w:bottom w:val="single" w:sz="8" w:space="0" w:color="auto"/>
              <w:right w:val="single" w:sz="8" w:space="0" w:color="auto"/>
            </w:tcBorders>
            <w:shd w:val="clear" w:color="auto" w:fill="auto"/>
            <w:vAlign w:val="center"/>
            <w:hideMark/>
          </w:tcPr>
          <w:p w14:paraId="4C1360F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522.17</w:t>
            </w:r>
          </w:p>
        </w:tc>
      </w:tr>
      <w:tr w:rsidR="00036557" w:rsidRPr="00B7675F" w14:paraId="20D9DB79" w14:textId="77777777" w:rsidTr="001871A3">
        <w:trPr>
          <w:trHeight w:val="1998"/>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25485A27" w14:textId="77777777" w:rsidR="00036557" w:rsidRPr="00736448" w:rsidRDefault="00036557" w:rsidP="001871A3">
            <w:pPr>
              <w:spacing w:after="0" w:line="240" w:lineRule="auto"/>
              <w:jc w:val="both"/>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Transferuri curente primite cu destinație specială între bugetul de stat şi bass</w:t>
            </w:r>
          </w:p>
        </w:tc>
        <w:tc>
          <w:tcPr>
            <w:tcW w:w="960" w:type="dxa"/>
            <w:tcBorders>
              <w:top w:val="nil"/>
              <w:left w:val="nil"/>
              <w:bottom w:val="single" w:sz="8" w:space="0" w:color="auto"/>
              <w:right w:val="single" w:sz="8" w:space="0" w:color="auto"/>
            </w:tcBorders>
            <w:shd w:val="clear" w:color="auto" w:fill="auto"/>
            <w:vAlign w:val="center"/>
            <w:hideMark/>
          </w:tcPr>
          <w:p w14:paraId="63B74FB3"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5556.40</w:t>
            </w:r>
          </w:p>
        </w:tc>
        <w:tc>
          <w:tcPr>
            <w:tcW w:w="960" w:type="dxa"/>
            <w:tcBorders>
              <w:top w:val="nil"/>
              <w:left w:val="nil"/>
              <w:bottom w:val="single" w:sz="8" w:space="0" w:color="auto"/>
              <w:right w:val="single" w:sz="8" w:space="0" w:color="auto"/>
            </w:tcBorders>
            <w:shd w:val="clear" w:color="auto" w:fill="auto"/>
            <w:vAlign w:val="center"/>
            <w:hideMark/>
          </w:tcPr>
          <w:p w14:paraId="0A797573"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5969.30</w:t>
            </w:r>
          </w:p>
        </w:tc>
        <w:tc>
          <w:tcPr>
            <w:tcW w:w="960" w:type="dxa"/>
            <w:tcBorders>
              <w:top w:val="nil"/>
              <w:left w:val="nil"/>
              <w:bottom w:val="single" w:sz="8" w:space="0" w:color="auto"/>
              <w:right w:val="single" w:sz="8" w:space="0" w:color="auto"/>
            </w:tcBorders>
            <w:shd w:val="clear" w:color="auto" w:fill="auto"/>
            <w:vAlign w:val="center"/>
            <w:hideMark/>
          </w:tcPr>
          <w:p w14:paraId="709B7412"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7214.80</w:t>
            </w:r>
          </w:p>
        </w:tc>
        <w:tc>
          <w:tcPr>
            <w:tcW w:w="960" w:type="dxa"/>
            <w:tcBorders>
              <w:top w:val="nil"/>
              <w:left w:val="nil"/>
              <w:bottom w:val="single" w:sz="8" w:space="0" w:color="auto"/>
              <w:right w:val="single" w:sz="8" w:space="0" w:color="auto"/>
            </w:tcBorders>
            <w:shd w:val="clear" w:color="auto" w:fill="auto"/>
            <w:vAlign w:val="center"/>
            <w:hideMark/>
          </w:tcPr>
          <w:p w14:paraId="16C0D8B1"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7884.60</w:t>
            </w:r>
          </w:p>
        </w:tc>
        <w:tc>
          <w:tcPr>
            <w:tcW w:w="960" w:type="dxa"/>
            <w:tcBorders>
              <w:top w:val="nil"/>
              <w:left w:val="nil"/>
              <w:bottom w:val="single" w:sz="8" w:space="0" w:color="auto"/>
              <w:right w:val="single" w:sz="8" w:space="0" w:color="auto"/>
            </w:tcBorders>
            <w:shd w:val="clear" w:color="auto" w:fill="auto"/>
            <w:vAlign w:val="center"/>
            <w:hideMark/>
          </w:tcPr>
          <w:p w14:paraId="7F45C567"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10359.90</w:t>
            </w:r>
          </w:p>
        </w:tc>
        <w:tc>
          <w:tcPr>
            <w:tcW w:w="960" w:type="dxa"/>
            <w:tcBorders>
              <w:top w:val="nil"/>
              <w:left w:val="nil"/>
              <w:bottom w:val="single" w:sz="8" w:space="0" w:color="auto"/>
              <w:right w:val="single" w:sz="8" w:space="0" w:color="auto"/>
            </w:tcBorders>
            <w:shd w:val="clear" w:color="auto" w:fill="auto"/>
            <w:vAlign w:val="center"/>
            <w:hideMark/>
          </w:tcPr>
          <w:p w14:paraId="32B30F1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2475.3</w:t>
            </w:r>
          </w:p>
        </w:tc>
        <w:tc>
          <w:tcPr>
            <w:tcW w:w="1120" w:type="dxa"/>
            <w:tcBorders>
              <w:top w:val="nil"/>
              <w:left w:val="nil"/>
              <w:bottom w:val="single" w:sz="8" w:space="0" w:color="auto"/>
              <w:right w:val="single" w:sz="8" w:space="0" w:color="auto"/>
            </w:tcBorders>
            <w:shd w:val="clear" w:color="auto" w:fill="auto"/>
            <w:vAlign w:val="center"/>
            <w:hideMark/>
          </w:tcPr>
          <w:p w14:paraId="1A566C7A"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131.39</w:t>
            </w:r>
          </w:p>
        </w:tc>
        <w:tc>
          <w:tcPr>
            <w:tcW w:w="960" w:type="dxa"/>
            <w:tcBorders>
              <w:top w:val="nil"/>
              <w:left w:val="nil"/>
              <w:bottom w:val="single" w:sz="8" w:space="0" w:color="auto"/>
              <w:right w:val="single" w:sz="8" w:space="0" w:color="auto"/>
            </w:tcBorders>
            <w:shd w:val="clear" w:color="auto" w:fill="auto"/>
            <w:vAlign w:val="center"/>
            <w:hideMark/>
          </w:tcPr>
          <w:p w14:paraId="008C419E"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3145.10</w:t>
            </w:r>
          </w:p>
        </w:tc>
        <w:tc>
          <w:tcPr>
            <w:tcW w:w="1240" w:type="dxa"/>
            <w:tcBorders>
              <w:top w:val="nil"/>
              <w:left w:val="nil"/>
              <w:bottom w:val="single" w:sz="8" w:space="0" w:color="auto"/>
              <w:right w:val="single" w:sz="8" w:space="0" w:color="auto"/>
            </w:tcBorders>
            <w:shd w:val="clear" w:color="auto" w:fill="auto"/>
            <w:vAlign w:val="center"/>
            <w:hideMark/>
          </w:tcPr>
          <w:p w14:paraId="1FBDEDD8"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143.59</w:t>
            </w:r>
          </w:p>
        </w:tc>
        <w:tc>
          <w:tcPr>
            <w:tcW w:w="960" w:type="dxa"/>
            <w:tcBorders>
              <w:top w:val="nil"/>
              <w:left w:val="nil"/>
              <w:bottom w:val="single" w:sz="8" w:space="0" w:color="auto"/>
              <w:right w:val="single" w:sz="8" w:space="0" w:color="auto"/>
            </w:tcBorders>
            <w:shd w:val="clear" w:color="auto" w:fill="auto"/>
            <w:vAlign w:val="center"/>
            <w:hideMark/>
          </w:tcPr>
          <w:p w14:paraId="545A27B9"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4390.60</w:t>
            </w:r>
          </w:p>
        </w:tc>
        <w:tc>
          <w:tcPr>
            <w:tcW w:w="1240" w:type="dxa"/>
            <w:tcBorders>
              <w:top w:val="nil"/>
              <w:left w:val="nil"/>
              <w:bottom w:val="single" w:sz="8" w:space="0" w:color="auto"/>
              <w:right w:val="single" w:sz="8" w:space="0" w:color="auto"/>
            </w:tcBorders>
            <w:shd w:val="clear" w:color="auto" w:fill="auto"/>
            <w:vAlign w:val="center"/>
            <w:hideMark/>
          </w:tcPr>
          <w:p w14:paraId="21B2C8A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173.55</w:t>
            </w:r>
          </w:p>
        </w:tc>
        <w:tc>
          <w:tcPr>
            <w:tcW w:w="960" w:type="dxa"/>
            <w:tcBorders>
              <w:top w:val="nil"/>
              <w:left w:val="nil"/>
              <w:bottom w:val="single" w:sz="8" w:space="0" w:color="auto"/>
              <w:right w:val="single" w:sz="8" w:space="0" w:color="auto"/>
            </w:tcBorders>
            <w:shd w:val="clear" w:color="auto" w:fill="auto"/>
            <w:vAlign w:val="center"/>
            <w:hideMark/>
          </w:tcPr>
          <w:p w14:paraId="62C861C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4803.50</w:t>
            </w:r>
          </w:p>
        </w:tc>
        <w:tc>
          <w:tcPr>
            <w:tcW w:w="1240" w:type="dxa"/>
            <w:tcBorders>
              <w:top w:val="nil"/>
              <w:left w:val="nil"/>
              <w:bottom w:val="single" w:sz="8" w:space="0" w:color="auto"/>
              <w:right w:val="single" w:sz="8" w:space="0" w:color="auto"/>
            </w:tcBorders>
            <w:shd w:val="clear" w:color="auto" w:fill="auto"/>
            <w:vAlign w:val="center"/>
            <w:hideMark/>
          </w:tcPr>
          <w:p w14:paraId="3C5B97C3"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186.45</w:t>
            </w:r>
          </w:p>
        </w:tc>
      </w:tr>
      <w:tr w:rsidR="00036557" w:rsidRPr="00B7675F" w14:paraId="4A045FE5" w14:textId="77777777" w:rsidTr="001871A3">
        <w:trPr>
          <w:trHeight w:val="333"/>
        </w:trPr>
        <w:tc>
          <w:tcPr>
            <w:tcW w:w="960" w:type="dxa"/>
            <w:tcBorders>
              <w:top w:val="nil"/>
              <w:left w:val="single" w:sz="8" w:space="0" w:color="auto"/>
              <w:bottom w:val="single" w:sz="8" w:space="0" w:color="auto"/>
              <w:right w:val="single" w:sz="8" w:space="0" w:color="auto"/>
            </w:tcBorders>
            <w:shd w:val="clear" w:color="auto" w:fill="auto"/>
            <w:vAlign w:val="center"/>
            <w:hideMark/>
          </w:tcPr>
          <w:p w14:paraId="60C57D4F" w14:textId="77777777" w:rsidR="00036557" w:rsidRPr="00736448" w:rsidRDefault="00036557" w:rsidP="001871A3">
            <w:pPr>
              <w:spacing w:after="0" w:line="240" w:lineRule="auto"/>
              <w:jc w:val="both"/>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Transferuri curente primite cu destinație generală între bugetul de stat şi bass</w:t>
            </w:r>
          </w:p>
        </w:tc>
        <w:tc>
          <w:tcPr>
            <w:tcW w:w="960" w:type="dxa"/>
            <w:tcBorders>
              <w:top w:val="nil"/>
              <w:left w:val="nil"/>
              <w:bottom w:val="single" w:sz="8" w:space="0" w:color="auto"/>
              <w:right w:val="single" w:sz="8" w:space="0" w:color="auto"/>
            </w:tcBorders>
            <w:shd w:val="clear" w:color="auto" w:fill="auto"/>
            <w:vAlign w:val="center"/>
            <w:hideMark/>
          </w:tcPr>
          <w:p w14:paraId="13651D10"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1113.90</w:t>
            </w:r>
          </w:p>
        </w:tc>
        <w:tc>
          <w:tcPr>
            <w:tcW w:w="960" w:type="dxa"/>
            <w:tcBorders>
              <w:top w:val="nil"/>
              <w:left w:val="nil"/>
              <w:bottom w:val="single" w:sz="8" w:space="0" w:color="auto"/>
              <w:right w:val="single" w:sz="8" w:space="0" w:color="auto"/>
            </w:tcBorders>
            <w:shd w:val="clear" w:color="auto" w:fill="auto"/>
            <w:vAlign w:val="center"/>
            <w:hideMark/>
          </w:tcPr>
          <w:p w14:paraId="2918AEBA"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1987.70</w:t>
            </w:r>
          </w:p>
        </w:tc>
        <w:tc>
          <w:tcPr>
            <w:tcW w:w="960" w:type="dxa"/>
            <w:tcBorders>
              <w:top w:val="nil"/>
              <w:left w:val="nil"/>
              <w:bottom w:val="single" w:sz="8" w:space="0" w:color="auto"/>
              <w:right w:val="single" w:sz="8" w:space="0" w:color="auto"/>
            </w:tcBorders>
            <w:shd w:val="clear" w:color="auto" w:fill="auto"/>
            <w:vAlign w:val="center"/>
            <w:hideMark/>
          </w:tcPr>
          <w:p w14:paraId="32F3ED16"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2554.60</w:t>
            </w:r>
          </w:p>
        </w:tc>
        <w:tc>
          <w:tcPr>
            <w:tcW w:w="960" w:type="dxa"/>
            <w:tcBorders>
              <w:top w:val="nil"/>
              <w:left w:val="nil"/>
              <w:bottom w:val="single" w:sz="8" w:space="0" w:color="auto"/>
              <w:right w:val="single" w:sz="8" w:space="0" w:color="auto"/>
            </w:tcBorders>
            <w:shd w:val="clear" w:color="auto" w:fill="auto"/>
            <w:vAlign w:val="center"/>
            <w:hideMark/>
          </w:tcPr>
          <w:p w14:paraId="52DB44D3"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2840.00</w:t>
            </w:r>
          </w:p>
        </w:tc>
        <w:tc>
          <w:tcPr>
            <w:tcW w:w="960" w:type="dxa"/>
            <w:tcBorders>
              <w:top w:val="nil"/>
              <w:left w:val="nil"/>
              <w:bottom w:val="single" w:sz="8" w:space="0" w:color="auto"/>
              <w:right w:val="single" w:sz="8" w:space="0" w:color="auto"/>
            </w:tcBorders>
            <w:shd w:val="clear" w:color="auto" w:fill="auto"/>
            <w:vAlign w:val="center"/>
            <w:hideMark/>
          </w:tcPr>
          <w:p w14:paraId="40EC38B4" w14:textId="77777777" w:rsidR="00036557" w:rsidRPr="00736448" w:rsidRDefault="00036557" w:rsidP="001871A3">
            <w:pPr>
              <w:spacing w:after="0" w:line="240" w:lineRule="auto"/>
              <w:jc w:val="center"/>
              <w:rPr>
                <w:rFonts w:ascii="Calibri Light" w:eastAsia="Times New Roman" w:hAnsi="Calibri Light" w:cs="Calibri Light"/>
                <w:color w:val="000000"/>
                <w:sz w:val="18"/>
                <w:szCs w:val="18"/>
                <w:lang w:val="ro-MD"/>
              </w:rPr>
            </w:pPr>
            <w:r w:rsidRPr="00736448">
              <w:rPr>
                <w:rFonts w:ascii="Calibri Light" w:eastAsia="Times New Roman" w:hAnsi="Calibri Light" w:cs="Calibri Light"/>
                <w:color w:val="000000"/>
                <w:sz w:val="18"/>
                <w:szCs w:val="18"/>
                <w:lang w:val="ro-MD"/>
              </w:rPr>
              <w:t>4434.12</w:t>
            </w:r>
          </w:p>
        </w:tc>
        <w:tc>
          <w:tcPr>
            <w:tcW w:w="960" w:type="dxa"/>
            <w:tcBorders>
              <w:top w:val="nil"/>
              <w:left w:val="nil"/>
              <w:bottom w:val="single" w:sz="8" w:space="0" w:color="auto"/>
              <w:right w:val="single" w:sz="8" w:space="0" w:color="auto"/>
            </w:tcBorders>
            <w:shd w:val="clear" w:color="auto" w:fill="auto"/>
            <w:vAlign w:val="center"/>
            <w:hideMark/>
          </w:tcPr>
          <w:p w14:paraId="41483A5E"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1594.12</w:t>
            </w:r>
          </w:p>
        </w:tc>
        <w:tc>
          <w:tcPr>
            <w:tcW w:w="1120" w:type="dxa"/>
            <w:tcBorders>
              <w:top w:val="nil"/>
              <w:left w:val="nil"/>
              <w:bottom w:val="single" w:sz="8" w:space="0" w:color="auto"/>
              <w:right w:val="single" w:sz="8" w:space="0" w:color="auto"/>
            </w:tcBorders>
            <w:shd w:val="clear" w:color="auto" w:fill="auto"/>
            <w:vAlign w:val="center"/>
            <w:hideMark/>
          </w:tcPr>
          <w:p w14:paraId="0AF3EDFC"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156.13</w:t>
            </w:r>
          </w:p>
        </w:tc>
        <w:tc>
          <w:tcPr>
            <w:tcW w:w="960" w:type="dxa"/>
            <w:tcBorders>
              <w:top w:val="nil"/>
              <w:left w:val="nil"/>
              <w:bottom w:val="single" w:sz="8" w:space="0" w:color="auto"/>
              <w:right w:val="single" w:sz="8" w:space="0" w:color="auto"/>
            </w:tcBorders>
            <w:shd w:val="clear" w:color="auto" w:fill="auto"/>
            <w:vAlign w:val="center"/>
            <w:hideMark/>
          </w:tcPr>
          <w:p w14:paraId="4AFD9B1D"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1879.52</w:t>
            </w:r>
          </w:p>
        </w:tc>
        <w:tc>
          <w:tcPr>
            <w:tcW w:w="1240" w:type="dxa"/>
            <w:tcBorders>
              <w:top w:val="nil"/>
              <w:left w:val="nil"/>
              <w:bottom w:val="single" w:sz="8" w:space="0" w:color="auto"/>
              <w:right w:val="single" w:sz="8" w:space="0" w:color="auto"/>
            </w:tcBorders>
            <w:shd w:val="clear" w:color="auto" w:fill="auto"/>
            <w:vAlign w:val="center"/>
            <w:hideMark/>
          </w:tcPr>
          <w:p w14:paraId="7E3474B5"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173.57</w:t>
            </w:r>
          </w:p>
        </w:tc>
        <w:tc>
          <w:tcPr>
            <w:tcW w:w="960" w:type="dxa"/>
            <w:tcBorders>
              <w:top w:val="nil"/>
              <w:left w:val="nil"/>
              <w:bottom w:val="single" w:sz="8" w:space="0" w:color="auto"/>
              <w:right w:val="single" w:sz="8" w:space="0" w:color="auto"/>
            </w:tcBorders>
            <w:shd w:val="clear" w:color="auto" w:fill="auto"/>
            <w:vAlign w:val="center"/>
            <w:hideMark/>
          </w:tcPr>
          <w:p w14:paraId="3D6E4767"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2446.42</w:t>
            </w:r>
          </w:p>
        </w:tc>
        <w:tc>
          <w:tcPr>
            <w:tcW w:w="1240" w:type="dxa"/>
            <w:tcBorders>
              <w:top w:val="nil"/>
              <w:left w:val="nil"/>
              <w:bottom w:val="single" w:sz="8" w:space="0" w:color="auto"/>
              <w:right w:val="single" w:sz="8" w:space="0" w:color="auto"/>
            </w:tcBorders>
            <w:shd w:val="clear" w:color="auto" w:fill="auto"/>
            <w:vAlign w:val="center"/>
            <w:hideMark/>
          </w:tcPr>
          <w:p w14:paraId="4AB619CD"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223.08</w:t>
            </w:r>
          </w:p>
        </w:tc>
        <w:tc>
          <w:tcPr>
            <w:tcW w:w="960" w:type="dxa"/>
            <w:tcBorders>
              <w:top w:val="nil"/>
              <w:left w:val="nil"/>
              <w:bottom w:val="single" w:sz="8" w:space="0" w:color="auto"/>
              <w:right w:val="single" w:sz="8" w:space="0" w:color="auto"/>
            </w:tcBorders>
            <w:shd w:val="clear" w:color="auto" w:fill="auto"/>
            <w:vAlign w:val="center"/>
            <w:hideMark/>
          </w:tcPr>
          <w:p w14:paraId="4708B014"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3320.22</w:t>
            </w:r>
          </w:p>
        </w:tc>
        <w:tc>
          <w:tcPr>
            <w:tcW w:w="1240" w:type="dxa"/>
            <w:tcBorders>
              <w:top w:val="nil"/>
              <w:left w:val="nil"/>
              <w:bottom w:val="single" w:sz="8" w:space="0" w:color="auto"/>
              <w:right w:val="single" w:sz="8" w:space="0" w:color="auto"/>
            </w:tcBorders>
            <w:shd w:val="clear" w:color="auto" w:fill="auto"/>
            <w:vAlign w:val="center"/>
            <w:hideMark/>
          </w:tcPr>
          <w:p w14:paraId="3357CA9B" w14:textId="77777777" w:rsidR="00036557" w:rsidRPr="00736448" w:rsidRDefault="00036557" w:rsidP="001871A3">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398.07</w:t>
            </w:r>
          </w:p>
        </w:tc>
      </w:tr>
    </w:tbl>
    <w:p w14:paraId="1F94968C" w14:textId="77777777" w:rsidR="00036557" w:rsidRPr="00736448" w:rsidRDefault="00036557" w:rsidP="00036557">
      <w:pPr>
        <w:rPr>
          <w:lang w:val="ro-MD"/>
        </w:rPr>
      </w:pPr>
    </w:p>
    <w:p w14:paraId="38A83198" w14:textId="77777777" w:rsidR="00036557" w:rsidRPr="00736448" w:rsidRDefault="00036557" w:rsidP="00036557">
      <w:pPr>
        <w:jc w:val="center"/>
        <w:rPr>
          <w:sz w:val="24"/>
          <w:lang w:val="ro-MD"/>
        </w:rPr>
        <w:sectPr w:rsidR="00036557" w:rsidRPr="00736448" w:rsidSect="00036557">
          <w:pgSz w:w="15840" w:h="12240" w:orient="landscape"/>
          <w:pgMar w:top="1355" w:right="1140" w:bottom="851" w:left="1140" w:header="720" w:footer="720" w:gutter="0"/>
          <w:cols w:space="720"/>
          <w:titlePg/>
          <w:docGrid w:linePitch="360"/>
        </w:sectPr>
      </w:pPr>
    </w:p>
    <w:p w14:paraId="1B259540" w14:textId="10F3F253" w:rsidR="00DB70CA" w:rsidRPr="00181EA0" w:rsidRDefault="00DB70CA" w:rsidP="004C228A">
      <w:pPr>
        <w:pStyle w:val="2"/>
        <w:jc w:val="right"/>
        <w:rPr>
          <w:rFonts w:cstheme="majorHAnsi"/>
          <w:b/>
          <w:color w:val="000000" w:themeColor="text1"/>
          <w:sz w:val="24"/>
          <w:szCs w:val="24"/>
          <w:lang w:val="ro-MD"/>
        </w:rPr>
      </w:pPr>
      <w:r w:rsidRPr="00181EA0">
        <w:rPr>
          <w:rFonts w:cstheme="majorHAnsi"/>
          <w:b/>
          <w:color w:val="000000" w:themeColor="text1"/>
          <w:sz w:val="24"/>
          <w:szCs w:val="24"/>
          <w:lang w:val="ro-MD"/>
        </w:rPr>
        <w:t>Anexa nr.</w:t>
      </w:r>
      <w:r w:rsidR="004C228A" w:rsidRPr="00181EA0">
        <w:rPr>
          <w:rFonts w:cstheme="majorHAnsi"/>
          <w:b/>
          <w:color w:val="000000" w:themeColor="text1"/>
          <w:sz w:val="24"/>
          <w:szCs w:val="24"/>
          <w:lang w:val="ro-MD"/>
        </w:rPr>
        <w:t>2</w:t>
      </w:r>
    </w:p>
    <w:p w14:paraId="0BDB764B" w14:textId="06FC5734" w:rsidR="00DB70CA" w:rsidRPr="00181EA0" w:rsidRDefault="00DB70CA" w:rsidP="00DB70CA">
      <w:pPr>
        <w:shd w:val="clear" w:color="auto" w:fill="FFFFFF" w:themeFill="background1"/>
        <w:spacing w:after="0" w:line="276" w:lineRule="auto"/>
        <w:jc w:val="center"/>
        <w:rPr>
          <w:rFonts w:asciiTheme="majorHAnsi" w:hAnsiTheme="majorHAnsi" w:cstheme="majorHAnsi"/>
          <w:b/>
          <w:sz w:val="24"/>
          <w:szCs w:val="24"/>
          <w:lang w:val="ro-MD"/>
        </w:rPr>
      </w:pPr>
      <w:r w:rsidRPr="00181EA0">
        <w:rPr>
          <w:rFonts w:asciiTheme="majorHAnsi" w:hAnsiTheme="majorHAnsi" w:cstheme="majorHAnsi"/>
          <w:b/>
          <w:sz w:val="24"/>
          <w:szCs w:val="24"/>
          <w:lang w:val="ro-MD"/>
        </w:rPr>
        <w:t>Informaţi</w:t>
      </w:r>
      <w:r w:rsidR="00186CDB" w:rsidRPr="00181EA0">
        <w:rPr>
          <w:rFonts w:asciiTheme="majorHAnsi" w:hAnsiTheme="majorHAnsi" w:cstheme="majorHAnsi"/>
          <w:b/>
          <w:sz w:val="24"/>
          <w:szCs w:val="24"/>
          <w:lang w:val="ro-MD"/>
        </w:rPr>
        <w:t>i</w:t>
      </w:r>
      <w:r w:rsidRPr="00181EA0">
        <w:rPr>
          <w:rFonts w:asciiTheme="majorHAnsi" w:hAnsiTheme="majorHAnsi" w:cstheme="majorHAnsi"/>
          <w:b/>
          <w:sz w:val="24"/>
          <w:szCs w:val="24"/>
          <w:lang w:val="ro-MD"/>
        </w:rPr>
        <w:t xml:space="preserve"> privind numărul </w:t>
      </w:r>
      <w:r w:rsidR="00A55063" w:rsidRPr="00181EA0">
        <w:rPr>
          <w:rFonts w:asciiTheme="majorHAnsi" w:hAnsiTheme="majorHAnsi" w:cstheme="majorHAnsi"/>
          <w:b/>
          <w:sz w:val="24"/>
          <w:szCs w:val="24"/>
          <w:lang w:val="ro-MD"/>
        </w:rPr>
        <w:t xml:space="preserve">total </w:t>
      </w:r>
      <w:r w:rsidRPr="00181EA0">
        <w:rPr>
          <w:rFonts w:asciiTheme="majorHAnsi" w:hAnsiTheme="majorHAnsi" w:cstheme="majorHAnsi"/>
          <w:b/>
          <w:sz w:val="24"/>
          <w:szCs w:val="24"/>
          <w:lang w:val="ro-MD"/>
        </w:rPr>
        <w:t>de beneficiari, inclusiv care lucrează</w:t>
      </w:r>
      <w:r w:rsidR="00625EA1" w:rsidRPr="00181EA0">
        <w:rPr>
          <w:rFonts w:asciiTheme="majorHAnsi" w:hAnsiTheme="majorHAnsi" w:cstheme="majorHAnsi"/>
          <w:b/>
          <w:sz w:val="24"/>
          <w:szCs w:val="24"/>
          <w:lang w:val="ro-MD"/>
        </w:rPr>
        <w:t>,</w:t>
      </w:r>
      <w:r w:rsidRPr="00181EA0">
        <w:rPr>
          <w:rFonts w:asciiTheme="majorHAnsi" w:hAnsiTheme="majorHAnsi" w:cstheme="majorHAnsi"/>
          <w:b/>
          <w:sz w:val="24"/>
          <w:szCs w:val="24"/>
          <w:lang w:val="ro-MD"/>
        </w:rPr>
        <w:t xml:space="preserve"> pe tipuri de prestații sociale, pe anii 2020-2022</w:t>
      </w:r>
    </w:p>
    <w:tbl>
      <w:tblPr>
        <w:tblW w:w="14345" w:type="dxa"/>
        <w:tblLook w:val="04A0" w:firstRow="1" w:lastRow="0" w:firstColumn="1" w:lastColumn="0" w:noHBand="0" w:noVBand="1"/>
      </w:tblPr>
      <w:tblGrid>
        <w:gridCol w:w="510"/>
        <w:gridCol w:w="2435"/>
        <w:gridCol w:w="1159"/>
        <w:gridCol w:w="1074"/>
        <w:gridCol w:w="1074"/>
        <w:gridCol w:w="1165"/>
        <w:gridCol w:w="1134"/>
        <w:gridCol w:w="1074"/>
        <w:gridCol w:w="6"/>
        <w:gridCol w:w="1221"/>
        <w:gridCol w:w="1245"/>
        <w:gridCol w:w="6"/>
        <w:gridCol w:w="1080"/>
        <w:gridCol w:w="1156"/>
        <w:gridCol w:w="6"/>
      </w:tblGrid>
      <w:tr w:rsidR="00DB70CA" w:rsidRPr="00B7675F" w14:paraId="0F3F9617" w14:textId="77777777" w:rsidTr="00490517">
        <w:trPr>
          <w:trHeight w:val="20"/>
        </w:trPr>
        <w:tc>
          <w:tcPr>
            <w:tcW w:w="510" w:type="dxa"/>
            <w:vMerge w:val="restart"/>
            <w:tcBorders>
              <w:top w:val="single" w:sz="8" w:space="0" w:color="auto"/>
              <w:left w:val="single" w:sz="8" w:space="0" w:color="auto"/>
              <w:bottom w:val="single" w:sz="8" w:space="0" w:color="auto"/>
              <w:right w:val="single" w:sz="8" w:space="0" w:color="auto"/>
            </w:tcBorders>
            <w:vAlign w:val="center"/>
          </w:tcPr>
          <w:p w14:paraId="7D55DE01" w14:textId="4EBD73CA" w:rsidR="00DB70CA" w:rsidRPr="00181EA0" w:rsidRDefault="00DB70CA" w:rsidP="00490517">
            <w:pPr>
              <w:spacing w:after="0" w:line="240" w:lineRule="auto"/>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 xml:space="preserve">Nr. </w:t>
            </w:r>
            <w:r w:rsidR="00E15964" w:rsidRPr="00181EA0">
              <w:rPr>
                <w:rFonts w:asciiTheme="majorHAnsi" w:eastAsia="Times New Roman" w:hAnsiTheme="majorHAnsi" w:cstheme="majorHAnsi"/>
                <w:b/>
                <w:bCs/>
                <w:color w:val="000000"/>
                <w:sz w:val="20"/>
                <w:szCs w:val="20"/>
                <w:lang w:val="ro-MD"/>
              </w:rPr>
              <w:t>crt.</w:t>
            </w:r>
          </w:p>
        </w:tc>
        <w:tc>
          <w:tcPr>
            <w:tcW w:w="2435" w:type="dxa"/>
            <w:vMerge w:val="restart"/>
            <w:tcBorders>
              <w:top w:val="single" w:sz="8" w:space="0" w:color="auto"/>
              <w:left w:val="single" w:sz="8" w:space="0" w:color="auto"/>
              <w:bottom w:val="single" w:sz="8" w:space="0" w:color="auto"/>
              <w:right w:val="single" w:sz="4" w:space="0" w:color="auto"/>
            </w:tcBorders>
            <w:vAlign w:val="center"/>
          </w:tcPr>
          <w:p w14:paraId="6232C67F" w14:textId="77777777" w:rsidR="00DB70CA" w:rsidRPr="00181EA0" w:rsidRDefault="00DB70CA" w:rsidP="00490517">
            <w:pPr>
              <w:spacing w:after="0" w:line="240" w:lineRule="auto"/>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Tipul prestației</w:t>
            </w:r>
          </w:p>
        </w:tc>
        <w:tc>
          <w:tcPr>
            <w:tcW w:w="2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5D2F9" w14:textId="270BE163" w:rsidR="00DB70CA" w:rsidRPr="00181EA0"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La situaţia</w:t>
            </w:r>
            <w:r w:rsidR="00186CDB" w:rsidRPr="00181EA0">
              <w:rPr>
                <w:rFonts w:asciiTheme="majorHAnsi" w:eastAsia="Times New Roman" w:hAnsiTheme="majorHAnsi" w:cstheme="majorHAnsi"/>
                <w:b/>
                <w:bCs/>
                <w:color w:val="000000"/>
                <w:sz w:val="20"/>
                <w:szCs w:val="20"/>
                <w:lang w:val="ro-MD"/>
              </w:rPr>
              <w:t xml:space="preserve"> din</w:t>
            </w:r>
            <w:r w:rsidRPr="00181EA0">
              <w:rPr>
                <w:rFonts w:asciiTheme="majorHAnsi" w:eastAsia="Times New Roman" w:hAnsiTheme="majorHAnsi" w:cstheme="majorHAnsi"/>
                <w:b/>
                <w:bCs/>
                <w:color w:val="000000"/>
                <w:sz w:val="20"/>
                <w:szCs w:val="20"/>
                <w:lang w:val="ro-MD"/>
              </w:rPr>
              <w:t xml:space="preserve"> 01.01.2021</w:t>
            </w:r>
          </w:p>
        </w:tc>
        <w:tc>
          <w:tcPr>
            <w:tcW w:w="22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B7653" w14:textId="7FA6DBFD" w:rsidR="00DB70CA" w:rsidRPr="00181EA0"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 xml:space="preserve">La situaţia </w:t>
            </w:r>
            <w:r w:rsidR="00186CDB" w:rsidRPr="00181EA0">
              <w:rPr>
                <w:rFonts w:asciiTheme="majorHAnsi" w:eastAsia="Times New Roman" w:hAnsiTheme="majorHAnsi" w:cstheme="majorHAnsi"/>
                <w:b/>
                <w:bCs/>
                <w:color w:val="000000"/>
                <w:sz w:val="20"/>
                <w:szCs w:val="20"/>
                <w:lang w:val="ro-MD"/>
              </w:rPr>
              <w:t xml:space="preserve">din </w:t>
            </w:r>
            <w:r w:rsidRPr="00181EA0">
              <w:rPr>
                <w:rFonts w:asciiTheme="majorHAnsi" w:eastAsia="Times New Roman" w:hAnsiTheme="majorHAnsi" w:cstheme="majorHAnsi"/>
                <w:b/>
                <w:bCs/>
                <w:color w:val="000000"/>
                <w:sz w:val="20"/>
                <w:szCs w:val="20"/>
                <w:lang w:val="ro-MD"/>
              </w:rPr>
              <w:t>01.01.2022</w:t>
            </w:r>
          </w:p>
        </w:tc>
        <w:tc>
          <w:tcPr>
            <w:tcW w:w="22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E6F5CB" w14:textId="3590C587" w:rsidR="00DB70CA" w:rsidRPr="00181EA0"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 xml:space="preserve">La situaţia </w:t>
            </w:r>
            <w:r w:rsidR="00186CDB" w:rsidRPr="00181EA0">
              <w:rPr>
                <w:rFonts w:asciiTheme="majorHAnsi" w:eastAsia="Times New Roman" w:hAnsiTheme="majorHAnsi" w:cstheme="majorHAnsi"/>
                <w:b/>
                <w:bCs/>
                <w:color w:val="000000"/>
                <w:sz w:val="20"/>
                <w:szCs w:val="20"/>
                <w:lang w:val="ro-MD"/>
              </w:rPr>
              <w:t xml:space="preserve">din </w:t>
            </w:r>
            <w:r w:rsidRPr="00181EA0">
              <w:rPr>
                <w:rFonts w:asciiTheme="majorHAnsi" w:eastAsia="Times New Roman" w:hAnsiTheme="majorHAnsi" w:cstheme="majorHAnsi"/>
                <w:b/>
                <w:bCs/>
                <w:color w:val="000000"/>
                <w:sz w:val="20"/>
                <w:szCs w:val="20"/>
                <w:lang w:val="ro-MD"/>
              </w:rPr>
              <w:t>01.01.2023</w:t>
            </w:r>
          </w:p>
        </w:tc>
        <w:tc>
          <w:tcPr>
            <w:tcW w:w="24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702399" w14:textId="77777777" w:rsidR="00DB70CA" w:rsidRPr="00181EA0"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Dinamica total beneficiari 01.01.2023/</w:t>
            </w:r>
          </w:p>
          <w:p w14:paraId="15126D91" w14:textId="77777777" w:rsidR="00DB70CA" w:rsidRPr="00181EA0" w:rsidRDefault="00DB70CA" w:rsidP="00490517">
            <w:pPr>
              <w:spacing w:after="0" w:line="240" w:lineRule="auto"/>
              <w:jc w:val="center"/>
              <w:rPr>
                <w:rFonts w:asciiTheme="majorHAnsi" w:eastAsia="Times New Roman" w:hAnsiTheme="majorHAnsi" w:cstheme="majorHAnsi"/>
                <w:color w:val="000000"/>
                <w:sz w:val="20"/>
                <w:szCs w:val="20"/>
                <w:lang w:val="ro-MD"/>
              </w:rPr>
            </w:pPr>
            <w:r w:rsidRPr="00181EA0">
              <w:rPr>
                <w:rFonts w:asciiTheme="majorHAnsi" w:eastAsia="Times New Roman" w:hAnsiTheme="majorHAnsi" w:cstheme="majorHAnsi"/>
                <w:b/>
                <w:bCs/>
                <w:color w:val="000000"/>
                <w:sz w:val="20"/>
                <w:szCs w:val="20"/>
                <w:lang w:val="ro-MD"/>
              </w:rPr>
              <w:t>01.01.2021</w:t>
            </w:r>
          </w:p>
        </w:tc>
        <w:tc>
          <w:tcPr>
            <w:tcW w:w="22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FEDC3E" w14:textId="60668A9F" w:rsidR="00736448" w:rsidRPr="00181EA0"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 xml:space="preserve">Dinamica </w:t>
            </w:r>
            <w:r w:rsidR="00A55063" w:rsidRPr="00181EA0">
              <w:rPr>
                <w:rFonts w:asciiTheme="majorHAnsi" w:eastAsia="Times New Roman" w:hAnsiTheme="majorHAnsi" w:cstheme="majorHAnsi"/>
                <w:b/>
                <w:bCs/>
                <w:color w:val="000000"/>
                <w:sz w:val="20"/>
                <w:szCs w:val="20"/>
                <w:lang w:val="ro-MD"/>
              </w:rPr>
              <w:t xml:space="preserve">beneficiarilor </w:t>
            </w:r>
            <w:r w:rsidRPr="00181EA0">
              <w:rPr>
                <w:rFonts w:asciiTheme="majorHAnsi" w:eastAsia="Times New Roman" w:hAnsiTheme="majorHAnsi" w:cstheme="majorHAnsi"/>
                <w:b/>
                <w:bCs/>
                <w:color w:val="000000"/>
                <w:sz w:val="20"/>
                <w:szCs w:val="20"/>
                <w:lang w:val="ro-MD"/>
              </w:rPr>
              <w:t>care lucrează</w:t>
            </w:r>
          </w:p>
          <w:p w14:paraId="7F020400" w14:textId="7A28D1A0" w:rsidR="00DB70CA" w:rsidRPr="00181EA0"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181EA0">
              <w:rPr>
                <w:rFonts w:asciiTheme="majorHAnsi" w:eastAsia="Times New Roman" w:hAnsiTheme="majorHAnsi" w:cstheme="majorHAnsi"/>
                <w:b/>
                <w:bCs/>
                <w:color w:val="000000"/>
                <w:sz w:val="20"/>
                <w:szCs w:val="20"/>
                <w:lang w:val="ro-MD"/>
              </w:rPr>
              <w:t>01.01.2023/</w:t>
            </w:r>
          </w:p>
          <w:p w14:paraId="0B607A46"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181EA0">
              <w:rPr>
                <w:rFonts w:asciiTheme="majorHAnsi" w:eastAsia="Times New Roman" w:hAnsiTheme="majorHAnsi" w:cstheme="majorHAnsi"/>
                <w:b/>
                <w:bCs/>
                <w:color w:val="000000"/>
                <w:sz w:val="20"/>
                <w:szCs w:val="20"/>
                <w:lang w:val="ro-MD"/>
              </w:rPr>
              <w:t>01.01.2021</w:t>
            </w:r>
          </w:p>
        </w:tc>
      </w:tr>
      <w:tr w:rsidR="00DB70CA" w:rsidRPr="00B7675F" w14:paraId="3F809B16" w14:textId="77777777" w:rsidTr="00490517">
        <w:trPr>
          <w:gridAfter w:val="1"/>
          <w:wAfter w:w="6" w:type="dxa"/>
          <w:trHeight w:val="20"/>
        </w:trPr>
        <w:tc>
          <w:tcPr>
            <w:tcW w:w="510" w:type="dxa"/>
            <w:vMerge/>
            <w:tcBorders>
              <w:top w:val="single" w:sz="8" w:space="0" w:color="auto"/>
              <w:left w:val="single" w:sz="8" w:space="0" w:color="auto"/>
              <w:bottom w:val="single" w:sz="8" w:space="0" w:color="auto"/>
              <w:right w:val="single" w:sz="8" w:space="0" w:color="auto"/>
            </w:tcBorders>
            <w:vAlign w:val="center"/>
            <w:hideMark/>
          </w:tcPr>
          <w:p w14:paraId="156DAED9" w14:textId="77777777" w:rsidR="00DB70CA" w:rsidRPr="00736448" w:rsidRDefault="00DB70CA" w:rsidP="00490517">
            <w:pPr>
              <w:spacing w:after="0" w:line="240" w:lineRule="auto"/>
              <w:rPr>
                <w:rFonts w:asciiTheme="majorHAnsi" w:eastAsia="Times New Roman" w:hAnsiTheme="majorHAnsi" w:cstheme="majorHAnsi"/>
                <w:b/>
                <w:bCs/>
                <w:color w:val="000000"/>
                <w:sz w:val="20"/>
                <w:szCs w:val="20"/>
                <w:lang w:val="ro-MD"/>
              </w:rPr>
            </w:pPr>
          </w:p>
        </w:tc>
        <w:tc>
          <w:tcPr>
            <w:tcW w:w="2435" w:type="dxa"/>
            <w:vMerge/>
            <w:tcBorders>
              <w:top w:val="single" w:sz="8" w:space="0" w:color="auto"/>
              <w:left w:val="single" w:sz="8" w:space="0" w:color="auto"/>
              <w:bottom w:val="single" w:sz="8" w:space="0" w:color="auto"/>
              <w:right w:val="single" w:sz="4" w:space="0" w:color="auto"/>
            </w:tcBorders>
            <w:vAlign w:val="center"/>
            <w:hideMark/>
          </w:tcPr>
          <w:p w14:paraId="2BD9810B" w14:textId="77777777" w:rsidR="00DB70CA" w:rsidRPr="00736448" w:rsidRDefault="00DB70CA" w:rsidP="00490517">
            <w:pPr>
              <w:spacing w:after="0" w:line="240" w:lineRule="auto"/>
              <w:rPr>
                <w:rFonts w:asciiTheme="majorHAnsi" w:eastAsia="Times New Roman" w:hAnsiTheme="majorHAnsi" w:cstheme="majorHAnsi"/>
                <w:b/>
                <w:bCs/>
                <w:color w:val="000000"/>
                <w:sz w:val="20"/>
                <w:szCs w:val="20"/>
                <w:lang w:val="ro-MD"/>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83E0A" w14:textId="71E10DB9" w:rsidR="00DB70CA" w:rsidRPr="00736448" w:rsidRDefault="00DB70CA" w:rsidP="00186CDB">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Beneficiari total</w:t>
            </w:r>
            <w:r w:rsidRPr="00736448">
              <w:rPr>
                <w:rFonts w:asciiTheme="majorHAnsi" w:eastAsia="Times New Roman" w:hAnsiTheme="majorHAnsi" w:cstheme="majorHAnsi"/>
                <w:b/>
                <w:bCs/>
                <w:i/>
                <w:iCs/>
                <w:color w:val="000000"/>
                <w:sz w:val="20"/>
                <w:szCs w:val="20"/>
                <w:lang w:val="ro-MD"/>
              </w:rPr>
              <w:t xml:space="preserve"> </w:t>
            </w:r>
            <w:r w:rsidRPr="00736448">
              <w:rPr>
                <w:rFonts w:asciiTheme="majorHAnsi" w:eastAsia="Times New Roman" w:hAnsiTheme="majorHAnsi" w:cstheme="majorHAnsi"/>
                <w:i/>
                <w:iCs/>
                <w:color w:val="000000"/>
                <w:sz w:val="20"/>
                <w:szCs w:val="20"/>
                <w:lang w:val="ro-MD"/>
              </w:rPr>
              <w:t>(persoane)</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B0E491" w14:textId="61D8538A" w:rsidR="00DB70CA" w:rsidRPr="00736448" w:rsidRDefault="00DB70CA" w:rsidP="00186CDB">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Din care lucrează</w:t>
            </w:r>
            <w:r w:rsidRPr="00736448">
              <w:rPr>
                <w:rFonts w:asciiTheme="majorHAnsi" w:eastAsia="Times New Roman" w:hAnsiTheme="majorHAnsi" w:cstheme="majorHAnsi"/>
                <w:b/>
                <w:bCs/>
                <w:i/>
                <w:iCs/>
                <w:color w:val="000000"/>
                <w:sz w:val="20"/>
                <w:szCs w:val="20"/>
                <w:lang w:val="ro-MD"/>
              </w:rPr>
              <w:t xml:space="preserve"> </w:t>
            </w:r>
            <w:r w:rsidRPr="00736448">
              <w:rPr>
                <w:rFonts w:asciiTheme="majorHAnsi" w:eastAsia="Times New Roman" w:hAnsiTheme="majorHAnsi" w:cstheme="majorHAnsi"/>
                <w:i/>
                <w:iCs/>
                <w:color w:val="000000"/>
                <w:sz w:val="20"/>
                <w:szCs w:val="20"/>
                <w:lang w:val="ro-MD"/>
              </w:rPr>
              <w:t>(persoane)</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D6DD5" w14:textId="4309AD2C" w:rsidR="00DB70CA" w:rsidRPr="00736448" w:rsidRDefault="00DB70CA" w:rsidP="00186CDB">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Beneficiari total</w:t>
            </w:r>
            <w:r w:rsidRPr="00736448">
              <w:rPr>
                <w:rFonts w:asciiTheme="majorHAnsi" w:eastAsia="Times New Roman" w:hAnsiTheme="majorHAnsi" w:cstheme="majorHAnsi"/>
                <w:b/>
                <w:bCs/>
                <w:i/>
                <w:iCs/>
                <w:color w:val="000000"/>
                <w:sz w:val="20"/>
                <w:szCs w:val="20"/>
                <w:lang w:val="ro-MD"/>
              </w:rPr>
              <w:t xml:space="preserve"> </w:t>
            </w:r>
            <w:r w:rsidRPr="00736448">
              <w:rPr>
                <w:rFonts w:asciiTheme="majorHAnsi" w:eastAsia="Times New Roman" w:hAnsiTheme="majorHAnsi" w:cstheme="majorHAnsi"/>
                <w:i/>
                <w:iCs/>
                <w:color w:val="000000"/>
                <w:sz w:val="20"/>
                <w:szCs w:val="20"/>
                <w:lang w:val="ro-MD"/>
              </w:rPr>
              <w:t>(persoane)</w:t>
            </w:r>
          </w:p>
        </w:tc>
        <w:tc>
          <w:tcPr>
            <w:tcW w:w="11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7872" w14:textId="65455B3B" w:rsidR="00DB70CA" w:rsidRPr="00736448" w:rsidRDefault="00DB70CA" w:rsidP="00186CDB">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Din care lucrează</w:t>
            </w:r>
            <w:r w:rsidRPr="00736448">
              <w:rPr>
                <w:rFonts w:asciiTheme="majorHAnsi" w:eastAsia="Times New Roman" w:hAnsiTheme="majorHAnsi" w:cstheme="majorHAnsi"/>
                <w:b/>
                <w:bCs/>
                <w:i/>
                <w:iCs/>
                <w:color w:val="000000"/>
                <w:sz w:val="20"/>
                <w:szCs w:val="20"/>
                <w:lang w:val="ro-MD"/>
              </w:rPr>
              <w:t xml:space="preserve"> </w:t>
            </w:r>
            <w:r w:rsidRPr="00736448">
              <w:rPr>
                <w:rFonts w:asciiTheme="majorHAnsi" w:eastAsia="Times New Roman" w:hAnsiTheme="majorHAnsi" w:cstheme="majorHAnsi"/>
                <w:i/>
                <w:iCs/>
                <w:color w:val="000000"/>
                <w:sz w:val="20"/>
                <w:szCs w:val="20"/>
                <w:lang w:val="ro-MD"/>
              </w:rPr>
              <w:t>(persoane)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86EC0" w14:textId="30C9D601" w:rsidR="00DB70CA" w:rsidRPr="00736448" w:rsidRDefault="00DB70CA" w:rsidP="00186CDB">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Beneficiari total</w:t>
            </w:r>
            <w:r w:rsidRPr="00736448">
              <w:rPr>
                <w:rFonts w:asciiTheme="majorHAnsi" w:eastAsia="Times New Roman" w:hAnsiTheme="majorHAnsi" w:cstheme="majorHAnsi"/>
                <w:b/>
                <w:bCs/>
                <w:i/>
                <w:iCs/>
                <w:color w:val="000000"/>
                <w:sz w:val="20"/>
                <w:szCs w:val="20"/>
                <w:lang w:val="ro-MD"/>
              </w:rPr>
              <w:t xml:space="preserve"> </w:t>
            </w:r>
            <w:r w:rsidRPr="00736448">
              <w:rPr>
                <w:rFonts w:asciiTheme="majorHAnsi" w:eastAsia="Times New Roman" w:hAnsiTheme="majorHAnsi" w:cstheme="majorHAnsi"/>
                <w:i/>
                <w:iCs/>
                <w:color w:val="000000"/>
                <w:sz w:val="20"/>
                <w:szCs w:val="20"/>
                <w:lang w:val="ro-MD"/>
              </w:rPr>
              <w:t>(persoane)</w:t>
            </w:r>
          </w:p>
        </w:tc>
        <w:tc>
          <w:tcPr>
            <w:tcW w:w="10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DA494" w14:textId="4A23A999" w:rsidR="00DB70CA" w:rsidRPr="00736448" w:rsidRDefault="00DB70CA" w:rsidP="00186CDB">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Din care lucrează</w:t>
            </w:r>
            <w:r w:rsidRPr="00736448">
              <w:rPr>
                <w:rFonts w:asciiTheme="majorHAnsi" w:eastAsia="Times New Roman" w:hAnsiTheme="majorHAnsi" w:cstheme="majorHAnsi"/>
                <w:b/>
                <w:bCs/>
                <w:i/>
                <w:iCs/>
                <w:color w:val="000000"/>
                <w:sz w:val="20"/>
                <w:szCs w:val="20"/>
                <w:lang w:val="ro-MD"/>
              </w:rPr>
              <w:t xml:space="preserve"> </w:t>
            </w:r>
            <w:r w:rsidRPr="00736448">
              <w:rPr>
                <w:rFonts w:asciiTheme="majorHAnsi" w:eastAsia="Times New Roman" w:hAnsiTheme="majorHAnsi" w:cstheme="majorHAnsi"/>
                <w:i/>
                <w:iCs/>
                <w:color w:val="000000"/>
                <w:sz w:val="20"/>
                <w:szCs w:val="20"/>
                <w:lang w:val="ro-MD"/>
              </w:rPr>
              <w:t>(persoane)</w:t>
            </w:r>
          </w:p>
        </w:tc>
        <w:tc>
          <w:tcPr>
            <w:tcW w:w="12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9F79AA" w14:textId="77777777" w:rsidR="00DB70CA" w:rsidRPr="00736448"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B3591"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w:t>
            </w:r>
          </w:p>
        </w:tc>
        <w:tc>
          <w:tcPr>
            <w:tcW w:w="10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12C81A" w14:textId="77777777" w:rsidR="00DB70CA" w:rsidRPr="00736448"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w:t>
            </w:r>
          </w:p>
        </w:tc>
        <w:tc>
          <w:tcPr>
            <w:tcW w:w="11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371C5"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w:t>
            </w:r>
          </w:p>
        </w:tc>
      </w:tr>
      <w:tr w:rsidR="00DB70CA" w:rsidRPr="00B7675F" w14:paraId="4079BA04"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000000" w:fill="C9C9C9"/>
            <w:vAlign w:val="bottom"/>
            <w:hideMark/>
          </w:tcPr>
          <w:p w14:paraId="43CA7308"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2435" w:type="dxa"/>
            <w:tcBorders>
              <w:top w:val="nil"/>
              <w:left w:val="nil"/>
              <w:bottom w:val="single" w:sz="8" w:space="0" w:color="auto"/>
              <w:right w:val="single" w:sz="8" w:space="0" w:color="auto"/>
            </w:tcBorders>
            <w:shd w:val="clear" w:color="000000" w:fill="C9C9C9"/>
            <w:vAlign w:val="bottom"/>
            <w:hideMark/>
          </w:tcPr>
          <w:p w14:paraId="48ABE428" w14:textId="77777777" w:rsidR="00DB70CA" w:rsidRPr="00736448" w:rsidRDefault="00DB70CA" w:rsidP="00490517">
            <w:pPr>
              <w:spacing w:after="0" w:line="240" w:lineRule="auto"/>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 xml:space="preserve">Pensii total, </w:t>
            </w:r>
            <w:r w:rsidRPr="00736448">
              <w:rPr>
                <w:rFonts w:asciiTheme="majorHAnsi" w:eastAsia="Times New Roman" w:hAnsiTheme="majorHAnsi" w:cstheme="majorHAnsi"/>
                <w:b/>
                <w:bCs/>
                <w:i/>
                <w:iCs/>
                <w:color w:val="000000"/>
                <w:sz w:val="20"/>
                <w:szCs w:val="20"/>
                <w:lang w:val="ro-MD"/>
              </w:rPr>
              <w:t>inclusiv:</w:t>
            </w:r>
          </w:p>
        </w:tc>
        <w:tc>
          <w:tcPr>
            <w:tcW w:w="1159" w:type="dxa"/>
            <w:tcBorders>
              <w:top w:val="single" w:sz="4" w:space="0" w:color="auto"/>
              <w:left w:val="nil"/>
              <w:bottom w:val="single" w:sz="8" w:space="0" w:color="auto"/>
              <w:right w:val="single" w:sz="8" w:space="0" w:color="auto"/>
            </w:tcBorders>
            <w:shd w:val="clear" w:color="000000" w:fill="C9C9C9"/>
            <w:vAlign w:val="bottom"/>
            <w:hideMark/>
          </w:tcPr>
          <w:p w14:paraId="055C9BBD"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686251</w:t>
            </w:r>
          </w:p>
        </w:tc>
        <w:tc>
          <w:tcPr>
            <w:tcW w:w="1074" w:type="dxa"/>
            <w:tcBorders>
              <w:top w:val="single" w:sz="4" w:space="0" w:color="auto"/>
              <w:left w:val="nil"/>
              <w:bottom w:val="single" w:sz="8" w:space="0" w:color="auto"/>
              <w:right w:val="single" w:sz="8" w:space="0" w:color="auto"/>
            </w:tcBorders>
            <w:shd w:val="clear" w:color="000000" w:fill="C9C9C9"/>
            <w:vAlign w:val="bottom"/>
            <w:hideMark/>
          </w:tcPr>
          <w:p w14:paraId="4CCF66E5"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172516</w:t>
            </w:r>
          </w:p>
        </w:tc>
        <w:tc>
          <w:tcPr>
            <w:tcW w:w="1074" w:type="dxa"/>
            <w:tcBorders>
              <w:top w:val="single" w:sz="4" w:space="0" w:color="auto"/>
              <w:left w:val="nil"/>
              <w:bottom w:val="single" w:sz="8" w:space="0" w:color="auto"/>
              <w:right w:val="single" w:sz="8" w:space="0" w:color="auto"/>
            </w:tcBorders>
            <w:shd w:val="clear" w:color="000000" w:fill="C9C9C9"/>
            <w:vAlign w:val="bottom"/>
            <w:hideMark/>
          </w:tcPr>
          <w:p w14:paraId="4BAB32BC"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674948</w:t>
            </w:r>
          </w:p>
        </w:tc>
        <w:tc>
          <w:tcPr>
            <w:tcW w:w="1165" w:type="dxa"/>
            <w:tcBorders>
              <w:top w:val="single" w:sz="4" w:space="0" w:color="auto"/>
              <w:left w:val="nil"/>
              <w:bottom w:val="single" w:sz="8" w:space="0" w:color="auto"/>
              <w:right w:val="single" w:sz="8" w:space="0" w:color="auto"/>
            </w:tcBorders>
            <w:shd w:val="clear" w:color="000000" w:fill="C9C9C9"/>
            <w:vAlign w:val="bottom"/>
            <w:hideMark/>
          </w:tcPr>
          <w:p w14:paraId="01C64472"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169529</w:t>
            </w:r>
          </w:p>
        </w:tc>
        <w:tc>
          <w:tcPr>
            <w:tcW w:w="1134" w:type="dxa"/>
            <w:tcBorders>
              <w:top w:val="single" w:sz="4" w:space="0" w:color="auto"/>
              <w:left w:val="nil"/>
              <w:bottom w:val="single" w:sz="8" w:space="0" w:color="auto"/>
              <w:right w:val="single" w:sz="8" w:space="0" w:color="auto"/>
            </w:tcBorders>
            <w:shd w:val="clear" w:color="000000" w:fill="C9C9C9"/>
            <w:vAlign w:val="bottom"/>
            <w:hideMark/>
          </w:tcPr>
          <w:p w14:paraId="2E3C7D57"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675674</w:t>
            </w:r>
          </w:p>
        </w:tc>
        <w:tc>
          <w:tcPr>
            <w:tcW w:w="1074" w:type="dxa"/>
            <w:tcBorders>
              <w:top w:val="single" w:sz="4" w:space="0" w:color="auto"/>
              <w:left w:val="nil"/>
              <w:bottom w:val="single" w:sz="8" w:space="0" w:color="auto"/>
              <w:right w:val="nil"/>
            </w:tcBorders>
            <w:shd w:val="clear" w:color="000000" w:fill="D0CECE"/>
            <w:vAlign w:val="bottom"/>
            <w:hideMark/>
          </w:tcPr>
          <w:p w14:paraId="61A147BA"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171019</w:t>
            </w:r>
          </w:p>
        </w:tc>
        <w:tc>
          <w:tcPr>
            <w:tcW w:w="1227" w:type="dxa"/>
            <w:gridSpan w:val="2"/>
            <w:tcBorders>
              <w:top w:val="single" w:sz="4" w:space="0" w:color="auto"/>
              <w:left w:val="single" w:sz="4" w:space="0" w:color="auto"/>
              <w:bottom w:val="single" w:sz="8" w:space="0" w:color="auto"/>
              <w:right w:val="single" w:sz="4" w:space="0" w:color="auto"/>
            </w:tcBorders>
            <w:shd w:val="clear" w:color="000000" w:fill="D0CECE"/>
            <w:noWrap/>
            <w:vAlign w:val="bottom"/>
            <w:hideMark/>
          </w:tcPr>
          <w:p w14:paraId="0349823E"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-10577</w:t>
            </w:r>
          </w:p>
        </w:tc>
        <w:tc>
          <w:tcPr>
            <w:tcW w:w="1245" w:type="dxa"/>
            <w:tcBorders>
              <w:top w:val="single" w:sz="4" w:space="0" w:color="auto"/>
              <w:left w:val="nil"/>
              <w:bottom w:val="single" w:sz="8" w:space="0" w:color="auto"/>
              <w:right w:val="single" w:sz="4" w:space="0" w:color="auto"/>
            </w:tcBorders>
            <w:shd w:val="clear" w:color="000000" w:fill="D0CECE"/>
            <w:noWrap/>
            <w:vAlign w:val="bottom"/>
            <w:hideMark/>
          </w:tcPr>
          <w:p w14:paraId="36162591"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98,5%</w:t>
            </w:r>
          </w:p>
        </w:tc>
        <w:tc>
          <w:tcPr>
            <w:tcW w:w="1086" w:type="dxa"/>
            <w:gridSpan w:val="2"/>
            <w:tcBorders>
              <w:top w:val="single" w:sz="4" w:space="0" w:color="auto"/>
              <w:left w:val="nil"/>
              <w:bottom w:val="single" w:sz="8" w:space="0" w:color="auto"/>
              <w:right w:val="single" w:sz="4" w:space="0" w:color="auto"/>
            </w:tcBorders>
            <w:shd w:val="clear" w:color="000000" w:fill="D0CECE"/>
            <w:noWrap/>
            <w:vAlign w:val="bottom"/>
            <w:hideMark/>
          </w:tcPr>
          <w:p w14:paraId="0AAC097E"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-1497</w:t>
            </w:r>
          </w:p>
        </w:tc>
        <w:tc>
          <w:tcPr>
            <w:tcW w:w="1156" w:type="dxa"/>
            <w:tcBorders>
              <w:top w:val="single" w:sz="4" w:space="0" w:color="auto"/>
              <w:left w:val="nil"/>
              <w:bottom w:val="single" w:sz="8" w:space="0" w:color="auto"/>
              <w:right w:val="single" w:sz="8" w:space="0" w:color="auto"/>
            </w:tcBorders>
            <w:shd w:val="clear" w:color="000000" w:fill="D0CECE"/>
            <w:noWrap/>
            <w:vAlign w:val="bottom"/>
            <w:hideMark/>
          </w:tcPr>
          <w:p w14:paraId="04F4DAC7"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99,1%</w:t>
            </w:r>
          </w:p>
        </w:tc>
      </w:tr>
      <w:tr w:rsidR="00DB70CA" w:rsidRPr="00B7675F" w14:paraId="543D1C55"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18E20E5C"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2435" w:type="dxa"/>
            <w:tcBorders>
              <w:top w:val="nil"/>
              <w:left w:val="nil"/>
              <w:bottom w:val="single" w:sz="8" w:space="0" w:color="auto"/>
              <w:right w:val="single" w:sz="8" w:space="0" w:color="auto"/>
            </w:tcBorders>
            <w:shd w:val="clear" w:color="auto" w:fill="auto"/>
            <w:vAlign w:val="bottom"/>
            <w:hideMark/>
          </w:tcPr>
          <w:p w14:paraId="334DB045" w14:textId="667987C4"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pentru limita de v</w:t>
            </w:r>
            <w:r w:rsidR="00186CDB">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rst</w:t>
            </w:r>
            <w:r w:rsidR="00186CDB">
              <w:rPr>
                <w:rFonts w:asciiTheme="majorHAnsi" w:eastAsia="Times New Roman" w:hAnsiTheme="majorHAnsi" w:cstheme="majorHAnsi"/>
                <w:color w:val="000000"/>
                <w:sz w:val="20"/>
                <w:szCs w:val="20"/>
                <w:lang w:val="ro-MD"/>
              </w:rPr>
              <w:t>ă</w:t>
            </w:r>
          </w:p>
        </w:tc>
        <w:tc>
          <w:tcPr>
            <w:tcW w:w="1159" w:type="dxa"/>
            <w:tcBorders>
              <w:top w:val="nil"/>
              <w:left w:val="nil"/>
              <w:bottom w:val="single" w:sz="8" w:space="0" w:color="auto"/>
              <w:right w:val="single" w:sz="8" w:space="0" w:color="auto"/>
            </w:tcBorders>
            <w:shd w:val="clear" w:color="auto" w:fill="auto"/>
            <w:vAlign w:val="bottom"/>
            <w:hideMark/>
          </w:tcPr>
          <w:p w14:paraId="4670208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522821</w:t>
            </w:r>
          </w:p>
        </w:tc>
        <w:tc>
          <w:tcPr>
            <w:tcW w:w="1074" w:type="dxa"/>
            <w:tcBorders>
              <w:top w:val="nil"/>
              <w:left w:val="nil"/>
              <w:bottom w:val="single" w:sz="8" w:space="0" w:color="auto"/>
              <w:right w:val="single" w:sz="8" w:space="0" w:color="auto"/>
            </w:tcBorders>
            <w:shd w:val="clear" w:color="auto" w:fill="auto"/>
            <w:vAlign w:val="bottom"/>
            <w:hideMark/>
          </w:tcPr>
          <w:p w14:paraId="569CD69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123991</w:t>
            </w:r>
          </w:p>
        </w:tc>
        <w:tc>
          <w:tcPr>
            <w:tcW w:w="1074" w:type="dxa"/>
            <w:tcBorders>
              <w:top w:val="nil"/>
              <w:left w:val="nil"/>
              <w:bottom w:val="single" w:sz="8" w:space="0" w:color="auto"/>
              <w:right w:val="single" w:sz="8" w:space="0" w:color="auto"/>
            </w:tcBorders>
            <w:shd w:val="clear" w:color="auto" w:fill="auto"/>
            <w:vAlign w:val="bottom"/>
            <w:hideMark/>
          </w:tcPr>
          <w:p w14:paraId="59E1999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520927</w:t>
            </w:r>
          </w:p>
        </w:tc>
        <w:tc>
          <w:tcPr>
            <w:tcW w:w="1165" w:type="dxa"/>
            <w:tcBorders>
              <w:top w:val="nil"/>
              <w:left w:val="nil"/>
              <w:bottom w:val="single" w:sz="8" w:space="0" w:color="auto"/>
              <w:right w:val="single" w:sz="8" w:space="0" w:color="auto"/>
            </w:tcBorders>
            <w:shd w:val="clear" w:color="auto" w:fill="auto"/>
            <w:vAlign w:val="bottom"/>
            <w:hideMark/>
          </w:tcPr>
          <w:p w14:paraId="3ECD8F1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124795</w:t>
            </w:r>
          </w:p>
        </w:tc>
        <w:tc>
          <w:tcPr>
            <w:tcW w:w="1134" w:type="dxa"/>
            <w:tcBorders>
              <w:top w:val="nil"/>
              <w:left w:val="nil"/>
              <w:bottom w:val="single" w:sz="8" w:space="0" w:color="auto"/>
              <w:right w:val="single" w:sz="8" w:space="0" w:color="auto"/>
            </w:tcBorders>
            <w:shd w:val="clear" w:color="auto" w:fill="auto"/>
            <w:vAlign w:val="bottom"/>
            <w:hideMark/>
          </w:tcPr>
          <w:p w14:paraId="6EF84F4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526017</w:t>
            </w:r>
          </w:p>
        </w:tc>
        <w:tc>
          <w:tcPr>
            <w:tcW w:w="1074" w:type="dxa"/>
            <w:tcBorders>
              <w:top w:val="nil"/>
              <w:left w:val="nil"/>
              <w:bottom w:val="single" w:sz="8" w:space="0" w:color="auto"/>
              <w:right w:val="nil"/>
            </w:tcBorders>
            <w:shd w:val="clear" w:color="auto" w:fill="auto"/>
            <w:vAlign w:val="bottom"/>
            <w:hideMark/>
          </w:tcPr>
          <w:p w14:paraId="47057D4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123732</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8A2FE3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3196</w:t>
            </w:r>
          </w:p>
        </w:tc>
        <w:tc>
          <w:tcPr>
            <w:tcW w:w="1245" w:type="dxa"/>
            <w:tcBorders>
              <w:top w:val="nil"/>
              <w:left w:val="nil"/>
              <w:bottom w:val="single" w:sz="4" w:space="0" w:color="auto"/>
              <w:right w:val="single" w:sz="4" w:space="0" w:color="auto"/>
            </w:tcBorders>
            <w:shd w:val="clear" w:color="auto" w:fill="auto"/>
            <w:noWrap/>
            <w:vAlign w:val="bottom"/>
            <w:hideMark/>
          </w:tcPr>
          <w:p w14:paraId="5FFEF7B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100,6%</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371233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-259</w:t>
            </w:r>
          </w:p>
        </w:tc>
        <w:tc>
          <w:tcPr>
            <w:tcW w:w="1156" w:type="dxa"/>
            <w:tcBorders>
              <w:top w:val="nil"/>
              <w:left w:val="nil"/>
              <w:bottom w:val="single" w:sz="4" w:space="0" w:color="auto"/>
              <w:right w:val="single" w:sz="4" w:space="0" w:color="auto"/>
            </w:tcBorders>
            <w:shd w:val="clear" w:color="auto" w:fill="auto"/>
            <w:noWrap/>
            <w:vAlign w:val="bottom"/>
            <w:hideMark/>
          </w:tcPr>
          <w:p w14:paraId="366177C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99,8%</w:t>
            </w:r>
          </w:p>
        </w:tc>
      </w:tr>
      <w:tr w:rsidR="00DB70CA" w:rsidRPr="00B7675F" w14:paraId="70667E6E"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4774B934"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w:t>
            </w:r>
          </w:p>
        </w:tc>
        <w:tc>
          <w:tcPr>
            <w:tcW w:w="2435" w:type="dxa"/>
            <w:tcBorders>
              <w:top w:val="nil"/>
              <w:left w:val="nil"/>
              <w:bottom w:val="single" w:sz="8" w:space="0" w:color="auto"/>
              <w:right w:val="single" w:sz="8" w:space="0" w:color="auto"/>
            </w:tcBorders>
            <w:shd w:val="clear" w:color="auto" w:fill="auto"/>
            <w:vAlign w:val="bottom"/>
            <w:hideMark/>
          </w:tcPr>
          <w:p w14:paraId="63F1CEF0"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de dizabilitate</w:t>
            </w:r>
          </w:p>
        </w:tc>
        <w:tc>
          <w:tcPr>
            <w:tcW w:w="1159" w:type="dxa"/>
            <w:tcBorders>
              <w:top w:val="nil"/>
              <w:left w:val="nil"/>
              <w:bottom w:val="single" w:sz="8" w:space="0" w:color="auto"/>
              <w:right w:val="single" w:sz="8" w:space="0" w:color="auto"/>
            </w:tcBorders>
            <w:shd w:val="clear" w:color="auto" w:fill="auto"/>
            <w:vAlign w:val="bottom"/>
            <w:hideMark/>
          </w:tcPr>
          <w:p w14:paraId="4E9CBF3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119015</w:t>
            </w:r>
          </w:p>
        </w:tc>
        <w:tc>
          <w:tcPr>
            <w:tcW w:w="1074" w:type="dxa"/>
            <w:tcBorders>
              <w:top w:val="nil"/>
              <w:left w:val="nil"/>
              <w:bottom w:val="single" w:sz="8" w:space="0" w:color="auto"/>
              <w:right w:val="single" w:sz="8" w:space="0" w:color="auto"/>
            </w:tcBorders>
            <w:shd w:val="clear" w:color="auto" w:fill="auto"/>
            <w:vAlign w:val="bottom"/>
            <w:hideMark/>
          </w:tcPr>
          <w:p w14:paraId="6E60FF7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31694</w:t>
            </w:r>
          </w:p>
        </w:tc>
        <w:tc>
          <w:tcPr>
            <w:tcW w:w="1074" w:type="dxa"/>
            <w:tcBorders>
              <w:top w:val="nil"/>
              <w:left w:val="nil"/>
              <w:bottom w:val="single" w:sz="8" w:space="0" w:color="auto"/>
              <w:right w:val="single" w:sz="8" w:space="0" w:color="auto"/>
            </w:tcBorders>
            <w:shd w:val="clear" w:color="auto" w:fill="auto"/>
            <w:vAlign w:val="bottom"/>
            <w:hideMark/>
          </w:tcPr>
          <w:p w14:paraId="1A34770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110856</w:t>
            </w:r>
          </w:p>
        </w:tc>
        <w:tc>
          <w:tcPr>
            <w:tcW w:w="1165" w:type="dxa"/>
            <w:tcBorders>
              <w:top w:val="nil"/>
              <w:left w:val="nil"/>
              <w:bottom w:val="single" w:sz="8" w:space="0" w:color="auto"/>
              <w:right w:val="single" w:sz="8" w:space="0" w:color="auto"/>
            </w:tcBorders>
            <w:shd w:val="clear" w:color="auto" w:fill="auto"/>
            <w:vAlign w:val="bottom"/>
            <w:hideMark/>
          </w:tcPr>
          <w:p w14:paraId="69C8283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29310</w:t>
            </w:r>
          </w:p>
        </w:tc>
        <w:tc>
          <w:tcPr>
            <w:tcW w:w="1134" w:type="dxa"/>
            <w:tcBorders>
              <w:top w:val="nil"/>
              <w:left w:val="nil"/>
              <w:bottom w:val="single" w:sz="8" w:space="0" w:color="auto"/>
              <w:right w:val="single" w:sz="8" w:space="0" w:color="auto"/>
            </w:tcBorders>
            <w:shd w:val="clear" w:color="auto" w:fill="auto"/>
            <w:vAlign w:val="bottom"/>
            <w:hideMark/>
          </w:tcPr>
          <w:p w14:paraId="3EBC389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102225</w:t>
            </w:r>
          </w:p>
        </w:tc>
        <w:tc>
          <w:tcPr>
            <w:tcW w:w="1074" w:type="dxa"/>
            <w:tcBorders>
              <w:top w:val="nil"/>
              <w:left w:val="nil"/>
              <w:bottom w:val="single" w:sz="8" w:space="0" w:color="auto"/>
              <w:right w:val="nil"/>
            </w:tcBorders>
            <w:shd w:val="clear" w:color="auto" w:fill="auto"/>
            <w:vAlign w:val="bottom"/>
            <w:hideMark/>
          </w:tcPr>
          <w:p w14:paraId="55D4254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27835</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6A679D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-16790</w:t>
            </w:r>
          </w:p>
        </w:tc>
        <w:tc>
          <w:tcPr>
            <w:tcW w:w="1245" w:type="dxa"/>
            <w:tcBorders>
              <w:top w:val="nil"/>
              <w:left w:val="nil"/>
              <w:bottom w:val="single" w:sz="4" w:space="0" w:color="auto"/>
              <w:right w:val="single" w:sz="4" w:space="0" w:color="auto"/>
            </w:tcBorders>
            <w:shd w:val="clear" w:color="auto" w:fill="auto"/>
            <w:noWrap/>
            <w:vAlign w:val="bottom"/>
            <w:hideMark/>
          </w:tcPr>
          <w:p w14:paraId="7B9C382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85,9%</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322A88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-3859</w:t>
            </w:r>
          </w:p>
        </w:tc>
        <w:tc>
          <w:tcPr>
            <w:tcW w:w="1156" w:type="dxa"/>
            <w:tcBorders>
              <w:top w:val="nil"/>
              <w:left w:val="nil"/>
              <w:bottom w:val="single" w:sz="4" w:space="0" w:color="auto"/>
              <w:right w:val="single" w:sz="4" w:space="0" w:color="auto"/>
            </w:tcBorders>
            <w:shd w:val="clear" w:color="auto" w:fill="auto"/>
            <w:noWrap/>
            <w:vAlign w:val="bottom"/>
            <w:hideMark/>
          </w:tcPr>
          <w:p w14:paraId="53A808C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87,8%</w:t>
            </w:r>
          </w:p>
        </w:tc>
      </w:tr>
      <w:tr w:rsidR="00DB70CA" w:rsidRPr="00B7675F" w14:paraId="6A4612C7"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270D39A0"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2435" w:type="dxa"/>
            <w:tcBorders>
              <w:top w:val="nil"/>
              <w:left w:val="nil"/>
              <w:bottom w:val="single" w:sz="8" w:space="0" w:color="auto"/>
              <w:right w:val="single" w:sz="8" w:space="0" w:color="auto"/>
            </w:tcBorders>
            <w:shd w:val="clear" w:color="auto" w:fill="auto"/>
            <w:vAlign w:val="bottom"/>
            <w:hideMark/>
          </w:tcPr>
          <w:p w14:paraId="416865BF" w14:textId="5F5A6ADA"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de urma</w:t>
            </w:r>
            <w:r w:rsidR="00186CDB">
              <w:rPr>
                <w:rFonts w:asciiTheme="majorHAnsi" w:eastAsia="Times New Roman" w:hAnsiTheme="majorHAnsi" w:cstheme="majorHAnsi"/>
                <w:color w:val="000000"/>
                <w:sz w:val="20"/>
                <w:szCs w:val="20"/>
                <w:lang w:val="ro-MD"/>
              </w:rPr>
              <w:t>ș</w:t>
            </w:r>
          </w:p>
        </w:tc>
        <w:tc>
          <w:tcPr>
            <w:tcW w:w="1159" w:type="dxa"/>
            <w:tcBorders>
              <w:top w:val="nil"/>
              <w:left w:val="nil"/>
              <w:bottom w:val="single" w:sz="8" w:space="0" w:color="auto"/>
              <w:right w:val="single" w:sz="8" w:space="0" w:color="auto"/>
            </w:tcBorders>
            <w:shd w:val="clear" w:color="auto" w:fill="auto"/>
            <w:vAlign w:val="bottom"/>
            <w:hideMark/>
          </w:tcPr>
          <w:p w14:paraId="5D143A2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10988</w:t>
            </w:r>
          </w:p>
        </w:tc>
        <w:tc>
          <w:tcPr>
            <w:tcW w:w="1074" w:type="dxa"/>
            <w:tcBorders>
              <w:top w:val="nil"/>
              <w:left w:val="nil"/>
              <w:bottom w:val="single" w:sz="8" w:space="0" w:color="auto"/>
              <w:right w:val="single" w:sz="8" w:space="0" w:color="auto"/>
            </w:tcBorders>
            <w:shd w:val="clear" w:color="auto" w:fill="auto"/>
            <w:vAlign w:val="bottom"/>
            <w:hideMark/>
          </w:tcPr>
          <w:p w14:paraId="6C09093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1206</w:t>
            </w:r>
          </w:p>
        </w:tc>
        <w:tc>
          <w:tcPr>
            <w:tcW w:w="1074" w:type="dxa"/>
            <w:tcBorders>
              <w:top w:val="nil"/>
              <w:left w:val="nil"/>
              <w:bottom w:val="single" w:sz="8" w:space="0" w:color="auto"/>
              <w:right w:val="single" w:sz="8" w:space="0" w:color="auto"/>
            </w:tcBorders>
            <w:shd w:val="clear" w:color="auto" w:fill="auto"/>
            <w:vAlign w:val="bottom"/>
            <w:hideMark/>
          </w:tcPr>
          <w:p w14:paraId="31B2A12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11424</w:t>
            </w:r>
          </w:p>
        </w:tc>
        <w:tc>
          <w:tcPr>
            <w:tcW w:w="1165" w:type="dxa"/>
            <w:tcBorders>
              <w:top w:val="nil"/>
              <w:left w:val="nil"/>
              <w:bottom w:val="single" w:sz="8" w:space="0" w:color="auto"/>
              <w:right w:val="single" w:sz="8" w:space="0" w:color="auto"/>
            </w:tcBorders>
            <w:shd w:val="clear" w:color="auto" w:fill="auto"/>
            <w:vAlign w:val="bottom"/>
            <w:hideMark/>
          </w:tcPr>
          <w:p w14:paraId="2CDC1A1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1164</w:t>
            </w:r>
          </w:p>
        </w:tc>
        <w:tc>
          <w:tcPr>
            <w:tcW w:w="1134" w:type="dxa"/>
            <w:tcBorders>
              <w:top w:val="nil"/>
              <w:left w:val="nil"/>
              <w:bottom w:val="single" w:sz="8" w:space="0" w:color="auto"/>
              <w:right w:val="single" w:sz="8" w:space="0" w:color="auto"/>
            </w:tcBorders>
            <w:shd w:val="clear" w:color="auto" w:fill="auto"/>
            <w:vAlign w:val="bottom"/>
            <w:hideMark/>
          </w:tcPr>
          <w:p w14:paraId="12E10F6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11573</w:t>
            </w:r>
          </w:p>
        </w:tc>
        <w:tc>
          <w:tcPr>
            <w:tcW w:w="1074" w:type="dxa"/>
            <w:tcBorders>
              <w:top w:val="nil"/>
              <w:left w:val="nil"/>
              <w:bottom w:val="single" w:sz="8" w:space="0" w:color="auto"/>
              <w:right w:val="nil"/>
            </w:tcBorders>
            <w:shd w:val="clear" w:color="auto" w:fill="auto"/>
            <w:vAlign w:val="bottom"/>
            <w:hideMark/>
          </w:tcPr>
          <w:p w14:paraId="5F18238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1332</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18C93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585</w:t>
            </w:r>
          </w:p>
        </w:tc>
        <w:tc>
          <w:tcPr>
            <w:tcW w:w="1245" w:type="dxa"/>
            <w:tcBorders>
              <w:top w:val="nil"/>
              <w:left w:val="nil"/>
              <w:bottom w:val="single" w:sz="4" w:space="0" w:color="auto"/>
              <w:right w:val="single" w:sz="4" w:space="0" w:color="auto"/>
            </w:tcBorders>
            <w:shd w:val="clear" w:color="auto" w:fill="auto"/>
            <w:noWrap/>
            <w:vAlign w:val="bottom"/>
            <w:hideMark/>
          </w:tcPr>
          <w:p w14:paraId="1DEC198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105,3%</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59BFBA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126</w:t>
            </w:r>
          </w:p>
        </w:tc>
        <w:tc>
          <w:tcPr>
            <w:tcW w:w="1156" w:type="dxa"/>
            <w:tcBorders>
              <w:top w:val="nil"/>
              <w:left w:val="nil"/>
              <w:bottom w:val="single" w:sz="4" w:space="0" w:color="auto"/>
              <w:right w:val="single" w:sz="4" w:space="0" w:color="auto"/>
            </w:tcBorders>
            <w:shd w:val="clear" w:color="auto" w:fill="auto"/>
            <w:noWrap/>
            <w:vAlign w:val="bottom"/>
            <w:hideMark/>
          </w:tcPr>
          <w:p w14:paraId="4C12049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110,4%</w:t>
            </w:r>
          </w:p>
        </w:tc>
      </w:tr>
      <w:tr w:rsidR="00DB70CA" w:rsidRPr="00B7675F" w14:paraId="6C2A9D68"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1D4B4FE9"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w:t>
            </w:r>
          </w:p>
        </w:tc>
        <w:tc>
          <w:tcPr>
            <w:tcW w:w="2435" w:type="dxa"/>
            <w:tcBorders>
              <w:top w:val="nil"/>
              <w:left w:val="nil"/>
              <w:bottom w:val="single" w:sz="8" w:space="0" w:color="auto"/>
              <w:right w:val="single" w:sz="8" w:space="0" w:color="auto"/>
            </w:tcBorders>
            <w:shd w:val="clear" w:color="auto" w:fill="auto"/>
            <w:vAlign w:val="bottom"/>
            <w:hideMark/>
          </w:tcPr>
          <w:p w14:paraId="6D455B88" w14:textId="759F5BDF"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xml:space="preserve">Vechime </w:t>
            </w:r>
            <w:r w:rsidR="00186CDB">
              <w:rPr>
                <w:rFonts w:asciiTheme="majorHAnsi" w:eastAsia="Times New Roman" w:hAnsiTheme="majorHAnsi" w:cstheme="majorHAnsi"/>
                <w:color w:val="000000"/>
                <w:sz w:val="20"/>
                <w:szCs w:val="20"/>
                <w:lang w:val="ro-MD"/>
              </w:rPr>
              <w:t>î</w:t>
            </w:r>
            <w:r w:rsidRPr="00736448">
              <w:rPr>
                <w:rFonts w:asciiTheme="majorHAnsi" w:eastAsia="Times New Roman" w:hAnsiTheme="majorHAnsi" w:cstheme="majorHAnsi"/>
                <w:color w:val="000000"/>
                <w:sz w:val="20"/>
                <w:szCs w:val="20"/>
                <w:lang w:val="ro-MD"/>
              </w:rPr>
              <w:t>n munc</w:t>
            </w:r>
            <w:r w:rsidR="00186CDB">
              <w:rPr>
                <w:rFonts w:asciiTheme="majorHAnsi" w:eastAsia="Times New Roman" w:hAnsiTheme="majorHAnsi" w:cstheme="majorHAnsi"/>
                <w:color w:val="000000"/>
                <w:sz w:val="20"/>
                <w:szCs w:val="20"/>
                <w:lang w:val="ro-MD"/>
              </w:rPr>
              <w:t>ă</w:t>
            </w:r>
          </w:p>
        </w:tc>
        <w:tc>
          <w:tcPr>
            <w:tcW w:w="1159" w:type="dxa"/>
            <w:tcBorders>
              <w:top w:val="nil"/>
              <w:left w:val="nil"/>
              <w:bottom w:val="single" w:sz="8" w:space="0" w:color="auto"/>
              <w:right w:val="single" w:sz="8" w:space="0" w:color="auto"/>
            </w:tcBorders>
            <w:shd w:val="clear" w:color="auto" w:fill="auto"/>
            <w:vAlign w:val="bottom"/>
            <w:hideMark/>
          </w:tcPr>
          <w:p w14:paraId="18D571F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50</w:t>
            </w:r>
          </w:p>
        </w:tc>
        <w:tc>
          <w:tcPr>
            <w:tcW w:w="1074" w:type="dxa"/>
            <w:tcBorders>
              <w:top w:val="nil"/>
              <w:left w:val="nil"/>
              <w:bottom w:val="single" w:sz="8" w:space="0" w:color="auto"/>
              <w:right w:val="single" w:sz="8" w:space="0" w:color="auto"/>
            </w:tcBorders>
            <w:shd w:val="clear" w:color="auto" w:fill="auto"/>
            <w:vAlign w:val="bottom"/>
            <w:hideMark/>
          </w:tcPr>
          <w:p w14:paraId="4F81A01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w:t>
            </w:r>
          </w:p>
        </w:tc>
        <w:tc>
          <w:tcPr>
            <w:tcW w:w="1074" w:type="dxa"/>
            <w:tcBorders>
              <w:top w:val="nil"/>
              <w:left w:val="nil"/>
              <w:bottom w:val="single" w:sz="8" w:space="0" w:color="auto"/>
              <w:right w:val="single" w:sz="8" w:space="0" w:color="auto"/>
            </w:tcBorders>
            <w:shd w:val="clear" w:color="auto" w:fill="auto"/>
            <w:vAlign w:val="bottom"/>
            <w:hideMark/>
          </w:tcPr>
          <w:p w14:paraId="3AE7754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w:t>
            </w:r>
          </w:p>
        </w:tc>
        <w:tc>
          <w:tcPr>
            <w:tcW w:w="1165" w:type="dxa"/>
            <w:tcBorders>
              <w:top w:val="nil"/>
              <w:left w:val="nil"/>
              <w:bottom w:val="single" w:sz="8" w:space="0" w:color="auto"/>
              <w:right w:val="single" w:sz="8" w:space="0" w:color="auto"/>
            </w:tcBorders>
            <w:shd w:val="clear" w:color="auto" w:fill="auto"/>
            <w:vAlign w:val="bottom"/>
            <w:hideMark/>
          </w:tcPr>
          <w:p w14:paraId="5C8A5C3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1134" w:type="dxa"/>
            <w:tcBorders>
              <w:top w:val="nil"/>
              <w:left w:val="nil"/>
              <w:bottom w:val="single" w:sz="8" w:space="0" w:color="auto"/>
              <w:right w:val="single" w:sz="8" w:space="0" w:color="auto"/>
            </w:tcBorders>
            <w:shd w:val="clear" w:color="auto" w:fill="auto"/>
            <w:vAlign w:val="bottom"/>
            <w:hideMark/>
          </w:tcPr>
          <w:p w14:paraId="42FF76E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w:t>
            </w:r>
          </w:p>
        </w:tc>
        <w:tc>
          <w:tcPr>
            <w:tcW w:w="1074" w:type="dxa"/>
            <w:tcBorders>
              <w:top w:val="nil"/>
              <w:left w:val="nil"/>
              <w:bottom w:val="single" w:sz="8" w:space="0" w:color="auto"/>
              <w:right w:val="nil"/>
            </w:tcBorders>
            <w:shd w:val="clear" w:color="auto" w:fill="auto"/>
            <w:vAlign w:val="bottom"/>
            <w:hideMark/>
          </w:tcPr>
          <w:p w14:paraId="5D81511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45118D2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w:t>
            </w:r>
          </w:p>
        </w:tc>
        <w:tc>
          <w:tcPr>
            <w:tcW w:w="1245" w:type="dxa"/>
            <w:tcBorders>
              <w:top w:val="nil"/>
              <w:left w:val="nil"/>
              <w:bottom w:val="single" w:sz="4" w:space="0" w:color="auto"/>
              <w:right w:val="single" w:sz="4" w:space="0" w:color="auto"/>
            </w:tcBorders>
            <w:shd w:val="clear" w:color="auto" w:fill="auto"/>
            <w:noWrap/>
            <w:vAlign w:val="bottom"/>
            <w:hideMark/>
          </w:tcPr>
          <w:p w14:paraId="4D6176F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50,0%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F1E0BD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1156" w:type="dxa"/>
            <w:tcBorders>
              <w:top w:val="nil"/>
              <w:left w:val="nil"/>
              <w:bottom w:val="single" w:sz="4" w:space="0" w:color="auto"/>
              <w:right w:val="single" w:sz="4" w:space="0" w:color="auto"/>
            </w:tcBorders>
            <w:shd w:val="clear" w:color="auto" w:fill="auto"/>
            <w:noWrap/>
            <w:vAlign w:val="bottom"/>
            <w:hideMark/>
          </w:tcPr>
          <w:p w14:paraId="2EB8373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37,5%</w:t>
            </w:r>
          </w:p>
        </w:tc>
      </w:tr>
      <w:tr w:rsidR="00DB70CA" w:rsidRPr="00B7675F" w14:paraId="0765AF93"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39E57E9E"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2435" w:type="dxa"/>
            <w:tcBorders>
              <w:top w:val="nil"/>
              <w:left w:val="nil"/>
              <w:bottom w:val="single" w:sz="8" w:space="0" w:color="auto"/>
              <w:right w:val="single" w:sz="8" w:space="0" w:color="auto"/>
            </w:tcBorders>
            <w:shd w:val="clear" w:color="auto" w:fill="auto"/>
            <w:vAlign w:val="bottom"/>
            <w:hideMark/>
          </w:tcPr>
          <w:p w14:paraId="3437332A" w14:textId="7750288A"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unor categorii de angaja</w:t>
            </w:r>
            <w:r w:rsidR="00186CDB">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 din avia</w:t>
            </w:r>
            <w:r w:rsidR="00186CDB">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ia civil</w:t>
            </w:r>
            <w:r w:rsidR="00186CDB">
              <w:rPr>
                <w:rFonts w:asciiTheme="majorHAnsi" w:eastAsia="Times New Roman" w:hAnsiTheme="majorHAnsi" w:cstheme="majorHAnsi"/>
                <w:color w:val="000000"/>
                <w:sz w:val="20"/>
                <w:szCs w:val="20"/>
                <w:lang w:val="ro-MD"/>
              </w:rPr>
              <w:t>ă</w:t>
            </w:r>
          </w:p>
        </w:tc>
        <w:tc>
          <w:tcPr>
            <w:tcW w:w="1159" w:type="dxa"/>
            <w:tcBorders>
              <w:top w:val="nil"/>
              <w:left w:val="nil"/>
              <w:bottom w:val="single" w:sz="8" w:space="0" w:color="auto"/>
              <w:right w:val="single" w:sz="8" w:space="0" w:color="auto"/>
            </w:tcBorders>
            <w:shd w:val="clear" w:color="auto" w:fill="auto"/>
            <w:vAlign w:val="bottom"/>
            <w:hideMark/>
          </w:tcPr>
          <w:p w14:paraId="44B29BD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523</w:t>
            </w:r>
          </w:p>
        </w:tc>
        <w:tc>
          <w:tcPr>
            <w:tcW w:w="1074" w:type="dxa"/>
            <w:tcBorders>
              <w:top w:val="nil"/>
              <w:left w:val="nil"/>
              <w:bottom w:val="single" w:sz="8" w:space="0" w:color="auto"/>
              <w:right w:val="single" w:sz="8" w:space="0" w:color="auto"/>
            </w:tcBorders>
            <w:shd w:val="clear" w:color="auto" w:fill="auto"/>
            <w:vAlign w:val="bottom"/>
            <w:hideMark/>
          </w:tcPr>
          <w:p w14:paraId="131148D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148</w:t>
            </w:r>
          </w:p>
        </w:tc>
        <w:tc>
          <w:tcPr>
            <w:tcW w:w="1074" w:type="dxa"/>
            <w:tcBorders>
              <w:top w:val="nil"/>
              <w:left w:val="nil"/>
              <w:bottom w:val="single" w:sz="8" w:space="0" w:color="auto"/>
              <w:right w:val="single" w:sz="8" w:space="0" w:color="auto"/>
            </w:tcBorders>
            <w:shd w:val="clear" w:color="auto" w:fill="auto"/>
            <w:vAlign w:val="bottom"/>
            <w:hideMark/>
          </w:tcPr>
          <w:p w14:paraId="19235F3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476</w:t>
            </w:r>
          </w:p>
        </w:tc>
        <w:tc>
          <w:tcPr>
            <w:tcW w:w="1165" w:type="dxa"/>
            <w:tcBorders>
              <w:top w:val="nil"/>
              <w:left w:val="nil"/>
              <w:bottom w:val="single" w:sz="8" w:space="0" w:color="auto"/>
              <w:right w:val="single" w:sz="8" w:space="0" w:color="auto"/>
            </w:tcBorders>
            <w:shd w:val="clear" w:color="auto" w:fill="auto"/>
            <w:vAlign w:val="bottom"/>
            <w:hideMark/>
          </w:tcPr>
          <w:p w14:paraId="7D09241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120</w:t>
            </w:r>
          </w:p>
        </w:tc>
        <w:tc>
          <w:tcPr>
            <w:tcW w:w="1134" w:type="dxa"/>
            <w:tcBorders>
              <w:top w:val="nil"/>
              <w:left w:val="nil"/>
              <w:bottom w:val="single" w:sz="8" w:space="0" w:color="auto"/>
              <w:right w:val="single" w:sz="8" w:space="0" w:color="auto"/>
            </w:tcBorders>
            <w:shd w:val="clear" w:color="auto" w:fill="auto"/>
            <w:vAlign w:val="bottom"/>
            <w:hideMark/>
          </w:tcPr>
          <w:p w14:paraId="62BA4F0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462</w:t>
            </w:r>
          </w:p>
        </w:tc>
        <w:tc>
          <w:tcPr>
            <w:tcW w:w="1074" w:type="dxa"/>
            <w:tcBorders>
              <w:top w:val="nil"/>
              <w:left w:val="nil"/>
              <w:bottom w:val="single" w:sz="8" w:space="0" w:color="auto"/>
              <w:right w:val="nil"/>
            </w:tcBorders>
            <w:shd w:val="clear" w:color="auto" w:fill="auto"/>
            <w:vAlign w:val="bottom"/>
            <w:hideMark/>
          </w:tcPr>
          <w:p w14:paraId="2076ED9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104</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D8604E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-61</w:t>
            </w:r>
          </w:p>
        </w:tc>
        <w:tc>
          <w:tcPr>
            <w:tcW w:w="1245" w:type="dxa"/>
            <w:tcBorders>
              <w:top w:val="nil"/>
              <w:left w:val="nil"/>
              <w:bottom w:val="single" w:sz="4" w:space="0" w:color="auto"/>
              <w:right w:val="single" w:sz="4" w:space="0" w:color="auto"/>
            </w:tcBorders>
            <w:shd w:val="clear" w:color="auto" w:fill="auto"/>
            <w:noWrap/>
            <w:vAlign w:val="bottom"/>
            <w:hideMark/>
          </w:tcPr>
          <w:p w14:paraId="697741E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88,3%</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F28EE6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-44</w:t>
            </w:r>
          </w:p>
        </w:tc>
        <w:tc>
          <w:tcPr>
            <w:tcW w:w="1156" w:type="dxa"/>
            <w:tcBorders>
              <w:top w:val="nil"/>
              <w:left w:val="nil"/>
              <w:bottom w:val="single" w:sz="4" w:space="0" w:color="auto"/>
              <w:right w:val="single" w:sz="4" w:space="0" w:color="auto"/>
            </w:tcBorders>
            <w:shd w:val="clear" w:color="auto" w:fill="auto"/>
            <w:noWrap/>
            <w:vAlign w:val="bottom"/>
            <w:hideMark/>
          </w:tcPr>
          <w:p w14:paraId="004F907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70,3%</w:t>
            </w:r>
          </w:p>
        </w:tc>
      </w:tr>
      <w:tr w:rsidR="00DB70CA" w:rsidRPr="00B7675F" w14:paraId="247E4C2A"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630D506D"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w:t>
            </w:r>
          </w:p>
        </w:tc>
        <w:tc>
          <w:tcPr>
            <w:tcW w:w="2435" w:type="dxa"/>
            <w:tcBorders>
              <w:top w:val="nil"/>
              <w:left w:val="nil"/>
              <w:bottom w:val="single" w:sz="8" w:space="0" w:color="auto"/>
              <w:right w:val="single" w:sz="8" w:space="0" w:color="auto"/>
            </w:tcBorders>
            <w:shd w:val="clear" w:color="auto" w:fill="auto"/>
            <w:vAlign w:val="bottom"/>
            <w:hideMark/>
          </w:tcPr>
          <w:p w14:paraId="10D34C65" w14:textId="593020FB"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unor categorii de angaja</w:t>
            </w:r>
            <w:r w:rsidR="00186CDB">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 din domeniul culturii</w:t>
            </w:r>
          </w:p>
        </w:tc>
        <w:tc>
          <w:tcPr>
            <w:tcW w:w="1159" w:type="dxa"/>
            <w:tcBorders>
              <w:top w:val="nil"/>
              <w:left w:val="nil"/>
              <w:bottom w:val="single" w:sz="8" w:space="0" w:color="auto"/>
              <w:right w:val="single" w:sz="8" w:space="0" w:color="auto"/>
            </w:tcBorders>
            <w:shd w:val="clear" w:color="auto" w:fill="auto"/>
            <w:vAlign w:val="bottom"/>
            <w:hideMark/>
          </w:tcPr>
          <w:p w14:paraId="15266AF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w:t>
            </w:r>
          </w:p>
        </w:tc>
        <w:tc>
          <w:tcPr>
            <w:tcW w:w="1074" w:type="dxa"/>
            <w:tcBorders>
              <w:top w:val="nil"/>
              <w:left w:val="nil"/>
              <w:bottom w:val="single" w:sz="8" w:space="0" w:color="auto"/>
              <w:right w:val="single" w:sz="8" w:space="0" w:color="auto"/>
            </w:tcBorders>
            <w:shd w:val="clear" w:color="auto" w:fill="auto"/>
            <w:vAlign w:val="bottom"/>
            <w:hideMark/>
          </w:tcPr>
          <w:p w14:paraId="7DE2B9B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w:t>
            </w:r>
          </w:p>
        </w:tc>
        <w:tc>
          <w:tcPr>
            <w:tcW w:w="1074" w:type="dxa"/>
            <w:tcBorders>
              <w:top w:val="nil"/>
              <w:left w:val="nil"/>
              <w:bottom w:val="single" w:sz="8" w:space="0" w:color="auto"/>
              <w:right w:val="single" w:sz="8" w:space="0" w:color="auto"/>
            </w:tcBorders>
            <w:shd w:val="clear" w:color="auto" w:fill="auto"/>
            <w:vAlign w:val="bottom"/>
            <w:hideMark/>
          </w:tcPr>
          <w:p w14:paraId="7DFB3A2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33</w:t>
            </w:r>
          </w:p>
        </w:tc>
        <w:tc>
          <w:tcPr>
            <w:tcW w:w="1165" w:type="dxa"/>
            <w:tcBorders>
              <w:top w:val="nil"/>
              <w:left w:val="nil"/>
              <w:bottom w:val="single" w:sz="8" w:space="0" w:color="auto"/>
              <w:right w:val="single" w:sz="8" w:space="0" w:color="auto"/>
            </w:tcBorders>
            <w:shd w:val="clear" w:color="auto" w:fill="auto"/>
            <w:vAlign w:val="bottom"/>
            <w:hideMark/>
          </w:tcPr>
          <w:p w14:paraId="29F1FB0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26</w:t>
            </w:r>
          </w:p>
        </w:tc>
        <w:tc>
          <w:tcPr>
            <w:tcW w:w="1134" w:type="dxa"/>
            <w:tcBorders>
              <w:top w:val="nil"/>
              <w:left w:val="nil"/>
              <w:bottom w:val="single" w:sz="8" w:space="0" w:color="auto"/>
              <w:right w:val="single" w:sz="8" w:space="0" w:color="auto"/>
            </w:tcBorders>
            <w:shd w:val="clear" w:color="auto" w:fill="auto"/>
            <w:vAlign w:val="bottom"/>
            <w:hideMark/>
          </w:tcPr>
          <w:p w14:paraId="4338ED5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w:t>
            </w:r>
          </w:p>
        </w:tc>
        <w:tc>
          <w:tcPr>
            <w:tcW w:w="1074" w:type="dxa"/>
            <w:tcBorders>
              <w:top w:val="nil"/>
              <w:left w:val="nil"/>
              <w:bottom w:val="single" w:sz="8" w:space="0" w:color="auto"/>
              <w:right w:val="nil"/>
            </w:tcBorders>
            <w:shd w:val="clear" w:color="auto" w:fill="auto"/>
            <w:vAlign w:val="bottom"/>
            <w:hideMark/>
          </w:tcPr>
          <w:p w14:paraId="79F56D8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778C9B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245" w:type="dxa"/>
            <w:tcBorders>
              <w:top w:val="nil"/>
              <w:left w:val="nil"/>
              <w:bottom w:val="single" w:sz="4" w:space="0" w:color="auto"/>
              <w:right w:val="single" w:sz="4" w:space="0" w:color="auto"/>
            </w:tcBorders>
            <w:shd w:val="clear" w:color="auto" w:fill="auto"/>
            <w:noWrap/>
            <w:vAlign w:val="bottom"/>
            <w:hideMark/>
          </w:tcPr>
          <w:p w14:paraId="4FDF1EF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100,0%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DB3A70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156" w:type="dxa"/>
            <w:tcBorders>
              <w:top w:val="nil"/>
              <w:left w:val="nil"/>
              <w:bottom w:val="single" w:sz="4" w:space="0" w:color="auto"/>
              <w:right w:val="single" w:sz="4" w:space="0" w:color="auto"/>
            </w:tcBorders>
            <w:shd w:val="clear" w:color="auto" w:fill="auto"/>
            <w:noWrap/>
            <w:vAlign w:val="bottom"/>
            <w:hideMark/>
          </w:tcPr>
          <w:p w14:paraId="301B5AF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100,0%</w:t>
            </w:r>
          </w:p>
        </w:tc>
      </w:tr>
      <w:tr w:rsidR="00DB70CA" w:rsidRPr="00B7675F" w14:paraId="68349242"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1C3CC033"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w:t>
            </w:r>
          </w:p>
        </w:tc>
        <w:tc>
          <w:tcPr>
            <w:tcW w:w="2435" w:type="dxa"/>
            <w:tcBorders>
              <w:top w:val="nil"/>
              <w:left w:val="nil"/>
              <w:bottom w:val="single" w:sz="8" w:space="0" w:color="auto"/>
              <w:right w:val="single" w:sz="8" w:space="0" w:color="auto"/>
            </w:tcBorders>
            <w:shd w:val="clear" w:color="auto" w:fill="auto"/>
            <w:vAlign w:val="bottom"/>
            <w:hideMark/>
          </w:tcPr>
          <w:p w14:paraId="61A62F4E" w14:textId="266E17EC"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func</w:t>
            </w:r>
            <w:r w:rsidR="00186CDB">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ionarilor publici</w:t>
            </w:r>
          </w:p>
        </w:tc>
        <w:tc>
          <w:tcPr>
            <w:tcW w:w="1159" w:type="dxa"/>
            <w:tcBorders>
              <w:top w:val="nil"/>
              <w:left w:val="nil"/>
              <w:bottom w:val="single" w:sz="8" w:space="0" w:color="auto"/>
              <w:right w:val="single" w:sz="8" w:space="0" w:color="auto"/>
            </w:tcBorders>
            <w:shd w:val="clear" w:color="auto" w:fill="auto"/>
            <w:vAlign w:val="bottom"/>
            <w:hideMark/>
          </w:tcPr>
          <w:p w14:paraId="3F71A7D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5652</w:t>
            </w:r>
          </w:p>
        </w:tc>
        <w:tc>
          <w:tcPr>
            <w:tcW w:w="1074" w:type="dxa"/>
            <w:tcBorders>
              <w:top w:val="nil"/>
              <w:left w:val="nil"/>
              <w:bottom w:val="single" w:sz="8" w:space="0" w:color="auto"/>
              <w:right w:val="single" w:sz="8" w:space="0" w:color="auto"/>
            </w:tcBorders>
            <w:shd w:val="clear" w:color="auto" w:fill="auto"/>
            <w:vAlign w:val="bottom"/>
            <w:hideMark/>
          </w:tcPr>
          <w:p w14:paraId="063FC6A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2506</w:t>
            </w:r>
          </w:p>
        </w:tc>
        <w:tc>
          <w:tcPr>
            <w:tcW w:w="1074" w:type="dxa"/>
            <w:tcBorders>
              <w:top w:val="nil"/>
              <w:left w:val="nil"/>
              <w:bottom w:val="single" w:sz="8" w:space="0" w:color="auto"/>
              <w:right w:val="single" w:sz="8" w:space="0" w:color="auto"/>
            </w:tcBorders>
            <w:shd w:val="clear" w:color="auto" w:fill="auto"/>
            <w:vAlign w:val="bottom"/>
            <w:hideMark/>
          </w:tcPr>
          <w:p w14:paraId="57B4EAA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4916</w:t>
            </w:r>
          </w:p>
        </w:tc>
        <w:tc>
          <w:tcPr>
            <w:tcW w:w="1165" w:type="dxa"/>
            <w:tcBorders>
              <w:top w:val="nil"/>
              <w:left w:val="nil"/>
              <w:bottom w:val="single" w:sz="8" w:space="0" w:color="auto"/>
              <w:right w:val="single" w:sz="8" w:space="0" w:color="auto"/>
            </w:tcBorders>
            <w:shd w:val="clear" w:color="auto" w:fill="auto"/>
            <w:vAlign w:val="bottom"/>
            <w:hideMark/>
          </w:tcPr>
          <w:p w14:paraId="529BF24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2041</w:t>
            </w:r>
          </w:p>
        </w:tc>
        <w:tc>
          <w:tcPr>
            <w:tcW w:w="1134" w:type="dxa"/>
            <w:tcBorders>
              <w:top w:val="nil"/>
              <w:left w:val="nil"/>
              <w:bottom w:val="single" w:sz="8" w:space="0" w:color="auto"/>
              <w:right w:val="single" w:sz="8" w:space="0" w:color="auto"/>
            </w:tcBorders>
            <w:shd w:val="clear" w:color="auto" w:fill="auto"/>
            <w:vAlign w:val="bottom"/>
            <w:hideMark/>
          </w:tcPr>
          <w:p w14:paraId="43AA31D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4181</w:t>
            </w:r>
          </w:p>
        </w:tc>
        <w:tc>
          <w:tcPr>
            <w:tcW w:w="1074" w:type="dxa"/>
            <w:tcBorders>
              <w:top w:val="nil"/>
              <w:left w:val="nil"/>
              <w:bottom w:val="single" w:sz="8" w:space="0" w:color="auto"/>
              <w:right w:val="nil"/>
            </w:tcBorders>
            <w:shd w:val="clear" w:color="auto" w:fill="auto"/>
            <w:vAlign w:val="bottom"/>
            <w:hideMark/>
          </w:tcPr>
          <w:p w14:paraId="7346A06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1425</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7783879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-1471</w:t>
            </w:r>
          </w:p>
        </w:tc>
        <w:tc>
          <w:tcPr>
            <w:tcW w:w="1245" w:type="dxa"/>
            <w:tcBorders>
              <w:top w:val="nil"/>
              <w:left w:val="nil"/>
              <w:bottom w:val="single" w:sz="4" w:space="0" w:color="auto"/>
              <w:right w:val="single" w:sz="4" w:space="0" w:color="auto"/>
            </w:tcBorders>
            <w:shd w:val="clear" w:color="auto" w:fill="auto"/>
            <w:noWrap/>
            <w:vAlign w:val="bottom"/>
            <w:hideMark/>
          </w:tcPr>
          <w:p w14:paraId="0BF4E04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74,0%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4C4BECF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-1081</w:t>
            </w:r>
          </w:p>
        </w:tc>
        <w:tc>
          <w:tcPr>
            <w:tcW w:w="1156" w:type="dxa"/>
            <w:tcBorders>
              <w:top w:val="nil"/>
              <w:left w:val="nil"/>
              <w:bottom w:val="single" w:sz="4" w:space="0" w:color="auto"/>
              <w:right w:val="single" w:sz="4" w:space="0" w:color="auto"/>
            </w:tcBorders>
            <w:shd w:val="clear" w:color="auto" w:fill="auto"/>
            <w:noWrap/>
            <w:vAlign w:val="bottom"/>
            <w:hideMark/>
          </w:tcPr>
          <w:p w14:paraId="17CE80E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56,9%</w:t>
            </w:r>
          </w:p>
        </w:tc>
      </w:tr>
      <w:tr w:rsidR="00DB70CA" w:rsidRPr="00B7675F" w14:paraId="145C5034"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43DBD47B"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w:t>
            </w:r>
          </w:p>
        </w:tc>
        <w:tc>
          <w:tcPr>
            <w:tcW w:w="2435" w:type="dxa"/>
            <w:tcBorders>
              <w:top w:val="nil"/>
              <w:left w:val="nil"/>
              <w:bottom w:val="single" w:sz="8" w:space="0" w:color="auto"/>
              <w:right w:val="single" w:sz="8" w:space="0" w:color="auto"/>
            </w:tcBorders>
            <w:shd w:val="clear" w:color="auto" w:fill="auto"/>
            <w:vAlign w:val="bottom"/>
            <w:hideMark/>
          </w:tcPr>
          <w:p w14:paraId="637338BD" w14:textId="6898914C"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deputa</w:t>
            </w:r>
            <w:r w:rsidR="00186CDB">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ilor</w:t>
            </w:r>
          </w:p>
        </w:tc>
        <w:tc>
          <w:tcPr>
            <w:tcW w:w="1159" w:type="dxa"/>
            <w:tcBorders>
              <w:top w:val="nil"/>
              <w:left w:val="nil"/>
              <w:bottom w:val="single" w:sz="8" w:space="0" w:color="auto"/>
              <w:right w:val="single" w:sz="8" w:space="0" w:color="auto"/>
            </w:tcBorders>
            <w:shd w:val="clear" w:color="auto" w:fill="auto"/>
            <w:vAlign w:val="bottom"/>
            <w:hideMark/>
          </w:tcPr>
          <w:p w14:paraId="5654A47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190</w:t>
            </w:r>
          </w:p>
        </w:tc>
        <w:tc>
          <w:tcPr>
            <w:tcW w:w="1074" w:type="dxa"/>
            <w:tcBorders>
              <w:top w:val="nil"/>
              <w:left w:val="nil"/>
              <w:bottom w:val="single" w:sz="8" w:space="0" w:color="auto"/>
              <w:right w:val="single" w:sz="8" w:space="0" w:color="auto"/>
            </w:tcBorders>
            <w:shd w:val="clear" w:color="auto" w:fill="auto"/>
            <w:vAlign w:val="bottom"/>
            <w:hideMark/>
          </w:tcPr>
          <w:p w14:paraId="08375CF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89</w:t>
            </w:r>
          </w:p>
        </w:tc>
        <w:tc>
          <w:tcPr>
            <w:tcW w:w="1074" w:type="dxa"/>
            <w:tcBorders>
              <w:top w:val="nil"/>
              <w:left w:val="nil"/>
              <w:bottom w:val="single" w:sz="8" w:space="0" w:color="auto"/>
              <w:right w:val="single" w:sz="8" w:space="0" w:color="auto"/>
            </w:tcBorders>
            <w:shd w:val="clear" w:color="auto" w:fill="auto"/>
            <w:vAlign w:val="bottom"/>
            <w:hideMark/>
          </w:tcPr>
          <w:p w14:paraId="4EF5B4B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170</w:t>
            </w:r>
          </w:p>
        </w:tc>
        <w:tc>
          <w:tcPr>
            <w:tcW w:w="1165" w:type="dxa"/>
            <w:tcBorders>
              <w:top w:val="nil"/>
              <w:left w:val="nil"/>
              <w:bottom w:val="single" w:sz="8" w:space="0" w:color="auto"/>
              <w:right w:val="single" w:sz="8" w:space="0" w:color="auto"/>
            </w:tcBorders>
            <w:shd w:val="clear" w:color="auto" w:fill="auto"/>
            <w:vAlign w:val="bottom"/>
            <w:hideMark/>
          </w:tcPr>
          <w:p w14:paraId="432198A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58</w:t>
            </w:r>
          </w:p>
        </w:tc>
        <w:tc>
          <w:tcPr>
            <w:tcW w:w="1134" w:type="dxa"/>
            <w:tcBorders>
              <w:top w:val="nil"/>
              <w:left w:val="nil"/>
              <w:bottom w:val="single" w:sz="8" w:space="0" w:color="auto"/>
              <w:right w:val="single" w:sz="8" w:space="0" w:color="auto"/>
            </w:tcBorders>
            <w:shd w:val="clear" w:color="auto" w:fill="auto"/>
            <w:vAlign w:val="bottom"/>
            <w:hideMark/>
          </w:tcPr>
          <w:p w14:paraId="7AEB35C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155</w:t>
            </w:r>
          </w:p>
        </w:tc>
        <w:tc>
          <w:tcPr>
            <w:tcW w:w="1074" w:type="dxa"/>
            <w:tcBorders>
              <w:top w:val="nil"/>
              <w:left w:val="nil"/>
              <w:bottom w:val="single" w:sz="8" w:space="0" w:color="auto"/>
              <w:right w:val="nil"/>
            </w:tcBorders>
            <w:shd w:val="clear" w:color="auto" w:fill="auto"/>
            <w:vAlign w:val="bottom"/>
            <w:hideMark/>
          </w:tcPr>
          <w:p w14:paraId="2C7A388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44</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D87AC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-35</w:t>
            </w:r>
          </w:p>
        </w:tc>
        <w:tc>
          <w:tcPr>
            <w:tcW w:w="1245" w:type="dxa"/>
            <w:tcBorders>
              <w:top w:val="nil"/>
              <w:left w:val="nil"/>
              <w:bottom w:val="single" w:sz="4" w:space="0" w:color="auto"/>
              <w:right w:val="single" w:sz="4" w:space="0" w:color="auto"/>
            </w:tcBorders>
            <w:shd w:val="clear" w:color="auto" w:fill="auto"/>
            <w:noWrap/>
            <w:vAlign w:val="bottom"/>
            <w:hideMark/>
          </w:tcPr>
          <w:p w14:paraId="76EAD9F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81,6%</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AB7CE7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-45</w:t>
            </w:r>
          </w:p>
        </w:tc>
        <w:tc>
          <w:tcPr>
            <w:tcW w:w="1156" w:type="dxa"/>
            <w:tcBorders>
              <w:top w:val="nil"/>
              <w:left w:val="nil"/>
              <w:bottom w:val="single" w:sz="4" w:space="0" w:color="auto"/>
              <w:right w:val="single" w:sz="4" w:space="0" w:color="auto"/>
            </w:tcBorders>
            <w:shd w:val="clear" w:color="auto" w:fill="auto"/>
            <w:noWrap/>
            <w:vAlign w:val="bottom"/>
            <w:hideMark/>
          </w:tcPr>
          <w:p w14:paraId="6879667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49,4%</w:t>
            </w:r>
          </w:p>
        </w:tc>
      </w:tr>
      <w:tr w:rsidR="00DB70CA" w:rsidRPr="00B7675F" w14:paraId="6AE338CB"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347D891F"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w:t>
            </w:r>
          </w:p>
        </w:tc>
        <w:tc>
          <w:tcPr>
            <w:tcW w:w="2435" w:type="dxa"/>
            <w:tcBorders>
              <w:top w:val="nil"/>
              <w:left w:val="nil"/>
              <w:bottom w:val="single" w:sz="8" w:space="0" w:color="auto"/>
              <w:right w:val="single" w:sz="8" w:space="0" w:color="auto"/>
            </w:tcBorders>
            <w:shd w:val="clear" w:color="auto" w:fill="auto"/>
            <w:vAlign w:val="bottom"/>
            <w:hideMark/>
          </w:tcPr>
          <w:p w14:paraId="4F0246DF"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membrilor de guvern</w:t>
            </w:r>
          </w:p>
        </w:tc>
        <w:tc>
          <w:tcPr>
            <w:tcW w:w="1159" w:type="dxa"/>
            <w:tcBorders>
              <w:top w:val="nil"/>
              <w:left w:val="nil"/>
              <w:bottom w:val="single" w:sz="8" w:space="0" w:color="auto"/>
              <w:right w:val="single" w:sz="8" w:space="0" w:color="auto"/>
            </w:tcBorders>
            <w:shd w:val="clear" w:color="auto" w:fill="auto"/>
            <w:vAlign w:val="bottom"/>
            <w:hideMark/>
          </w:tcPr>
          <w:p w14:paraId="2565C65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42</w:t>
            </w:r>
          </w:p>
        </w:tc>
        <w:tc>
          <w:tcPr>
            <w:tcW w:w="1074" w:type="dxa"/>
            <w:tcBorders>
              <w:top w:val="nil"/>
              <w:left w:val="nil"/>
              <w:bottom w:val="single" w:sz="8" w:space="0" w:color="auto"/>
              <w:right w:val="single" w:sz="8" w:space="0" w:color="auto"/>
            </w:tcBorders>
            <w:shd w:val="clear" w:color="auto" w:fill="auto"/>
            <w:vAlign w:val="bottom"/>
            <w:hideMark/>
          </w:tcPr>
          <w:p w14:paraId="4C76853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1074" w:type="dxa"/>
            <w:tcBorders>
              <w:top w:val="nil"/>
              <w:left w:val="nil"/>
              <w:bottom w:val="single" w:sz="8" w:space="0" w:color="auto"/>
              <w:right w:val="single" w:sz="8" w:space="0" w:color="auto"/>
            </w:tcBorders>
            <w:shd w:val="clear" w:color="auto" w:fill="auto"/>
            <w:vAlign w:val="bottom"/>
            <w:hideMark/>
          </w:tcPr>
          <w:p w14:paraId="79E2779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33</w:t>
            </w:r>
          </w:p>
        </w:tc>
        <w:tc>
          <w:tcPr>
            <w:tcW w:w="1165" w:type="dxa"/>
            <w:tcBorders>
              <w:top w:val="nil"/>
              <w:left w:val="nil"/>
              <w:bottom w:val="single" w:sz="8" w:space="0" w:color="auto"/>
              <w:right w:val="single" w:sz="8" w:space="0" w:color="auto"/>
            </w:tcBorders>
            <w:shd w:val="clear" w:color="auto" w:fill="auto"/>
            <w:vAlign w:val="bottom"/>
            <w:hideMark/>
          </w:tcPr>
          <w:p w14:paraId="00137E9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1134" w:type="dxa"/>
            <w:tcBorders>
              <w:top w:val="nil"/>
              <w:left w:val="nil"/>
              <w:bottom w:val="single" w:sz="8" w:space="0" w:color="auto"/>
              <w:right w:val="single" w:sz="8" w:space="0" w:color="auto"/>
            </w:tcBorders>
            <w:shd w:val="clear" w:color="auto" w:fill="auto"/>
            <w:vAlign w:val="bottom"/>
            <w:hideMark/>
          </w:tcPr>
          <w:p w14:paraId="06EBC49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30</w:t>
            </w:r>
          </w:p>
        </w:tc>
        <w:tc>
          <w:tcPr>
            <w:tcW w:w="1074" w:type="dxa"/>
            <w:tcBorders>
              <w:top w:val="nil"/>
              <w:left w:val="nil"/>
              <w:bottom w:val="single" w:sz="8" w:space="0" w:color="auto"/>
              <w:right w:val="nil"/>
            </w:tcBorders>
            <w:shd w:val="clear" w:color="auto" w:fill="auto"/>
            <w:vAlign w:val="bottom"/>
            <w:hideMark/>
          </w:tcPr>
          <w:p w14:paraId="1DE2948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67D55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w:t>
            </w:r>
          </w:p>
        </w:tc>
        <w:tc>
          <w:tcPr>
            <w:tcW w:w="1245" w:type="dxa"/>
            <w:tcBorders>
              <w:top w:val="nil"/>
              <w:left w:val="nil"/>
              <w:bottom w:val="single" w:sz="4" w:space="0" w:color="auto"/>
              <w:right w:val="single" w:sz="4" w:space="0" w:color="auto"/>
            </w:tcBorders>
            <w:shd w:val="clear" w:color="auto" w:fill="auto"/>
            <w:noWrap/>
            <w:vAlign w:val="bottom"/>
            <w:hideMark/>
          </w:tcPr>
          <w:p w14:paraId="62709FB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71,4%</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5ABBD9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w:t>
            </w:r>
          </w:p>
        </w:tc>
        <w:tc>
          <w:tcPr>
            <w:tcW w:w="1156" w:type="dxa"/>
            <w:tcBorders>
              <w:top w:val="nil"/>
              <w:left w:val="nil"/>
              <w:bottom w:val="single" w:sz="4" w:space="0" w:color="auto"/>
              <w:right w:val="single" w:sz="4" w:space="0" w:color="auto"/>
            </w:tcBorders>
            <w:shd w:val="clear" w:color="auto" w:fill="auto"/>
            <w:noWrap/>
            <w:vAlign w:val="bottom"/>
            <w:hideMark/>
          </w:tcPr>
          <w:p w14:paraId="7894433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20,0%</w:t>
            </w:r>
          </w:p>
        </w:tc>
      </w:tr>
      <w:tr w:rsidR="00DB70CA" w:rsidRPr="00B7675F" w14:paraId="59BDFB9B"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2A06BD5B"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w:t>
            </w:r>
          </w:p>
        </w:tc>
        <w:tc>
          <w:tcPr>
            <w:tcW w:w="2435" w:type="dxa"/>
            <w:tcBorders>
              <w:top w:val="nil"/>
              <w:left w:val="nil"/>
              <w:bottom w:val="single" w:sz="8" w:space="0" w:color="auto"/>
              <w:right w:val="single" w:sz="8" w:space="0" w:color="auto"/>
            </w:tcBorders>
            <w:shd w:val="clear" w:color="auto" w:fill="auto"/>
            <w:vAlign w:val="bottom"/>
            <w:hideMark/>
          </w:tcPr>
          <w:p w14:paraId="5F9B1E67" w14:textId="01D62128"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ale</w:t>
            </w:r>
            <w:r w:rsidR="00186CDB">
              <w:rPr>
                <w:rFonts w:asciiTheme="majorHAnsi" w:eastAsia="Times New Roman" w:hAnsiTheme="majorHAnsi" w:cstheme="majorHAnsi"/>
                <w:color w:val="000000"/>
                <w:sz w:val="20"/>
                <w:szCs w:val="20"/>
                <w:lang w:val="ro-MD"/>
              </w:rPr>
              <w:t>ș</w:t>
            </w:r>
            <w:r w:rsidRPr="00736448">
              <w:rPr>
                <w:rFonts w:asciiTheme="majorHAnsi" w:eastAsia="Times New Roman" w:hAnsiTheme="majorHAnsi" w:cstheme="majorHAnsi"/>
                <w:color w:val="000000"/>
                <w:sz w:val="20"/>
                <w:szCs w:val="20"/>
                <w:lang w:val="ro-MD"/>
              </w:rPr>
              <w:t>ilor locali</w:t>
            </w:r>
          </w:p>
        </w:tc>
        <w:tc>
          <w:tcPr>
            <w:tcW w:w="1159" w:type="dxa"/>
            <w:tcBorders>
              <w:top w:val="nil"/>
              <w:left w:val="nil"/>
              <w:bottom w:val="single" w:sz="8" w:space="0" w:color="auto"/>
              <w:right w:val="single" w:sz="8" w:space="0" w:color="auto"/>
            </w:tcBorders>
            <w:shd w:val="clear" w:color="auto" w:fill="auto"/>
            <w:vAlign w:val="bottom"/>
            <w:hideMark/>
          </w:tcPr>
          <w:p w14:paraId="5CEA472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539</w:t>
            </w:r>
          </w:p>
        </w:tc>
        <w:tc>
          <w:tcPr>
            <w:tcW w:w="1074" w:type="dxa"/>
            <w:tcBorders>
              <w:top w:val="nil"/>
              <w:left w:val="nil"/>
              <w:bottom w:val="single" w:sz="8" w:space="0" w:color="auto"/>
              <w:right w:val="single" w:sz="8" w:space="0" w:color="auto"/>
            </w:tcBorders>
            <w:shd w:val="clear" w:color="auto" w:fill="auto"/>
            <w:vAlign w:val="bottom"/>
            <w:hideMark/>
          </w:tcPr>
          <w:p w14:paraId="22B8BF6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232</w:t>
            </w:r>
          </w:p>
        </w:tc>
        <w:tc>
          <w:tcPr>
            <w:tcW w:w="1074" w:type="dxa"/>
            <w:tcBorders>
              <w:top w:val="nil"/>
              <w:left w:val="nil"/>
              <w:bottom w:val="single" w:sz="8" w:space="0" w:color="auto"/>
              <w:right w:val="single" w:sz="8" w:space="0" w:color="auto"/>
            </w:tcBorders>
            <w:shd w:val="clear" w:color="auto" w:fill="auto"/>
            <w:vAlign w:val="bottom"/>
            <w:hideMark/>
          </w:tcPr>
          <w:p w14:paraId="249354D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444</w:t>
            </w:r>
          </w:p>
        </w:tc>
        <w:tc>
          <w:tcPr>
            <w:tcW w:w="1165" w:type="dxa"/>
            <w:tcBorders>
              <w:top w:val="nil"/>
              <w:left w:val="nil"/>
              <w:bottom w:val="single" w:sz="8" w:space="0" w:color="auto"/>
              <w:right w:val="single" w:sz="8" w:space="0" w:color="auto"/>
            </w:tcBorders>
            <w:shd w:val="clear" w:color="auto" w:fill="auto"/>
            <w:vAlign w:val="bottom"/>
            <w:hideMark/>
          </w:tcPr>
          <w:p w14:paraId="4329A89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127</w:t>
            </w:r>
          </w:p>
        </w:tc>
        <w:tc>
          <w:tcPr>
            <w:tcW w:w="1134" w:type="dxa"/>
            <w:tcBorders>
              <w:top w:val="nil"/>
              <w:left w:val="nil"/>
              <w:bottom w:val="single" w:sz="8" w:space="0" w:color="auto"/>
              <w:right w:val="single" w:sz="8" w:space="0" w:color="auto"/>
            </w:tcBorders>
            <w:shd w:val="clear" w:color="auto" w:fill="auto"/>
            <w:vAlign w:val="bottom"/>
            <w:hideMark/>
          </w:tcPr>
          <w:p w14:paraId="3034D04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392</w:t>
            </w:r>
          </w:p>
        </w:tc>
        <w:tc>
          <w:tcPr>
            <w:tcW w:w="1074" w:type="dxa"/>
            <w:tcBorders>
              <w:top w:val="nil"/>
              <w:left w:val="nil"/>
              <w:bottom w:val="single" w:sz="8" w:space="0" w:color="auto"/>
              <w:right w:val="nil"/>
            </w:tcBorders>
            <w:shd w:val="clear" w:color="auto" w:fill="auto"/>
            <w:vAlign w:val="bottom"/>
            <w:hideMark/>
          </w:tcPr>
          <w:p w14:paraId="75278C4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76</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93CB6F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-147</w:t>
            </w:r>
          </w:p>
        </w:tc>
        <w:tc>
          <w:tcPr>
            <w:tcW w:w="1245" w:type="dxa"/>
            <w:tcBorders>
              <w:top w:val="nil"/>
              <w:left w:val="nil"/>
              <w:bottom w:val="single" w:sz="4" w:space="0" w:color="auto"/>
              <w:right w:val="single" w:sz="4" w:space="0" w:color="auto"/>
            </w:tcBorders>
            <w:shd w:val="clear" w:color="auto" w:fill="auto"/>
            <w:noWrap/>
            <w:vAlign w:val="bottom"/>
            <w:hideMark/>
          </w:tcPr>
          <w:p w14:paraId="7943E64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72,7%</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CE6867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-156</w:t>
            </w:r>
          </w:p>
        </w:tc>
        <w:tc>
          <w:tcPr>
            <w:tcW w:w="1156" w:type="dxa"/>
            <w:tcBorders>
              <w:top w:val="nil"/>
              <w:left w:val="nil"/>
              <w:bottom w:val="single" w:sz="4" w:space="0" w:color="auto"/>
              <w:right w:val="single" w:sz="4" w:space="0" w:color="auto"/>
            </w:tcBorders>
            <w:shd w:val="clear" w:color="auto" w:fill="auto"/>
            <w:noWrap/>
            <w:vAlign w:val="bottom"/>
            <w:hideMark/>
          </w:tcPr>
          <w:p w14:paraId="72C063B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32,8%</w:t>
            </w:r>
          </w:p>
        </w:tc>
      </w:tr>
      <w:tr w:rsidR="00DB70CA" w:rsidRPr="00B7675F" w14:paraId="38162592"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686A5607"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w:t>
            </w:r>
          </w:p>
        </w:tc>
        <w:tc>
          <w:tcPr>
            <w:tcW w:w="2435" w:type="dxa"/>
            <w:tcBorders>
              <w:top w:val="nil"/>
              <w:left w:val="nil"/>
              <w:bottom w:val="single" w:sz="8" w:space="0" w:color="auto"/>
              <w:right w:val="single" w:sz="8" w:space="0" w:color="auto"/>
            </w:tcBorders>
            <w:shd w:val="clear" w:color="auto" w:fill="auto"/>
            <w:vAlign w:val="bottom"/>
            <w:hideMark/>
          </w:tcPr>
          <w:p w14:paraId="527339E3" w14:textId="0EC29D07"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lucr</w:t>
            </w:r>
            <w:r w:rsidR="00186CDB">
              <w:rPr>
                <w:rFonts w:asciiTheme="majorHAnsi" w:eastAsia="Times New Roman" w:hAnsiTheme="majorHAnsi" w:cstheme="majorHAnsi"/>
                <w:color w:val="000000"/>
                <w:sz w:val="20"/>
                <w:szCs w:val="20"/>
                <w:lang w:val="ro-MD"/>
              </w:rPr>
              <w:t>ă</w:t>
            </w:r>
            <w:r w:rsidRPr="00736448">
              <w:rPr>
                <w:rFonts w:asciiTheme="majorHAnsi" w:eastAsia="Times New Roman" w:hAnsiTheme="majorHAnsi" w:cstheme="majorHAnsi"/>
                <w:color w:val="000000"/>
                <w:sz w:val="20"/>
                <w:szCs w:val="20"/>
                <w:lang w:val="ro-MD"/>
              </w:rPr>
              <w:t>torilor vamali</w:t>
            </w:r>
          </w:p>
        </w:tc>
        <w:tc>
          <w:tcPr>
            <w:tcW w:w="1159" w:type="dxa"/>
            <w:tcBorders>
              <w:top w:val="nil"/>
              <w:left w:val="nil"/>
              <w:bottom w:val="single" w:sz="8" w:space="0" w:color="auto"/>
              <w:right w:val="single" w:sz="8" w:space="0" w:color="auto"/>
            </w:tcBorders>
            <w:shd w:val="clear" w:color="auto" w:fill="auto"/>
            <w:vAlign w:val="bottom"/>
            <w:hideMark/>
          </w:tcPr>
          <w:p w14:paraId="2980902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w:t>
            </w:r>
          </w:p>
        </w:tc>
        <w:tc>
          <w:tcPr>
            <w:tcW w:w="1074" w:type="dxa"/>
            <w:tcBorders>
              <w:top w:val="nil"/>
              <w:left w:val="nil"/>
              <w:bottom w:val="single" w:sz="8" w:space="0" w:color="auto"/>
              <w:right w:val="single" w:sz="8" w:space="0" w:color="auto"/>
            </w:tcBorders>
            <w:shd w:val="clear" w:color="auto" w:fill="auto"/>
            <w:vAlign w:val="bottom"/>
            <w:hideMark/>
          </w:tcPr>
          <w:p w14:paraId="44272E7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074" w:type="dxa"/>
            <w:tcBorders>
              <w:top w:val="nil"/>
              <w:left w:val="nil"/>
              <w:bottom w:val="single" w:sz="8" w:space="0" w:color="auto"/>
              <w:right w:val="single" w:sz="8" w:space="0" w:color="auto"/>
            </w:tcBorders>
            <w:shd w:val="clear" w:color="auto" w:fill="auto"/>
            <w:vAlign w:val="bottom"/>
            <w:hideMark/>
          </w:tcPr>
          <w:p w14:paraId="2E2D6BB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1165" w:type="dxa"/>
            <w:tcBorders>
              <w:top w:val="nil"/>
              <w:left w:val="nil"/>
              <w:bottom w:val="single" w:sz="8" w:space="0" w:color="auto"/>
              <w:right w:val="single" w:sz="8" w:space="0" w:color="auto"/>
            </w:tcBorders>
            <w:shd w:val="clear" w:color="auto" w:fill="auto"/>
            <w:vAlign w:val="bottom"/>
            <w:hideMark/>
          </w:tcPr>
          <w:p w14:paraId="1F89E39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134" w:type="dxa"/>
            <w:tcBorders>
              <w:top w:val="nil"/>
              <w:left w:val="nil"/>
              <w:bottom w:val="single" w:sz="8" w:space="0" w:color="auto"/>
              <w:right w:val="single" w:sz="8" w:space="0" w:color="auto"/>
            </w:tcBorders>
            <w:shd w:val="clear" w:color="auto" w:fill="auto"/>
            <w:vAlign w:val="bottom"/>
            <w:hideMark/>
          </w:tcPr>
          <w:p w14:paraId="07ED9DE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1074" w:type="dxa"/>
            <w:tcBorders>
              <w:top w:val="nil"/>
              <w:left w:val="nil"/>
              <w:bottom w:val="single" w:sz="8" w:space="0" w:color="auto"/>
              <w:right w:val="nil"/>
            </w:tcBorders>
            <w:shd w:val="clear" w:color="auto" w:fill="auto"/>
            <w:vAlign w:val="bottom"/>
            <w:hideMark/>
          </w:tcPr>
          <w:p w14:paraId="41CEA22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F2F446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1245" w:type="dxa"/>
            <w:tcBorders>
              <w:top w:val="nil"/>
              <w:left w:val="nil"/>
              <w:bottom w:val="single" w:sz="4" w:space="0" w:color="auto"/>
              <w:right w:val="single" w:sz="4" w:space="0" w:color="auto"/>
            </w:tcBorders>
            <w:shd w:val="clear" w:color="auto" w:fill="auto"/>
            <w:noWrap/>
            <w:vAlign w:val="bottom"/>
            <w:hideMark/>
          </w:tcPr>
          <w:p w14:paraId="435EF60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50,0%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2D1184F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156" w:type="dxa"/>
            <w:tcBorders>
              <w:top w:val="nil"/>
              <w:left w:val="nil"/>
              <w:bottom w:val="single" w:sz="4" w:space="0" w:color="auto"/>
              <w:right w:val="single" w:sz="4" w:space="0" w:color="auto"/>
            </w:tcBorders>
            <w:shd w:val="clear" w:color="auto" w:fill="auto"/>
            <w:noWrap/>
            <w:vAlign w:val="bottom"/>
            <w:hideMark/>
          </w:tcPr>
          <w:p w14:paraId="142705CC"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r>
      <w:tr w:rsidR="00DB70CA" w:rsidRPr="00B7675F" w14:paraId="0370D4FB"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44AC304D"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w:t>
            </w:r>
          </w:p>
        </w:tc>
        <w:tc>
          <w:tcPr>
            <w:tcW w:w="2435" w:type="dxa"/>
            <w:tcBorders>
              <w:top w:val="nil"/>
              <w:left w:val="nil"/>
              <w:bottom w:val="single" w:sz="8" w:space="0" w:color="auto"/>
              <w:right w:val="single" w:sz="8" w:space="0" w:color="auto"/>
            </w:tcBorders>
            <w:shd w:val="clear" w:color="auto" w:fill="auto"/>
            <w:vAlign w:val="bottom"/>
            <w:hideMark/>
          </w:tcPr>
          <w:p w14:paraId="1CC5C0C8" w14:textId="5B0ED070"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procurorilor si judec</w:t>
            </w:r>
            <w:r w:rsidR="00186CDB">
              <w:rPr>
                <w:rFonts w:asciiTheme="majorHAnsi" w:eastAsia="Times New Roman" w:hAnsiTheme="majorHAnsi" w:cstheme="majorHAnsi"/>
                <w:color w:val="000000"/>
                <w:sz w:val="20"/>
                <w:szCs w:val="20"/>
                <w:lang w:val="ro-MD"/>
              </w:rPr>
              <w:t>ă</w:t>
            </w:r>
            <w:r w:rsidRPr="00736448">
              <w:rPr>
                <w:rFonts w:asciiTheme="majorHAnsi" w:eastAsia="Times New Roman" w:hAnsiTheme="majorHAnsi" w:cstheme="majorHAnsi"/>
                <w:color w:val="000000"/>
                <w:sz w:val="20"/>
                <w:szCs w:val="20"/>
                <w:lang w:val="ro-MD"/>
              </w:rPr>
              <w:t>torilor</w:t>
            </w:r>
          </w:p>
        </w:tc>
        <w:tc>
          <w:tcPr>
            <w:tcW w:w="1159" w:type="dxa"/>
            <w:tcBorders>
              <w:top w:val="nil"/>
              <w:left w:val="nil"/>
              <w:bottom w:val="single" w:sz="8" w:space="0" w:color="auto"/>
              <w:right w:val="single" w:sz="8" w:space="0" w:color="auto"/>
            </w:tcBorders>
            <w:shd w:val="clear" w:color="auto" w:fill="auto"/>
            <w:vAlign w:val="bottom"/>
            <w:hideMark/>
          </w:tcPr>
          <w:p w14:paraId="6981851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512</w:t>
            </w:r>
          </w:p>
        </w:tc>
        <w:tc>
          <w:tcPr>
            <w:tcW w:w="1074" w:type="dxa"/>
            <w:tcBorders>
              <w:top w:val="nil"/>
              <w:left w:val="nil"/>
              <w:bottom w:val="single" w:sz="8" w:space="0" w:color="auto"/>
              <w:right w:val="single" w:sz="8" w:space="0" w:color="auto"/>
            </w:tcBorders>
            <w:shd w:val="clear" w:color="auto" w:fill="auto"/>
            <w:vAlign w:val="bottom"/>
            <w:hideMark/>
          </w:tcPr>
          <w:p w14:paraId="28DB5AF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220</w:t>
            </w:r>
          </w:p>
        </w:tc>
        <w:tc>
          <w:tcPr>
            <w:tcW w:w="1074" w:type="dxa"/>
            <w:tcBorders>
              <w:top w:val="nil"/>
              <w:left w:val="nil"/>
              <w:bottom w:val="single" w:sz="8" w:space="0" w:color="auto"/>
              <w:right w:val="single" w:sz="8" w:space="0" w:color="auto"/>
            </w:tcBorders>
            <w:shd w:val="clear" w:color="auto" w:fill="auto"/>
            <w:vAlign w:val="bottom"/>
            <w:hideMark/>
          </w:tcPr>
          <w:p w14:paraId="023D4B2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497</w:t>
            </w:r>
          </w:p>
        </w:tc>
        <w:tc>
          <w:tcPr>
            <w:tcW w:w="1165" w:type="dxa"/>
            <w:tcBorders>
              <w:top w:val="nil"/>
              <w:left w:val="nil"/>
              <w:bottom w:val="single" w:sz="8" w:space="0" w:color="auto"/>
              <w:right w:val="single" w:sz="8" w:space="0" w:color="auto"/>
            </w:tcBorders>
            <w:shd w:val="clear" w:color="auto" w:fill="auto"/>
            <w:vAlign w:val="bottom"/>
            <w:hideMark/>
          </w:tcPr>
          <w:p w14:paraId="04793BC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211</w:t>
            </w:r>
          </w:p>
        </w:tc>
        <w:tc>
          <w:tcPr>
            <w:tcW w:w="1134" w:type="dxa"/>
            <w:tcBorders>
              <w:top w:val="nil"/>
              <w:left w:val="nil"/>
              <w:bottom w:val="single" w:sz="8" w:space="0" w:color="auto"/>
              <w:right w:val="single" w:sz="8" w:space="0" w:color="auto"/>
            </w:tcBorders>
            <w:shd w:val="clear" w:color="auto" w:fill="auto"/>
            <w:vAlign w:val="bottom"/>
            <w:hideMark/>
          </w:tcPr>
          <w:p w14:paraId="39F76A5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491</w:t>
            </w:r>
          </w:p>
        </w:tc>
        <w:tc>
          <w:tcPr>
            <w:tcW w:w="1074" w:type="dxa"/>
            <w:tcBorders>
              <w:top w:val="nil"/>
              <w:left w:val="nil"/>
              <w:bottom w:val="single" w:sz="8" w:space="0" w:color="auto"/>
              <w:right w:val="nil"/>
            </w:tcBorders>
            <w:shd w:val="clear" w:color="auto" w:fill="auto"/>
            <w:vAlign w:val="bottom"/>
            <w:hideMark/>
          </w:tcPr>
          <w:p w14:paraId="63B7275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156</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46C474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w:t>
            </w:r>
          </w:p>
        </w:tc>
        <w:tc>
          <w:tcPr>
            <w:tcW w:w="1245" w:type="dxa"/>
            <w:tcBorders>
              <w:top w:val="nil"/>
              <w:left w:val="nil"/>
              <w:bottom w:val="single" w:sz="4" w:space="0" w:color="auto"/>
              <w:right w:val="single" w:sz="4" w:space="0" w:color="auto"/>
            </w:tcBorders>
            <w:shd w:val="clear" w:color="auto" w:fill="auto"/>
            <w:noWrap/>
            <w:vAlign w:val="bottom"/>
            <w:hideMark/>
          </w:tcPr>
          <w:p w14:paraId="48F794D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95,9%</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D159CF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-64</w:t>
            </w:r>
          </w:p>
        </w:tc>
        <w:tc>
          <w:tcPr>
            <w:tcW w:w="1156" w:type="dxa"/>
            <w:tcBorders>
              <w:top w:val="nil"/>
              <w:left w:val="nil"/>
              <w:bottom w:val="single" w:sz="4" w:space="0" w:color="auto"/>
              <w:right w:val="single" w:sz="4" w:space="0" w:color="auto"/>
            </w:tcBorders>
            <w:shd w:val="clear" w:color="auto" w:fill="auto"/>
            <w:noWrap/>
            <w:vAlign w:val="bottom"/>
            <w:hideMark/>
          </w:tcPr>
          <w:p w14:paraId="2134D8E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70,9%</w:t>
            </w:r>
          </w:p>
        </w:tc>
      </w:tr>
      <w:tr w:rsidR="00DB70CA" w:rsidRPr="00B7675F" w14:paraId="4559C9B3"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1AA75F3A"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13</w:t>
            </w:r>
          </w:p>
        </w:tc>
        <w:tc>
          <w:tcPr>
            <w:tcW w:w="2435" w:type="dxa"/>
            <w:tcBorders>
              <w:top w:val="nil"/>
              <w:left w:val="nil"/>
              <w:bottom w:val="single" w:sz="8" w:space="0" w:color="auto"/>
              <w:right w:val="single" w:sz="8" w:space="0" w:color="auto"/>
            </w:tcBorders>
            <w:shd w:val="clear" w:color="auto" w:fill="auto"/>
            <w:vAlign w:val="bottom"/>
            <w:hideMark/>
          </w:tcPr>
          <w:p w14:paraId="21FCF6D5" w14:textId="1A961135"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participan</w:t>
            </w:r>
            <w:r w:rsidR="00186CDB">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ilor la lichidare</w:t>
            </w:r>
            <w:r w:rsidR="00186CDB">
              <w:rPr>
                <w:rFonts w:asciiTheme="majorHAnsi" w:eastAsia="Times New Roman" w:hAnsiTheme="majorHAnsi" w:cstheme="majorHAnsi"/>
                <w:color w:val="000000"/>
                <w:sz w:val="20"/>
                <w:szCs w:val="20"/>
                <w:lang w:val="ro-MD"/>
              </w:rPr>
              <w:t>a</w:t>
            </w:r>
            <w:r w:rsidRPr="00736448">
              <w:rPr>
                <w:rFonts w:asciiTheme="majorHAnsi" w:eastAsia="Times New Roman" w:hAnsiTheme="majorHAnsi" w:cstheme="majorHAnsi"/>
                <w:color w:val="000000"/>
                <w:sz w:val="20"/>
                <w:szCs w:val="20"/>
                <w:lang w:val="ro-MD"/>
              </w:rPr>
              <w:t xml:space="preserve"> avariei de la </w:t>
            </w:r>
            <w:r w:rsidR="00186CDB">
              <w:rPr>
                <w:rFonts w:asciiTheme="majorHAnsi" w:eastAsia="Times New Roman" w:hAnsiTheme="majorHAnsi" w:cstheme="majorHAnsi"/>
                <w:color w:val="000000"/>
                <w:sz w:val="20"/>
                <w:szCs w:val="20"/>
                <w:lang w:val="ro-MD"/>
              </w:rPr>
              <w:t>C</w:t>
            </w:r>
            <w:r w:rsidRPr="00736448">
              <w:rPr>
                <w:rFonts w:asciiTheme="majorHAnsi" w:eastAsia="Times New Roman" w:hAnsiTheme="majorHAnsi" w:cstheme="majorHAnsi"/>
                <w:color w:val="000000"/>
                <w:sz w:val="20"/>
                <w:szCs w:val="20"/>
                <w:lang w:val="ro-MD"/>
              </w:rPr>
              <w:t>ernob</w:t>
            </w:r>
            <w:r w:rsidR="00186CDB">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l</w:t>
            </w:r>
          </w:p>
        </w:tc>
        <w:tc>
          <w:tcPr>
            <w:tcW w:w="1159" w:type="dxa"/>
            <w:tcBorders>
              <w:top w:val="nil"/>
              <w:left w:val="nil"/>
              <w:bottom w:val="single" w:sz="8" w:space="0" w:color="auto"/>
              <w:right w:val="single" w:sz="8" w:space="0" w:color="auto"/>
            </w:tcBorders>
            <w:shd w:val="clear" w:color="auto" w:fill="auto"/>
            <w:vAlign w:val="bottom"/>
            <w:hideMark/>
          </w:tcPr>
          <w:p w14:paraId="00961D2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1646</w:t>
            </w:r>
          </w:p>
        </w:tc>
        <w:tc>
          <w:tcPr>
            <w:tcW w:w="1074" w:type="dxa"/>
            <w:tcBorders>
              <w:top w:val="nil"/>
              <w:left w:val="nil"/>
              <w:bottom w:val="single" w:sz="8" w:space="0" w:color="auto"/>
              <w:right w:val="single" w:sz="8" w:space="0" w:color="auto"/>
            </w:tcBorders>
            <w:shd w:val="clear" w:color="auto" w:fill="auto"/>
            <w:vAlign w:val="bottom"/>
            <w:hideMark/>
          </w:tcPr>
          <w:p w14:paraId="19E9177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378</w:t>
            </w:r>
          </w:p>
        </w:tc>
        <w:tc>
          <w:tcPr>
            <w:tcW w:w="1074" w:type="dxa"/>
            <w:tcBorders>
              <w:top w:val="nil"/>
              <w:left w:val="nil"/>
              <w:bottom w:val="single" w:sz="8" w:space="0" w:color="auto"/>
              <w:right w:val="single" w:sz="8" w:space="0" w:color="auto"/>
            </w:tcBorders>
            <w:shd w:val="clear" w:color="auto" w:fill="auto"/>
            <w:vAlign w:val="bottom"/>
            <w:hideMark/>
          </w:tcPr>
          <w:p w14:paraId="1E370AB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1589</w:t>
            </w:r>
          </w:p>
        </w:tc>
        <w:tc>
          <w:tcPr>
            <w:tcW w:w="1165" w:type="dxa"/>
            <w:tcBorders>
              <w:top w:val="nil"/>
              <w:left w:val="nil"/>
              <w:bottom w:val="single" w:sz="8" w:space="0" w:color="auto"/>
              <w:right w:val="single" w:sz="8" w:space="0" w:color="auto"/>
            </w:tcBorders>
            <w:shd w:val="clear" w:color="auto" w:fill="auto"/>
            <w:vAlign w:val="bottom"/>
            <w:hideMark/>
          </w:tcPr>
          <w:p w14:paraId="40A256C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353</w:t>
            </w:r>
          </w:p>
        </w:tc>
        <w:tc>
          <w:tcPr>
            <w:tcW w:w="1134" w:type="dxa"/>
            <w:tcBorders>
              <w:top w:val="nil"/>
              <w:left w:val="nil"/>
              <w:bottom w:val="single" w:sz="8" w:space="0" w:color="auto"/>
              <w:right w:val="single" w:sz="8" w:space="0" w:color="auto"/>
            </w:tcBorders>
            <w:shd w:val="clear" w:color="auto" w:fill="auto"/>
            <w:vAlign w:val="bottom"/>
            <w:hideMark/>
          </w:tcPr>
          <w:p w14:paraId="2EE7AEA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1528</w:t>
            </w:r>
          </w:p>
        </w:tc>
        <w:tc>
          <w:tcPr>
            <w:tcW w:w="1074" w:type="dxa"/>
            <w:tcBorders>
              <w:top w:val="nil"/>
              <w:left w:val="nil"/>
              <w:bottom w:val="single" w:sz="8" w:space="0" w:color="auto"/>
              <w:right w:val="nil"/>
            </w:tcBorders>
            <w:shd w:val="clear" w:color="auto" w:fill="auto"/>
            <w:vAlign w:val="bottom"/>
            <w:hideMark/>
          </w:tcPr>
          <w:p w14:paraId="0925029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340</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BE1D36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-118</w:t>
            </w:r>
          </w:p>
        </w:tc>
        <w:tc>
          <w:tcPr>
            <w:tcW w:w="1245" w:type="dxa"/>
            <w:tcBorders>
              <w:top w:val="nil"/>
              <w:left w:val="nil"/>
              <w:bottom w:val="single" w:sz="4" w:space="0" w:color="auto"/>
              <w:right w:val="single" w:sz="4" w:space="0" w:color="auto"/>
            </w:tcBorders>
            <w:shd w:val="clear" w:color="auto" w:fill="auto"/>
            <w:noWrap/>
            <w:vAlign w:val="bottom"/>
            <w:hideMark/>
          </w:tcPr>
          <w:p w14:paraId="5177906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92,8%</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72EC6B0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-38</w:t>
            </w:r>
          </w:p>
        </w:tc>
        <w:tc>
          <w:tcPr>
            <w:tcW w:w="1156" w:type="dxa"/>
            <w:tcBorders>
              <w:top w:val="nil"/>
              <w:left w:val="nil"/>
              <w:bottom w:val="single" w:sz="4" w:space="0" w:color="auto"/>
              <w:right w:val="single" w:sz="4" w:space="0" w:color="auto"/>
            </w:tcBorders>
            <w:shd w:val="clear" w:color="auto" w:fill="auto"/>
            <w:noWrap/>
            <w:vAlign w:val="bottom"/>
            <w:hideMark/>
          </w:tcPr>
          <w:p w14:paraId="72D3E08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89,9%</w:t>
            </w:r>
          </w:p>
        </w:tc>
      </w:tr>
      <w:tr w:rsidR="00DB70CA" w:rsidRPr="00B7675F" w14:paraId="3015706B"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209BC174"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w:t>
            </w:r>
          </w:p>
        </w:tc>
        <w:tc>
          <w:tcPr>
            <w:tcW w:w="2435" w:type="dxa"/>
            <w:tcBorders>
              <w:top w:val="nil"/>
              <w:left w:val="nil"/>
              <w:bottom w:val="single" w:sz="8" w:space="0" w:color="auto"/>
              <w:right w:val="single" w:sz="8" w:space="0" w:color="auto"/>
            </w:tcBorders>
            <w:shd w:val="clear" w:color="auto" w:fill="auto"/>
            <w:vAlign w:val="bottom"/>
            <w:hideMark/>
          </w:tcPr>
          <w:p w14:paraId="1259486C" w14:textId="5E85A065"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xml:space="preserve">Pensionari militari </w:t>
            </w:r>
            <w:r w:rsidR="00186CDB">
              <w:rPr>
                <w:rFonts w:asciiTheme="majorHAnsi" w:eastAsia="Times New Roman" w:hAnsiTheme="majorHAnsi" w:cstheme="majorHAnsi"/>
                <w:color w:val="000000"/>
                <w:sz w:val="20"/>
                <w:szCs w:val="20"/>
                <w:lang w:val="ro-MD"/>
              </w:rPr>
              <w:t>ș</w:t>
            </w:r>
            <w:r w:rsidRPr="00736448">
              <w:rPr>
                <w:rFonts w:asciiTheme="majorHAnsi" w:eastAsia="Times New Roman" w:hAnsiTheme="majorHAnsi" w:cstheme="majorHAnsi"/>
                <w:color w:val="000000"/>
                <w:sz w:val="20"/>
                <w:szCs w:val="20"/>
                <w:lang w:val="ro-MD"/>
              </w:rPr>
              <w:t>i famili</w:t>
            </w:r>
            <w:r w:rsidR="00186CDB">
              <w:rPr>
                <w:rFonts w:asciiTheme="majorHAnsi" w:eastAsia="Times New Roman" w:hAnsiTheme="majorHAnsi" w:cstheme="majorHAnsi"/>
                <w:color w:val="000000"/>
                <w:sz w:val="20"/>
                <w:szCs w:val="20"/>
                <w:lang w:val="ro-MD"/>
              </w:rPr>
              <w:t>il</w:t>
            </w:r>
            <w:r w:rsidRPr="00736448">
              <w:rPr>
                <w:rFonts w:asciiTheme="majorHAnsi" w:eastAsia="Times New Roman" w:hAnsiTheme="majorHAnsi" w:cstheme="majorHAnsi"/>
                <w:color w:val="000000"/>
                <w:sz w:val="20"/>
                <w:szCs w:val="20"/>
                <w:lang w:val="ro-MD"/>
              </w:rPr>
              <w:t>e lor, care primesc pensii la organele de asigur</w:t>
            </w:r>
            <w:r w:rsidR="00186CDB">
              <w:rPr>
                <w:rFonts w:asciiTheme="majorHAnsi" w:eastAsia="Times New Roman" w:hAnsiTheme="majorHAnsi" w:cstheme="majorHAnsi"/>
                <w:color w:val="000000"/>
                <w:sz w:val="20"/>
                <w:szCs w:val="20"/>
                <w:lang w:val="ro-MD"/>
              </w:rPr>
              <w:t>ă</w:t>
            </w:r>
            <w:r w:rsidRPr="00736448">
              <w:rPr>
                <w:rFonts w:asciiTheme="majorHAnsi" w:eastAsia="Times New Roman" w:hAnsiTheme="majorHAnsi" w:cstheme="majorHAnsi"/>
                <w:color w:val="000000"/>
                <w:sz w:val="20"/>
                <w:szCs w:val="20"/>
                <w:lang w:val="ro-MD"/>
              </w:rPr>
              <w:t>ri sociale</w:t>
            </w:r>
          </w:p>
        </w:tc>
        <w:tc>
          <w:tcPr>
            <w:tcW w:w="1159" w:type="dxa"/>
            <w:tcBorders>
              <w:top w:val="nil"/>
              <w:left w:val="nil"/>
              <w:bottom w:val="single" w:sz="8" w:space="0" w:color="auto"/>
              <w:right w:val="single" w:sz="8" w:space="0" w:color="auto"/>
            </w:tcBorders>
            <w:shd w:val="clear" w:color="auto" w:fill="auto"/>
            <w:vAlign w:val="bottom"/>
            <w:hideMark/>
          </w:tcPr>
          <w:p w14:paraId="063C237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731</w:t>
            </w:r>
          </w:p>
        </w:tc>
        <w:tc>
          <w:tcPr>
            <w:tcW w:w="1074" w:type="dxa"/>
            <w:tcBorders>
              <w:top w:val="nil"/>
              <w:left w:val="nil"/>
              <w:bottom w:val="single" w:sz="8" w:space="0" w:color="auto"/>
              <w:right w:val="single" w:sz="8" w:space="0" w:color="auto"/>
            </w:tcBorders>
            <w:shd w:val="clear" w:color="auto" w:fill="auto"/>
            <w:vAlign w:val="bottom"/>
            <w:hideMark/>
          </w:tcPr>
          <w:p w14:paraId="4C284F1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146</w:t>
            </w:r>
          </w:p>
        </w:tc>
        <w:tc>
          <w:tcPr>
            <w:tcW w:w="1074" w:type="dxa"/>
            <w:tcBorders>
              <w:top w:val="nil"/>
              <w:left w:val="nil"/>
              <w:bottom w:val="single" w:sz="8" w:space="0" w:color="auto"/>
              <w:right w:val="single" w:sz="8" w:space="0" w:color="auto"/>
            </w:tcBorders>
            <w:shd w:val="clear" w:color="auto" w:fill="auto"/>
            <w:vAlign w:val="bottom"/>
            <w:hideMark/>
          </w:tcPr>
          <w:p w14:paraId="416FD3B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710</w:t>
            </w:r>
          </w:p>
        </w:tc>
        <w:tc>
          <w:tcPr>
            <w:tcW w:w="1165" w:type="dxa"/>
            <w:tcBorders>
              <w:top w:val="nil"/>
              <w:left w:val="nil"/>
              <w:bottom w:val="single" w:sz="8" w:space="0" w:color="auto"/>
              <w:right w:val="single" w:sz="8" w:space="0" w:color="auto"/>
            </w:tcBorders>
            <w:shd w:val="clear" w:color="auto" w:fill="auto"/>
            <w:vAlign w:val="bottom"/>
            <w:hideMark/>
          </w:tcPr>
          <w:p w14:paraId="7A19041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131</w:t>
            </w:r>
          </w:p>
        </w:tc>
        <w:tc>
          <w:tcPr>
            <w:tcW w:w="1134" w:type="dxa"/>
            <w:tcBorders>
              <w:top w:val="nil"/>
              <w:left w:val="nil"/>
              <w:bottom w:val="single" w:sz="8" w:space="0" w:color="auto"/>
              <w:right w:val="single" w:sz="8" w:space="0" w:color="auto"/>
            </w:tcBorders>
            <w:shd w:val="clear" w:color="auto" w:fill="auto"/>
            <w:vAlign w:val="bottom"/>
            <w:hideMark/>
          </w:tcPr>
          <w:p w14:paraId="2CBDE70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674</w:t>
            </w:r>
          </w:p>
        </w:tc>
        <w:tc>
          <w:tcPr>
            <w:tcW w:w="1074" w:type="dxa"/>
            <w:tcBorders>
              <w:top w:val="nil"/>
              <w:left w:val="nil"/>
              <w:bottom w:val="single" w:sz="8" w:space="0" w:color="auto"/>
              <w:right w:val="nil"/>
            </w:tcBorders>
            <w:shd w:val="clear" w:color="auto" w:fill="auto"/>
            <w:vAlign w:val="bottom"/>
            <w:hideMark/>
          </w:tcPr>
          <w:p w14:paraId="0C55C6B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129</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1B486D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-57</w:t>
            </w:r>
          </w:p>
        </w:tc>
        <w:tc>
          <w:tcPr>
            <w:tcW w:w="1245" w:type="dxa"/>
            <w:tcBorders>
              <w:top w:val="nil"/>
              <w:left w:val="nil"/>
              <w:bottom w:val="single" w:sz="4" w:space="0" w:color="auto"/>
              <w:right w:val="single" w:sz="4" w:space="0" w:color="auto"/>
            </w:tcBorders>
            <w:shd w:val="clear" w:color="auto" w:fill="auto"/>
            <w:noWrap/>
            <w:vAlign w:val="bottom"/>
            <w:hideMark/>
          </w:tcPr>
          <w:p w14:paraId="15A68AD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92,2%</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1299A5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-17</w:t>
            </w:r>
          </w:p>
        </w:tc>
        <w:tc>
          <w:tcPr>
            <w:tcW w:w="1156" w:type="dxa"/>
            <w:tcBorders>
              <w:top w:val="nil"/>
              <w:left w:val="nil"/>
              <w:bottom w:val="single" w:sz="4" w:space="0" w:color="auto"/>
              <w:right w:val="single" w:sz="4" w:space="0" w:color="auto"/>
            </w:tcBorders>
            <w:shd w:val="clear" w:color="auto" w:fill="auto"/>
            <w:noWrap/>
            <w:vAlign w:val="bottom"/>
            <w:hideMark/>
          </w:tcPr>
          <w:p w14:paraId="24140BC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88,4%</w:t>
            </w:r>
          </w:p>
        </w:tc>
      </w:tr>
      <w:tr w:rsidR="00DB70CA" w:rsidRPr="00B7675F" w14:paraId="2AF1389B"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41869482"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w:t>
            </w:r>
          </w:p>
        </w:tc>
        <w:tc>
          <w:tcPr>
            <w:tcW w:w="2435" w:type="dxa"/>
            <w:tcBorders>
              <w:top w:val="nil"/>
              <w:left w:val="nil"/>
              <w:bottom w:val="single" w:sz="8" w:space="0" w:color="auto"/>
              <w:right w:val="single" w:sz="8" w:space="0" w:color="auto"/>
            </w:tcBorders>
            <w:shd w:val="clear" w:color="auto" w:fill="auto"/>
            <w:vAlign w:val="bottom"/>
            <w:hideMark/>
          </w:tcPr>
          <w:p w14:paraId="62FC1EAF" w14:textId="593A2507" w:rsidR="00DB70CA" w:rsidRPr="00736448" w:rsidRDefault="00DB70CA" w:rsidP="00186CDB">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anticipate pentru limita de v</w:t>
            </w:r>
            <w:r w:rsidR="00186CDB">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rst</w:t>
            </w:r>
            <w:r w:rsidR="00186CDB">
              <w:rPr>
                <w:rFonts w:asciiTheme="majorHAnsi" w:eastAsia="Times New Roman" w:hAnsiTheme="majorHAnsi" w:cstheme="majorHAnsi"/>
                <w:color w:val="000000"/>
                <w:sz w:val="20"/>
                <w:szCs w:val="20"/>
                <w:lang w:val="ro-MD"/>
              </w:rPr>
              <w:t>ă</w:t>
            </w:r>
          </w:p>
        </w:tc>
        <w:tc>
          <w:tcPr>
            <w:tcW w:w="1159" w:type="dxa"/>
            <w:tcBorders>
              <w:top w:val="nil"/>
              <w:left w:val="nil"/>
              <w:bottom w:val="single" w:sz="8" w:space="0" w:color="auto"/>
              <w:right w:val="single" w:sz="8" w:space="0" w:color="auto"/>
            </w:tcBorders>
            <w:shd w:val="clear" w:color="auto" w:fill="auto"/>
            <w:vAlign w:val="bottom"/>
            <w:hideMark/>
          </w:tcPr>
          <w:p w14:paraId="7D32092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2105</w:t>
            </w:r>
          </w:p>
        </w:tc>
        <w:tc>
          <w:tcPr>
            <w:tcW w:w="1074" w:type="dxa"/>
            <w:tcBorders>
              <w:top w:val="nil"/>
              <w:left w:val="nil"/>
              <w:bottom w:val="single" w:sz="8" w:space="0" w:color="auto"/>
              <w:right w:val="single" w:sz="8" w:space="0" w:color="auto"/>
            </w:tcBorders>
            <w:shd w:val="clear" w:color="auto" w:fill="auto"/>
            <w:vAlign w:val="bottom"/>
            <w:hideMark/>
          </w:tcPr>
          <w:p w14:paraId="0395CE0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1395</w:t>
            </w:r>
          </w:p>
        </w:tc>
        <w:tc>
          <w:tcPr>
            <w:tcW w:w="1074" w:type="dxa"/>
            <w:tcBorders>
              <w:top w:val="nil"/>
              <w:left w:val="nil"/>
              <w:bottom w:val="single" w:sz="8" w:space="0" w:color="auto"/>
              <w:right w:val="single" w:sz="8" w:space="0" w:color="auto"/>
            </w:tcBorders>
            <w:shd w:val="clear" w:color="auto" w:fill="auto"/>
            <w:vAlign w:val="bottom"/>
            <w:hideMark/>
          </w:tcPr>
          <w:p w14:paraId="250D802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1343</w:t>
            </w:r>
          </w:p>
        </w:tc>
        <w:tc>
          <w:tcPr>
            <w:tcW w:w="1165" w:type="dxa"/>
            <w:tcBorders>
              <w:top w:val="nil"/>
              <w:left w:val="nil"/>
              <w:bottom w:val="single" w:sz="8" w:space="0" w:color="auto"/>
              <w:right w:val="single" w:sz="8" w:space="0" w:color="auto"/>
            </w:tcBorders>
            <w:shd w:val="clear" w:color="auto" w:fill="auto"/>
            <w:vAlign w:val="bottom"/>
            <w:hideMark/>
          </w:tcPr>
          <w:p w14:paraId="11F9B54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688</w:t>
            </w:r>
          </w:p>
        </w:tc>
        <w:tc>
          <w:tcPr>
            <w:tcW w:w="1134" w:type="dxa"/>
            <w:tcBorders>
              <w:top w:val="nil"/>
              <w:left w:val="nil"/>
              <w:bottom w:val="single" w:sz="8" w:space="0" w:color="auto"/>
              <w:right w:val="single" w:sz="8" w:space="0" w:color="auto"/>
            </w:tcBorders>
            <w:shd w:val="clear" w:color="auto" w:fill="auto"/>
            <w:vAlign w:val="bottom"/>
            <w:hideMark/>
          </w:tcPr>
          <w:p w14:paraId="33AB3FB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1194</w:t>
            </w:r>
          </w:p>
        </w:tc>
        <w:tc>
          <w:tcPr>
            <w:tcW w:w="1074" w:type="dxa"/>
            <w:tcBorders>
              <w:top w:val="nil"/>
              <w:left w:val="nil"/>
              <w:bottom w:val="single" w:sz="8" w:space="0" w:color="auto"/>
              <w:right w:val="nil"/>
            </w:tcBorders>
            <w:shd w:val="clear" w:color="auto" w:fill="auto"/>
            <w:vAlign w:val="bottom"/>
            <w:hideMark/>
          </w:tcPr>
          <w:p w14:paraId="4BB8967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481</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372240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-911</w:t>
            </w:r>
          </w:p>
        </w:tc>
        <w:tc>
          <w:tcPr>
            <w:tcW w:w="1245" w:type="dxa"/>
            <w:tcBorders>
              <w:top w:val="nil"/>
              <w:left w:val="nil"/>
              <w:bottom w:val="single" w:sz="4" w:space="0" w:color="auto"/>
              <w:right w:val="single" w:sz="4" w:space="0" w:color="auto"/>
            </w:tcBorders>
            <w:shd w:val="clear" w:color="auto" w:fill="auto"/>
            <w:noWrap/>
            <w:vAlign w:val="bottom"/>
            <w:hideMark/>
          </w:tcPr>
          <w:p w14:paraId="4CDD32F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56,7%</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5CF891A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-914</w:t>
            </w:r>
          </w:p>
        </w:tc>
        <w:tc>
          <w:tcPr>
            <w:tcW w:w="1156" w:type="dxa"/>
            <w:tcBorders>
              <w:top w:val="nil"/>
              <w:left w:val="nil"/>
              <w:bottom w:val="single" w:sz="4" w:space="0" w:color="auto"/>
              <w:right w:val="single" w:sz="4" w:space="0" w:color="auto"/>
            </w:tcBorders>
            <w:shd w:val="clear" w:color="auto" w:fill="auto"/>
            <w:noWrap/>
            <w:vAlign w:val="bottom"/>
            <w:hideMark/>
          </w:tcPr>
          <w:p w14:paraId="46F7C94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34,5%</w:t>
            </w:r>
          </w:p>
        </w:tc>
      </w:tr>
      <w:tr w:rsidR="00DB70CA" w:rsidRPr="00B7675F" w14:paraId="08785656"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0315524D"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16</w:t>
            </w:r>
          </w:p>
        </w:tc>
        <w:tc>
          <w:tcPr>
            <w:tcW w:w="2435" w:type="dxa"/>
            <w:tcBorders>
              <w:top w:val="nil"/>
              <w:left w:val="nil"/>
              <w:bottom w:val="single" w:sz="8" w:space="0" w:color="auto"/>
              <w:right w:val="single" w:sz="8" w:space="0" w:color="auto"/>
            </w:tcBorders>
            <w:shd w:val="clear" w:color="auto" w:fill="auto"/>
            <w:vAlign w:val="bottom"/>
            <w:hideMark/>
          </w:tcPr>
          <w:p w14:paraId="64030C18"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Pensie anticipată pentru carieră lungă</w:t>
            </w:r>
          </w:p>
        </w:tc>
        <w:tc>
          <w:tcPr>
            <w:tcW w:w="1159" w:type="dxa"/>
            <w:tcBorders>
              <w:top w:val="nil"/>
              <w:left w:val="nil"/>
              <w:bottom w:val="single" w:sz="8" w:space="0" w:color="auto"/>
              <w:right w:val="single" w:sz="8" w:space="0" w:color="auto"/>
            </w:tcBorders>
            <w:shd w:val="clear" w:color="auto" w:fill="auto"/>
            <w:vAlign w:val="bottom"/>
            <w:hideMark/>
          </w:tcPr>
          <w:p w14:paraId="63F3D06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074" w:type="dxa"/>
            <w:tcBorders>
              <w:top w:val="nil"/>
              <w:left w:val="nil"/>
              <w:bottom w:val="single" w:sz="8" w:space="0" w:color="auto"/>
              <w:right w:val="single" w:sz="8" w:space="0" w:color="auto"/>
            </w:tcBorders>
            <w:shd w:val="clear" w:color="auto" w:fill="auto"/>
            <w:vAlign w:val="bottom"/>
            <w:hideMark/>
          </w:tcPr>
          <w:p w14:paraId="1B90096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074" w:type="dxa"/>
            <w:tcBorders>
              <w:top w:val="nil"/>
              <w:left w:val="nil"/>
              <w:bottom w:val="single" w:sz="8" w:space="0" w:color="auto"/>
              <w:right w:val="single" w:sz="8" w:space="0" w:color="auto"/>
            </w:tcBorders>
            <w:shd w:val="clear" w:color="auto" w:fill="auto"/>
            <w:vAlign w:val="bottom"/>
            <w:hideMark/>
          </w:tcPr>
          <w:p w14:paraId="7FC51DB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165" w:type="dxa"/>
            <w:tcBorders>
              <w:top w:val="nil"/>
              <w:left w:val="nil"/>
              <w:bottom w:val="single" w:sz="8" w:space="0" w:color="auto"/>
              <w:right w:val="single" w:sz="8" w:space="0" w:color="auto"/>
            </w:tcBorders>
            <w:shd w:val="clear" w:color="auto" w:fill="auto"/>
            <w:vAlign w:val="bottom"/>
            <w:hideMark/>
          </w:tcPr>
          <w:p w14:paraId="4811CDE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134" w:type="dxa"/>
            <w:tcBorders>
              <w:top w:val="nil"/>
              <w:left w:val="nil"/>
              <w:bottom w:val="single" w:sz="8" w:space="0" w:color="auto"/>
              <w:right w:val="single" w:sz="8" w:space="0" w:color="auto"/>
            </w:tcBorders>
            <w:shd w:val="clear" w:color="auto" w:fill="auto"/>
            <w:vAlign w:val="bottom"/>
            <w:hideMark/>
          </w:tcPr>
          <w:p w14:paraId="6E14B0E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4862</w:t>
            </w:r>
          </w:p>
        </w:tc>
        <w:tc>
          <w:tcPr>
            <w:tcW w:w="1074" w:type="dxa"/>
            <w:tcBorders>
              <w:top w:val="nil"/>
              <w:left w:val="nil"/>
              <w:bottom w:val="single" w:sz="8" w:space="0" w:color="auto"/>
              <w:right w:val="nil"/>
            </w:tcBorders>
            <w:shd w:val="clear" w:color="auto" w:fill="auto"/>
            <w:vAlign w:val="bottom"/>
            <w:hideMark/>
          </w:tcPr>
          <w:p w14:paraId="2AD4025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4737</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26A648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4862</w:t>
            </w:r>
          </w:p>
        </w:tc>
        <w:tc>
          <w:tcPr>
            <w:tcW w:w="1245" w:type="dxa"/>
            <w:tcBorders>
              <w:top w:val="nil"/>
              <w:left w:val="nil"/>
              <w:bottom w:val="single" w:sz="4" w:space="0" w:color="auto"/>
              <w:right w:val="single" w:sz="4" w:space="0" w:color="auto"/>
            </w:tcBorders>
            <w:shd w:val="clear" w:color="auto" w:fill="auto"/>
            <w:noWrap/>
            <w:vAlign w:val="bottom"/>
            <w:hideMark/>
          </w:tcPr>
          <w:p w14:paraId="669E525F"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62CAF87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4737</w:t>
            </w:r>
          </w:p>
        </w:tc>
        <w:tc>
          <w:tcPr>
            <w:tcW w:w="1156" w:type="dxa"/>
            <w:tcBorders>
              <w:top w:val="nil"/>
              <w:left w:val="nil"/>
              <w:bottom w:val="single" w:sz="4" w:space="0" w:color="auto"/>
              <w:right w:val="single" w:sz="4" w:space="0" w:color="auto"/>
            </w:tcBorders>
            <w:shd w:val="clear" w:color="auto" w:fill="auto"/>
            <w:noWrap/>
            <w:vAlign w:val="bottom"/>
            <w:hideMark/>
          </w:tcPr>
          <w:p w14:paraId="1FAB44BA"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r>
      <w:tr w:rsidR="00DB70CA" w:rsidRPr="00B7675F" w14:paraId="7B668C96"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0B94CEA7"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17</w:t>
            </w:r>
          </w:p>
        </w:tc>
        <w:tc>
          <w:tcPr>
            <w:tcW w:w="2435" w:type="dxa"/>
            <w:tcBorders>
              <w:top w:val="nil"/>
              <w:left w:val="nil"/>
              <w:bottom w:val="single" w:sz="8" w:space="0" w:color="auto"/>
              <w:right w:val="single" w:sz="8" w:space="0" w:color="auto"/>
            </w:tcBorders>
            <w:shd w:val="clear" w:color="auto" w:fill="auto"/>
            <w:vAlign w:val="bottom"/>
            <w:hideMark/>
          </w:tcPr>
          <w:p w14:paraId="66C892FD" w14:textId="15DCA0EF"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Pensii angaja</w:t>
            </w:r>
            <w:r w:rsidR="002D2A2D">
              <w:rPr>
                <w:rFonts w:asciiTheme="majorHAnsi" w:eastAsia="Times New Roman" w:hAnsiTheme="majorHAnsi" w:cstheme="majorHAnsi"/>
                <w:color w:val="000000"/>
                <w:sz w:val="20"/>
                <w:szCs w:val="20"/>
                <w:lang w:val="ro-MD"/>
              </w:rPr>
              <w:t>ț</w:t>
            </w:r>
            <w:r w:rsidRPr="00736448">
              <w:rPr>
                <w:rFonts w:asciiTheme="majorHAnsi" w:eastAsia="Times New Roman" w:hAnsiTheme="majorHAnsi" w:cstheme="majorHAnsi"/>
                <w:color w:val="000000"/>
                <w:sz w:val="20"/>
                <w:szCs w:val="20"/>
                <w:lang w:val="ro-MD"/>
              </w:rPr>
              <w:t>ilor structurilor de for</w:t>
            </w:r>
            <w:r w:rsidR="002D2A2D">
              <w:rPr>
                <w:rFonts w:asciiTheme="majorHAnsi" w:eastAsia="Times New Roman" w:hAnsiTheme="majorHAnsi" w:cstheme="majorHAnsi"/>
                <w:color w:val="000000"/>
                <w:sz w:val="20"/>
                <w:szCs w:val="20"/>
                <w:lang w:val="ro-MD"/>
              </w:rPr>
              <w:t>ță</w:t>
            </w:r>
          </w:p>
        </w:tc>
        <w:tc>
          <w:tcPr>
            <w:tcW w:w="1159" w:type="dxa"/>
            <w:tcBorders>
              <w:top w:val="nil"/>
              <w:left w:val="nil"/>
              <w:bottom w:val="single" w:sz="8" w:space="0" w:color="auto"/>
              <w:right w:val="single" w:sz="8" w:space="0" w:color="auto"/>
            </w:tcBorders>
            <w:shd w:val="clear" w:color="auto" w:fill="auto"/>
            <w:vAlign w:val="bottom"/>
            <w:hideMark/>
          </w:tcPr>
          <w:p w14:paraId="37BBE83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21399</w:t>
            </w:r>
          </w:p>
        </w:tc>
        <w:tc>
          <w:tcPr>
            <w:tcW w:w="1074" w:type="dxa"/>
            <w:tcBorders>
              <w:top w:val="nil"/>
              <w:left w:val="nil"/>
              <w:bottom w:val="single" w:sz="8" w:space="0" w:color="auto"/>
              <w:right w:val="single" w:sz="8" w:space="0" w:color="auto"/>
            </w:tcBorders>
            <w:shd w:val="clear" w:color="auto" w:fill="auto"/>
            <w:vAlign w:val="bottom"/>
            <w:hideMark/>
          </w:tcPr>
          <w:p w14:paraId="3EC7C2C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10473</w:t>
            </w:r>
          </w:p>
        </w:tc>
        <w:tc>
          <w:tcPr>
            <w:tcW w:w="1074" w:type="dxa"/>
            <w:tcBorders>
              <w:top w:val="nil"/>
              <w:left w:val="nil"/>
              <w:bottom w:val="single" w:sz="8" w:space="0" w:color="auto"/>
              <w:right w:val="single" w:sz="8" w:space="0" w:color="auto"/>
            </w:tcBorders>
            <w:shd w:val="clear" w:color="auto" w:fill="auto"/>
            <w:vAlign w:val="bottom"/>
            <w:hideMark/>
          </w:tcPr>
          <w:p w14:paraId="1087DC0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21493</w:t>
            </w:r>
          </w:p>
        </w:tc>
        <w:tc>
          <w:tcPr>
            <w:tcW w:w="1165" w:type="dxa"/>
            <w:tcBorders>
              <w:top w:val="nil"/>
              <w:left w:val="nil"/>
              <w:bottom w:val="single" w:sz="8" w:space="0" w:color="auto"/>
              <w:right w:val="single" w:sz="8" w:space="0" w:color="auto"/>
            </w:tcBorders>
            <w:shd w:val="clear" w:color="auto" w:fill="auto"/>
            <w:vAlign w:val="bottom"/>
            <w:hideMark/>
          </w:tcPr>
          <w:p w14:paraId="4710D7E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10499</w:t>
            </w:r>
          </w:p>
        </w:tc>
        <w:tc>
          <w:tcPr>
            <w:tcW w:w="1134" w:type="dxa"/>
            <w:tcBorders>
              <w:top w:val="nil"/>
              <w:left w:val="nil"/>
              <w:bottom w:val="single" w:sz="8" w:space="0" w:color="auto"/>
              <w:right w:val="single" w:sz="8" w:space="0" w:color="auto"/>
            </w:tcBorders>
            <w:shd w:val="clear" w:color="auto" w:fill="auto"/>
            <w:vAlign w:val="bottom"/>
            <w:hideMark/>
          </w:tcPr>
          <w:p w14:paraId="6C3881B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21830</w:t>
            </w:r>
          </w:p>
        </w:tc>
        <w:tc>
          <w:tcPr>
            <w:tcW w:w="1074" w:type="dxa"/>
            <w:tcBorders>
              <w:top w:val="nil"/>
              <w:left w:val="nil"/>
              <w:bottom w:val="nil"/>
              <w:right w:val="nil"/>
            </w:tcBorders>
            <w:shd w:val="clear" w:color="auto" w:fill="auto"/>
            <w:vAlign w:val="bottom"/>
            <w:hideMark/>
          </w:tcPr>
          <w:p w14:paraId="4ED4B1B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10599</w:t>
            </w:r>
          </w:p>
        </w:tc>
        <w:tc>
          <w:tcPr>
            <w:tcW w:w="1227" w:type="dxa"/>
            <w:gridSpan w:val="2"/>
            <w:tcBorders>
              <w:top w:val="nil"/>
              <w:left w:val="single" w:sz="4" w:space="0" w:color="auto"/>
              <w:bottom w:val="nil"/>
              <w:right w:val="single" w:sz="4" w:space="0" w:color="auto"/>
            </w:tcBorders>
            <w:shd w:val="clear" w:color="auto" w:fill="auto"/>
            <w:noWrap/>
            <w:vAlign w:val="bottom"/>
            <w:hideMark/>
          </w:tcPr>
          <w:p w14:paraId="50B3169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431</w:t>
            </w:r>
          </w:p>
        </w:tc>
        <w:tc>
          <w:tcPr>
            <w:tcW w:w="1245" w:type="dxa"/>
            <w:tcBorders>
              <w:top w:val="nil"/>
              <w:left w:val="nil"/>
              <w:bottom w:val="nil"/>
              <w:right w:val="single" w:sz="4" w:space="0" w:color="auto"/>
            </w:tcBorders>
            <w:shd w:val="clear" w:color="auto" w:fill="auto"/>
            <w:noWrap/>
            <w:vAlign w:val="bottom"/>
            <w:hideMark/>
          </w:tcPr>
          <w:p w14:paraId="01769FE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102,0%</w:t>
            </w:r>
          </w:p>
        </w:tc>
        <w:tc>
          <w:tcPr>
            <w:tcW w:w="1086" w:type="dxa"/>
            <w:gridSpan w:val="2"/>
            <w:tcBorders>
              <w:top w:val="nil"/>
              <w:left w:val="nil"/>
              <w:bottom w:val="nil"/>
              <w:right w:val="single" w:sz="4" w:space="0" w:color="auto"/>
            </w:tcBorders>
            <w:shd w:val="clear" w:color="auto" w:fill="auto"/>
            <w:noWrap/>
            <w:vAlign w:val="bottom"/>
            <w:hideMark/>
          </w:tcPr>
          <w:p w14:paraId="3EE072B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126</w:t>
            </w:r>
          </w:p>
        </w:tc>
        <w:tc>
          <w:tcPr>
            <w:tcW w:w="1156" w:type="dxa"/>
            <w:tcBorders>
              <w:top w:val="nil"/>
              <w:left w:val="nil"/>
              <w:bottom w:val="nil"/>
              <w:right w:val="single" w:sz="4" w:space="0" w:color="auto"/>
            </w:tcBorders>
            <w:shd w:val="clear" w:color="auto" w:fill="auto"/>
            <w:noWrap/>
            <w:vAlign w:val="bottom"/>
            <w:hideMark/>
          </w:tcPr>
          <w:p w14:paraId="439D0F7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101,2%</w:t>
            </w:r>
          </w:p>
        </w:tc>
      </w:tr>
      <w:tr w:rsidR="00DB70CA" w:rsidRPr="00B7675F" w14:paraId="5535C8BD"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000000" w:fill="C9C9C9"/>
            <w:vAlign w:val="bottom"/>
            <w:hideMark/>
          </w:tcPr>
          <w:p w14:paraId="282C4038"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2435" w:type="dxa"/>
            <w:tcBorders>
              <w:top w:val="nil"/>
              <w:left w:val="nil"/>
              <w:bottom w:val="single" w:sz="8" w:space="0" w:color="auto"/>
              <w:right w:val="single" w:sz="8" w:space="0" w:color="auto"/>
            </w:tcBorders>
            <w:shd w:val="clear" w:color="000000" w:fill="C9C9C9"/>
            <w:vAlign w:val="bottom"/>
            <w:hideMark/>
          </w:tcPr>
          <w:p w14:paraId="44A86335" w14:textId="77777777" w:rsidR="00DB70CA" w:rsidRPr="00736448" w:rsidRDefault="00DB70CA" w:rsidP="00490517">
            <w:pPr>
              <w:spacing w:after="0" w:line="240" w:lineRule="auto"/>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 xml:space="preserve">Alocaţii sociale de stat total, </w:t>
            </w:r>
            <w:r w:rsidRPr="00736448">
              <w:rPr>
                <w:rFonts w:asciiTheme="majorHAnsi" w:eastAsia="Times New Roman" w:hAnsiTheme="majorHAnsi" w:cstheme="majorHAnsi"/>
                <w:b/>
                <w:bCs/>
                <w:i/>
                <w:iCs/>
                <w:color w:val="000000"/>
                <w:sz w:val="20"/>
                <w:szCs w:val="20"/>
                <w:lang w:val="ro-MD"/>
              </w:rPr>
              <w:t>inclusiv:</w:t>
            </w:r>
          </w:p>
        </w:tc>
        <w:tc>
          <w:tcPr>
            <w:tcW w:w="1159" w:type="dxa"/>
            <w:tcBorders>
              <w:top w:val="nil"/>
              <w:left w:val="nil"/>
              <w:bottom w:val="single" w:sz="8" w:space="0" w:color="auto"/>
              <w:right w:val="single" w:sz="8" w:space="0" w:color="auto"/>
            </w:tcBorders>
            <w:shd w:val="clear" w:color="000000" w:fill="C9C9C9"/>
            <w:vAlign w:val="bottom"/>
            <w:hideMark/>
          </w:tcPr>
          <w:p w14:paraId="0AF2D14F"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68889</w:t>
            </w:r>
          </w:p>
        </w:tc>
        <w:tc>
          <w:tcPr>
            <w:tcW w:w="1074" w:type="dxa"/>
            <w:tcBorders>
              <w:top w:val="nil"/>
              <w:left w:val="nil"/>
              <w:bottom w:val="single" w:sz="8" w:space="0" w:color="auto"/>
              <w:right w:val="single" w:sz="8" w:space="0" w:color="auto"/>
            </w:tcBorders>
            <w:shd w:val="clear" w:color="000000" w:fill="C9C9C9"/>
            <w:vAlign w:val="bottom"/>
            <w:hideMark/>
          </w:tcPr>
          <w:p w14:paraId="20546A24"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9121</w:t>
            </w:r>
          </w:p>
        </w:tc>
        <w:tc>
          <w:tcPr>
            <w:tcW w:w="1074" w:type="dxa"/>
            <w:tcBorders>
              <w:top w:val="nil"/>
              <w:left w:val="nil"/>
              <w:bottom w:val="single" w:sz="8" w:space="0" w:color="auto"/>
              <w:right w:val="single" w:sz="8" w:space="0" w:color="auto"/>
            </w:tcBorders>
            <w:shd w:val="clear" w:color="000000" w:fill="C9C9C9"/>
            <w:vAlign w:val="bottom"/>
            <w:hideMark/>
          </w:tcPr>
          <w:p w14:paraId="6178A185"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73023</w:t>
            </w:r>
          </w:p>
        </w:tc>
        <w:tc>
          <w:tcPr>
            <w:tcW w:w="1165" w:type="dxa"/>
            <w:tcBorders>
              <w:top w:val="nil"/>
              <w:left w:val="nil"/>
              <w:bottom w:val="single" w:sz="8" w:space="0" w:color="auto"/>
              <w:right w:val="single" w:sz="8" w:space="0" w:color="auto"/>
            </w:tcBorders>
            <w:shd w:val="clear" w:color="000000" w:fill="C9C9C9"/>
            <w:vAlign w:val="bottom"/>
            <w:hideMark/>
          </w:tcPr>
          <w:p w14:paraId="6BD95F3A"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9535</w:t>
            </w:r>
          </w:p>
        </w:tc>
        <w:tc>
          <w:tcPr>
            <w:tcW w:w="1134" w:type="dxa"/>
            <w:tcBorders>
              <w:top w:val="nil"/>
              <w:left w:val="nil"/>
              <w:bottom w:val="single" w:sz="8" w:space="0" w:color="auto"/>
              <w:right w:val="single" w:sz="8" w:space="0" w:color="auto"/>
            </w:tcBorders>
            <w:shd w:val="clear" w:color="000000" w:fill="D0CECE"/>
            <w:vAlign w:val="bottom"/>
            <w:hideMark/>
          </w:tcPr>
          <w:p w14:paraId="0D27343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78670</w:t>
            </w:r>
          </w:p>
        </w:tc>
        <w:tc>
          <w:tcPr>
            <w:tcW w:w="1074" w:type="dxa"/>
            <w:tcBorders>
              <w:top w:val="single" w:sz="8" w:space="0" w:color="auto"/>
              <w:left w:val="nil"/>
              <w:bottom w:val="single" w:sz="8" w:space="0" w:color="auto"/>
              <w:right w:val="nil"/>
            </w:tcBorders>
            <w:shd w:val="clear" w:color="000000" w:fill="D0CECE"/>
            <w:vAlign w:val="bottom"/>
            <w:hideMark/>
          </w:tcPr>
          <w:p w14:paraId="340A536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10710</w:t>
            </w:r>
          </w:p>
        </w:tc>
        <w:tc>
          <w:tcPr>
            <w:tcW w:w="1227" w:type="dxa"/>
            <w:gridSpan w:val="2"/>
            <w:tcBorders>
              <w:top w:val="single" w:sz="8" w:space="0" w:color="auto"/>
              <w:left w:val="single" w:sz="4" w:space="0" w:color="auto"/>
              <w:bottom w:val="single" w:sz="8" w:space="0" w:color="auto"/>
              <w:right w:val="single" w:sz="4" w:space="0" w:color="auto"/>
            </w:tcBorders>
            <w:shd w:val="clear" w:color="000000" w:fill="D0CECE"/>
            <w:noWrap/>
            <w:vAlign w:val="bottom"/>
            <w:hideMark/>
          </w:tcPr>
          <w:p w14:paraId="0B2D9BB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9781</w:t>
            </w:r>
          </w:p>
        </w:tc>
        <w:tc>
          <w:tcPr>
            <w:tcW w:w="1245" w:type="dxa"/>
            <w:tcBorders>
              <w:top w:val="single" w:sz="8" w:space="0" w:color="auto"/>
              <w:left w:val="nil"/>
              <w:bottom w:val="single" w:sz="8" w:space="0" w:color="auto"/>
              <w:right w:val="single" w:sz="4" w:space="0" w:color="auto"/>
            </w:tcBorders>
            <w:shd w:val="clear" w:color="000000" w:fill="D0CECE"/>
            <w:noWrap/>
            <w:vAlign w:val="bottom"/>
            <w:hideMark/>
          </w:tcPr>
          <w:p w14:paraId="6FBA748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114,2%</w:t>
            </w:r>
          </w:p>
        </w:tc>
        <w:tc>
          <w:tcPr>
            <w:tcW w:w="1086" w:type="dxa"/>
            <w:gridSpan w:val="2"/>
            <w:tcBorders>
              <w:top w:val="single" w:sz="8" w:space="0" w:color="auto"/>
              <w:left w:val="nil"/>
              <w:bottom w:val="single" w:sz="8" w:space="0" w:color="auto"/>
              <w:right w:val="single" w:sz="4" w:space="0" w:color="auto"/>
            </w:tcBorders>
            <w:shd w:val="clear" w:color="000000" w:fill="D0CECE"/>
            <w:noWrap/>
            <w:vAlign w:val="bottom"/>
            <w:hideMark/>
          </w:tcPr>
          <w:p w14:paraId="5F15EEE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1589</w:t>
            </w:r>
          </w:p>
        </w:tc>
        <w:tc>
          <w:tcPr>
            <w:tcW w:w="1156" w:type="dxa"/>
            <w:tcBorders>
              <w:top w:val="single" w:sz="8" w:space="0" w:color="auto"/>
              <w:left w:val="nil"/>
              <w:bottom w:val="single" w:sz="8" w:space="0" w:color="auto"/>
              <w:right w:val="single" w:sz="8" w:space="0" w:color="auto"/>
            </w:tcBorders>
            <w:shd w:val="clear" w:color="000000" w:fill="D0CECE"/>
            <w:noWrap/>
            <w:vAlign w:val="bottom"/>
            <w:hideMark/>
          </w:tcPr>
          <w:p w14:paraId="677A2DA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117,4%</w:t>
            </w:r>
          </w:p>
        </w:tc>
      </w:tr>
      <w:tr w:rsidR="00DB70CA" w:rsidRPr="00B7675F" w14:paraId="799BC2A5"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0B62E48A"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2435" w:type="dxa"/>
            <w:tcBorders>
              <w:top w:val="nil"/>
              <w:left w:val="nil"/>
              <w:bottom w:val="single" w:sz="8" w:space="0" w:color="auto"/>
              <w:right w:val="single" w:sz="8" w:space="0" w:color="auto"/>
            </w:tcBorders>
            <w:shd w:val="clear" w:color="auto" w:fill="auto"/>
            <w:vAlign w:val="bottom"/>
            <w:hideMark/>
          </w:tcPr>
          <w:p w14:paraId="6BE6287E" w14:textId="4C169EC1"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Pentru persoane v</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rstnice</w:t>
            </w:r>
          </w:p>
        </w:tc>
        <w:tc>
          <w:tcPr>
            <w:tcW w:w="1159" w:type="dxa"/>
            <w:tcBorders>
              <w:top w:val="nil"/>
              <w:left w:val="nil"/>
              <w:bottom w:val="single" w:sz="8" w:space="0" w:color="auto"/>
              <w:right w:val="single" w:sz="8" w:space="0" w:color="auto"/>
            </w:tcBorders>
            <w:shd w:val="clear" w:color="auto" w:fill="auto"/>
            <w:vAlign w:val="bottom"/>
            <w:hideMark/>
          </w:tcPr>
          <w:p w14:paraId="77AC69F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10393</w:t>
            </w:r>
          </w:p>
        </w:tc>
        <w:tc>
          <w:tcPr>
            <w:tcW w:w="1074" w:type="dxa"/>
            <w:tcBorders>
              <w:top w:val="nil"/>
              <w:left w:val="nil"/>
              <w:bottom w:val="single" w:sz="8" w:space="0" w:color="auto"/>
              <w:right w:val="single" w:sz="8" w:space="0" w:color="auto"/>
            </w:tcBorders>
            <w:shd w:val="clear" w:color="auto" w:fill="auto"/>
            <w:vAlign w:val="bottom"/>
            <w:hideMark/>
          </w:tcPr>
          <w:p w14:paraId="2C6A6D9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972</w:t>
            </w:r>
          </w:p>
        </w:tc>
        <w:tc>
          <w:tcPr>
            <w:tcW w:w="1074" w:type="dxa"/>
            <w:tcBorders>
              <w:top w:val="nil"/>
              <w:left w:val="nil"/>
              <w:bottom w:val="single" w:sz="8" w:space="0" w:color="auto"/>
              <w:right w:val="single" w:sz="8" w:space="0" w:color="auto"/>
            </w:tcBorders>
            <w:shd w:val="clear" w:color="auto" w:fill="auto"/>
            <w:vAlign w:val="bottom"/>
            <w:hideMark/>
          </w:tcPr>
          <w:p w14:paraId="09FA341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12716</w:t>
            </w:r>
          </w:p>
        </w:tc>
        <w:tc>
          <w:tcPr>
            <w:tcW w:w="1165" w:type="dxa"/>
            <w:tcBorders>
              <w:top w:val="nil"/>
              <w:left w:val="nil"/>
              <w:bottom w:val="single" w:sz="8" w:space="0" w:color="auto"/>
              <w:right w:val="single" w:sz="8" w:space="0" w:color="auto"/>
            </w:tcBorders>
            <w:shd w:val="clear" w:color="auto" w:fill="auto"/>
            <w:vAlign w:val="bottom"/>
            <w:hideMark/>
          </w:tcPr>
          <w:p w14:paraId="5EADE73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1223</w:t>
            </w:r>
          </w:p>
        </w:tc>
        <w:tc>
          <w:tcPr>
            <w:tcW w:w="1134" w:type="dxa"/>
            <w:tcBorders>
              <w:top w:val="nil"/>
              <w:left w:val="nil"/>
              <w:bottom w:val="single" w:sz="8" w:space="0" w:color="auto"/>
              <w:right w:val="single" w:sz="8" w:space="0" w:color="auto"/>
            </w:tcBorders>
            <w:shd w:val="clear" w:color="auto" w:fill="auto"/>
            <w:vAlign w:val="bottom"/>
            <w:hideMark/>
          </w:tcPr>
          <w:p w14:paraId="508D23E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15390</w:t>
            </w:r>
          </w:p>
        </w:tc>
        <w:tc>
          <w:tcPr>
            <w:tcW w:w="1074" w:type="dxa"/>
            <w:tcBorders>
              <w:top w:val="nil"/>
              <w:left w:val="nil"/>
              <w:bottom w:val="single" w:sz="8" w:space="0" w:color="auto"/>
              <w:right w:val="nil"/>
            </w:tcBorders>
            <w:shd w:val="clear" w:color="auto" w:fill="auto"/>
            <w:vAlign w:val="bottom"/>
            <w:hideMark/>
          </w:tcPr>
          <w:p w14:paraId="51A6D10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1560</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AD9BF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4997</w:t>
            </w:r>
          </w:p>
        </w:tc>
        <w:tc>
          <w:tcPr>
            <w:tcW w:w="1245" w:type="dxa"/>
            <w:tcBorders>
              <w:top w:val="nil"/>
              <w:left w:val="nil"/>
              <w:bottom w:val="single" w:sz="4" w:space="0" w:color="auto"/>
              <w:right w:val="single" w:sz="4" w:space="0" w:color="auto"/>
            </w:tcBorders>
            <w:shd w:val="clear" w:color="auto" w:fill="auto"/>
            <w:noWrap/>
            <w:vAlign w:val="bottom"/>
            <w:hideMark/>
          </w:tcPr>
          <w:p w14:paraId="2A4407F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148,1%</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EF2C7B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588</w:t>
            </w:r>
          </w:p>
        </w:tc>
        <w:tc>
          <w:tcPr>
            <w:tcW w:w="1156" w:type="dxa"/>
            <w:tcBorders>
              <w:top w:val="nil"/>
              <w:left w:val="nil"/>
              <w:bottom w:val="single" w:sz="4" w:space="0" w:color="auto"/>
              <w:right w:val="single" w:sz="4" w:space="0" w:color="auto"/>
            </w:tcBorders>
            <w:shd w:val="clear" w:color="auto" w:fill="auto"/>
            <w:noWrap/>
            <w:vAlign w:val="bottom"/>
            <w:hideMark/>
          </w:tcPr>
          <w:p w14:paraId="12E5167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160,5%</w:t>
            </w:r>
          </w:p>
        </w:tc>
      </w:tr>
      <w:tr w:rsidR="00DB70CA" w:rsidRPr="00B7675F" w14:paraId="76E6CBB1"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678737F7"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w:t>
            </w:r>
          </w:p>
        </w:tc>
        <w:tc>
          <w:tcPr>
            <w:tcW w:w="2435" w:type="dxa"/>
            <w:tcBorders>
              <w:top w:val="nil"/>
              <w:left w:val="nil"/>
              <w:bottom w:val="single" w:sz="8" w:space="0" w:color="auto"/>
              <w:right w:val="single" w:sz="8" w:space="0" w:color="auto"/>
            </w:tcBorders>
            <w:shd w:val="clear" w:color="auto" w:fill="auto"/>
            <w:vAlign w:val="bottom"/>
            <w:hideMark/>
          </w:tcPr>
          <w:p w14:paraId="497ADAAB"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Pentru persoanele cu dizabilităţi</w:t>
            </w:r>
          </w:p>
        </w:tc>
        <w:tc>
          <w:tcPr>
            <w:tcW w:w="1159" w:type="dxa"/>
            <w:tcBorders>
              <w:top w:val="nil"/>
              <w:left w:val="nil"/>
              <w:bottom w:val="single" w:sz="8" w:space="0" w:color="auto"/>
              <w:right w:val="single" w:sz="8" w:space="0" w:color="auto"/>
            </w:tcBorders>
            <w:shd w:val="clear" w:color="auto" w:fill="auto"/>
            <w:vAlign w:val="bottom"/>
            <w:hideMark/>
          </w:tcPr>
          <w:p w14:paraId="0923A71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14123</w:t>
            </w:r>
          </w:p>
        </w:tc>
        <w:tc>
          <w:tcPr>
            <w:tcW w:w="1074" w:type="dxa"/>
            <w:tcBorders>
              <w:top w:val="nil"/>
              <w:left w:val="nil"/>
              <w:bottom w:val="single" w:sz="8" w:space="0" w:color="auto"/>
              <w:right w:val="single" w:sz="8" w:space="0" w:color="auto"/>
            </w:tcBorders>
            <w:shd w:val="clear" w:color="auto" w:fill="auto"/>
            <w:vAlign w:val="bottom"/>
            <w:hideMark/>
          </w:tcPr>
          <w:p w14:paraId="37CDF67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3220</w:t>
            </w:r>
          </w:p>
        </w:tc>
        <w:tc>
          <w:tcPr>
            <w:tcW w:w="1074" w:type="dxa"/>
            <w:tcBorders>
              <w:top w:val="nil"/>
              <w:left w:val="nil"/>
              <w:bottom w:val="single" w:sz="8" w:space="0" w:color="auto"/>
              <w:right w:val="single" w:sz="8" w:space="0" w:color="auto"/>
            </w:tcBorders>
            <w:shd w:val="clear" w:color="auto" w:fill="auto"/>
            <w:vAlign w:val="bottom"/>
            <w:hideMark/>
          </w:tcPr>
          <w:p w14:paraId="73744C2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15637</w:t>
            </w:r>
          </w:p>
        </w:tc>
        <w:tc>
          <w:tcPr>
            <w:tcW w:w="1165" w:type="dxa"/>
            <w:tcBorders>
              <w:top w:val="nil"/>
              <w:left w:val="nil"/>
              <w:bottom w:val="single" w:sz="8" w:space="0" w:color="auto"/>
              <w:right w:val="single" w:sz="8" w:space="0" w:color="auto"/>
            </w:tcBorders>
            <w:shd w:val="clear" w:color="auto" w:fill="auto"/>
            <w:vAlign w:val="bottom"/>
            <w:hideMark/>
          </w:tcPr>
          <w:p w14:paraId="4F996A3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3461</w:t>
            </w:r>
          </w:p>
        </w:tc>
        <w:tc>
          <w:tcPr>
            <w:tcW w:w="1134" w:type="dxa"/>
            <w:tcBorders>
              <w:top w:val="nil"/>
              <w:left w:val="nil"/>
              <w:bottom w:val="single" w:sz="8" w:space="0" w:color="auto"/>
              <w:right w:val="single" w:sz="8" w:space="0" w:color="auto"/>
            </w:tcBorders>
            <w:shd w:val="clear" w:color="auto" w:fill="auto"/>
            <w:vAlign w:val="bottom"/>
            <w:hideMark/>
          </w:tcPr>
          <w:p w14:paraId="4B8CFDA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17917</w:t>
            </w:r>
          </w:p>
        </w:tc>
        <w:tc>
          <w:tcPr>
            <w:tcW w:w="1074" w:type="dxa"/>
            <w:tcBorders>
              <w:top w:val="nil"/>
              <w:left w:val="nil"/>
              <w:bottom w:val="single" w:sz="8" w:space="0" w:color="auto"/>
              <w:right w:val="nil"/>
            </w:tcBorders>
            <w:shd w:val="clear" w:color="auto" w:fill="auto"/>
            <w:vAlign w:val="bottom"/>
            <w:hideMark/>
          </w:tcPr>
          <w:p w14:paraId="7AEAB2B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4005</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8D6531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3794</w:t>
            </w:r>
          </w:p>
        </w:tc>
        <w:tc>
          <w:tcPr>
            <w:tcW w:w="1245" w:type="dxa"/>
            <w:tcBorders>
              <w:top w:val="nil"/>
              <w:left w:val="nil"/>
              <w:bottom w:val="single" w:sz="4" w:space="0" w:color="auto"/>
              <w:right w:val="single" w:sz="4" w:space="0" w:color="auto"/>
            </w:tcBorders>
            <w:shd w:val="clear" w:color="auto" w:fill="auto"/>
            <w:noWrap/>
            <w:vAlign w:val="bottom"/>
            <w:hideMark/>
          </w:tcPr>
          <w:p w14:paraId="713F9AD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126,9%</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024D88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785</w:t>
            </w:r>
          </w:p>
        </w:tc>
        <w:tc>
          <w:tcPr>
            <w:tcW w:w="1156" w:type="dxa"/>
            <w:tcBorders>
              <w:top w:val="nil"/>
              <w:left w:val="nil"/>
              <w:bottom w:val="single" w:sz="4" w:space="0" w:color="auto"/>
              <w:right w:val="single" w:sz="4" w:space="0" w:color="auto"/>
            </w:tcBorders>
            <w:shd w:val="clear" w:color="auto" w:fill="auto"/>
            <w:noWrap/>
            <w:vAlign w:val="bottom"/>
            <w:hideMark/>
          </w:tcPr>
          <w:p w14:paraId="10931DB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124,4%</w:t>
            </w:r>
          </w:p>
        </w:tc>
      </w:tr>
      <w:tr w:rsidR="00DB70CA" w:rsidRPr="00B7675F" w14:paraId="72FB8ED0"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0F212E94"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2435" w:type="dxa"/>
            <w:tcBorders>
              <w:top w:val="nil"/>
              <w:left w:val="nil"/>
              <w:bottom w:val="single" w:sz="8" w:space="0" w:color="auto"/>
              <w:right w:val="single" w:sz="8" w:space="0" w:color="auto"/>
            </w:tcBorders>
            <w:shd w:val="clear" w:color="auto" w:fill="auto"/>
            <w:vAlign w:val="bottom"/>
            <w:hideMark/>
          </w:tcPr>
          <w:p w14:paraId="07049F30"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Persoanele cu dizabilităţi din copilărie</w:t>
            </w:r>
          </w:p>
        </w:tc>
        <w:tc>
          <w:tcPr>
            <w:tcW w:w="1159" w:type="dxa"/>
            <w:tcBorders>
              <w:top w:val="nil"/>
              <w:left w:val="nil"/>
              <w:bottom w:val="single" w:sz="8" w:space="0" w:color="auto"/>
              <w:right w:val="single" w:sz="8" w:space="0" w:color="auto"/>
            </w:tcBorders>
            <w:shd w:val="clear" w:color="auto" w:fill="auto"/>
            <w:vAlign w:val="bottom"/>
            <w:hideMark/>
          </w:tcPr>
          <w:p w14:paraId="575BA97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27733</w:t>
            </w:r>
          </w:p>
        </w:tc>
        <w:tc>
          <w:tcPr>
            <w:tcW w:w="1074" w:type="dxa"/>
            <w:tcBorders>
              <w:top w:val="nil"/>
              <w:left w:val="nil"/>
              <w:bottom w:val="single" w:sz="8" w:space="0" w:color="auto"/>
              <w:right w:val="single" w:sz="8" w:space="0" w:color="auto"/>
            </w:tcBorders>
            <w:shd w:val="clear" w:color="auto" w:fill="auto"/>
            <w:vAlign w:val="bottom"/>
            <w:hideMark/>
          </w:tcPr>
          <w:p w14:paraId="7281EAF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4599</w:t>
            </w:r>
          </w:p>
        </w:tc>
        <w:tc>
          <w:tcPr>
            <w:tcW w:w="1074" w:type="dxa"/>
            <w:tcBorders>
              <w:top w:val="nil"/>
              <w:left w:val="nil"/>
              <w:bottom w:val="single" w:sz="8" w:space="0" w:color="auto"/>
              <w:right w:val="single" w:sz="8" w:space="0" w:color="auto"/>
            </w:tcBorders>
            <w:shd w:val="clear" w:color="auto" w:fill="auto"/>
            <w:vAlign w:val="bottom"/>
            <w:hideMark/>
          </w:tcPr>
          <w:p w14:paraId="7D1FD54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27922</w:t>
            </w:r>
          </w:p>
        </w:tc>
        <w:tc>
          <w:tcPr>
            <w:tcW w:w="1165" w:type="dxa"/>
            <w:tcBorders>
              <w:top w:val="nil"/>
              <w:left w:val="nil"/>
              <w:bottom w:val="single" w:sz="8" w:space="0" w:color="auto"/>
              <w:right w:val="single" w:sz="8" w:space="0" w:color="auto"/>
            </w:tcBorders>
            <w:shd w:val="clear" w:color="auto" w:fill="auto"/>
            <w:vAlign w:val="bottom"/>
            <w:hideMark/>
          </w:tcPr>
          <w:p w14:paraId="4946E79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4533</w:t>
            </w:r>
          </w:p>
        </w:tc>
        <w:tc>
          <w:tcPr>
            <w:tcW w:w="1134" w:type="dxa"/>
            <w:tcBorders>
              <w:top w:val="nil"/>
              <w:left w:val="nil"/>
              <w:bottom w:val="single" w:sz="8" w:space="0" w:color="auto"/>
              <w:right w:val="single" w:sz="8" w:space="0" w:color="auto"/>
            </w:tcBorders>
            <w:shd w:val="clear" w:color="auto" w:fill="auto"/>
            <w:vAlign w:val="bottom"/>
            <w:hideMark/>
          </w:tcPr>
          <w:p w14:paraId="402EF54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28255</w:t>
            </w:r>
          </w:p>
        </w:tc>
        <w:tc>
          <w:tcPr>
            <w:tcW w:w="1074" w:type="dxa"/>
            <w:tcBorders>
              <w:top w:val="nil"/>
              <w:left w:val="nil"/>
              <w:bottom w:val="single" w:sz="8" w:space="0" w:color="auto"/>
              <w:right w:val="nil"/>
            </w:tcBorders>
            <w:shd w:val="clear" w:color="auto" w:fill="auto"/>
            <w:vAlign w:val="bottom"/>
            <w:hideMark/>
          </w:tcPr>
          <w:p w14:paraId="6485715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4719</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595BA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522</w:t>
            </w:r>
          </w:p>
        </w:tc>
        <w:tc>
          <w:tcPr>
            <w:tcW w:w="1245" w:type="dxa"/>
            <w:tcBorders>
              <w:top w:val="nil"/>
              <w:left w:val="nil"/>
              <w:bottom w:val="single" w:sz="4" w:space="0" w:color="auto"/>
              <w:right w:val="single" w:sz="4" w:space="0" w:color="auto"/>
            </w:tcBorders>
            <w:shd w:val="clear" w:color="auto" w:fill="auto"/>
            <w:noWrap/>
            <w:vAlign w:val="bottom"/>
            <w:hideMark/>
          </w:tcPr>
          <w:p w14:paraId="751D57E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101,9%</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1C3058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120</w:t>
            </w:r>
          </w:p>
        </w:tc>
        <w:tc>
          <w:tcPr>
            <w:tcW w:w="1156" w:type="dxa"/>
            <w:tcBorders>
              <w:top w:val="nil"/>
              <w:left w:val="nil"/>
              <w:bottom w:val="single" w:sz="4" w:space="0" w:color="auto"/>
              <w:right w:val="single" w:sz="4" w:space="0" w:color="auto"/>
            </w:tcBorders>
            <w:shd w:val="clear" w:color="auto" w:fill="auto"/>
            <w:noWrap/>
            <w:vAlign w:val="bottom"/>
            <w:hideMark/>
          </w:tcPr>
          <w:p w14:paraId="31B7CB3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102,6%</w:t>
            </w:r>
          </w:p>
        </w:tc>
      </w:tr>
      <w:tr w:rsidR="00DB70CA" w:rsidRPr="00B7675F" w14:paraId="0476080E"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37A2BB3F"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w:t>
            </w:r>
          </w:p>
        </w:tc>
        <w:tc>
          <w:tcPr>
            <w:tcW w:w="2435" w:type="dxa"/>
            <w:tcBorders>
              <w:top w:val="nil"/>
              <w:left w:val="nil"/>
              <w:bottom w:val="single" w:sz="8" w:space="0" w:color="auto"/>
              <w:right w:val="single" w:sz="8" w:space="0" w:color="auto"/>
            </w:tcBorders>
            <w:shd w:val="clear" w:color="auto" w:fill="auto"/>
            <w:vAlign w:val="bottom"/>
            <w:hideMark/>
          </w:tcPr>
          <w:p w14:paraId="78F63920" w14:textId="0100CA6D"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Copiii cu dizabilităţi în v</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rstă de p</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nă la 18 ani</w:t>
            </w:r>
          </w:p>
        </w:tc>
        <w:tc>
          <w:tcPr>
            <w:tcW w:w="1159" w:type="dxa"/>
            <w:tcBorders>
              <w:top w:val="nil"/>
              <w:left w:val="nil"/>
              <w:bottom w:val="single" w:sz="8" w:space="0" w:color="auto"/>
              <w:right w:val="single" w:sz="8" w:space="0" w:color="auto"/>
            </w:tcBorders>
            <w:shd w:val="clear" w:color="auto" w:fill="auto"/>
            <w:vAlign w:val="bottom"/>
            <w:hideMark/>
          </w:tcPr>
          <w:p w14:paraId="18FA674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10429</w:t>
            </w:r>
          </w:p>
        </w:tc>
        <w:tc>
          <w:tcPr>
            <w:tcW w:w="1074" w:type="dxa"/>
            <w:tcBorders>
              <w:top w:val="nil"/>
              <w:left w:val="nil"/>
              <w:bottom w:val="single" w:sz="8" w:space="0" w:color="auto"/>
              <w:right w:val="single" w:sz="8" w:space="0" w:color="auto"/>
            </w:tcBorders>
            <w:shd w:val="clear" w:color="auto" w:fill="auto"/>
            <w:vAlign w:val="bottom"/>
            <w:hideMark/>
          </w:tcPr>
          <w:p w14:paraId="5958E2F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54</w:t>
            </w:r>
          </w:p>
        </w:tc>
        <w:tc>
          <w:tcPr>
            <w:tcW w:w="1074" w:type="dxa"/>
            <w:tcBorders>
              <w:top w:val="nil"/>
              <w:left w:val="nil"/>
              <w:bottom w:val="single" w:sz="8" w:space="0" w:color="auto"/>
              <w:right w:val="single" w:sz="8" w:space="0" w:color="auto"/>
            </w:tcBorders>
            <w:shd w:val="clear" w:color="auto" w:fill="auto"/>
            <w:vAlign w:val="bottom"/>
            <w:hideMark/>
          </w:tcPr>
          <w:p w14:paraId="4206EA5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10567</w:t>
            </w:r>
          </w:p>
        </w:tc>
        <w:tc>
          <w:tcPr>
            <w:tcW w:w="1165" w:type="dxa"/>
            <w:tcBorders>
              <w:top w:val="nil"/>
              <w:left w:val="nil"/>
              <w:bottom w:val="single" w:sz="8" w:space="0" w:color="auto"/>
              <w:right w:val="single" w:sz="8" w:space="0" w:color="auto"/>
            </w:tcBorders>
            <w:shd w:val="clear" w:color="auto" w:fill="auto"/>
            <w:vAlign w:val="bottom"/>
            <w:hideMark/>
          </w:tcPr>
          <w:p w14:paraId="1E595E6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40</w:t>
            </w:r>
          </w:p>
        </w:tc>
        <w:tc>
          <w:tcPr>
            <w:tcW w:w="1134" w:type="dxa"/>
            <w:tcBorders>
              <w:top w:val="nil"/>
              <w:left w:val="nil"/>
              <w:bottom w:val="single" w:sz="8" w:space="0" w:color="auto"/>
              <w:right w:val="single" w:sz="8" w:space="0" w:color="auto"/>
            </w:tcBorders>
            <w:shd w:val="clear" w:color="auto" w:fill="auto"/>
            <w:vAlign w:val="bottom"/>
            <w:hideMark/>
          </w:tcPr>
          <w:p w14:paraId="6586875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10936</w:t>
            </w:r>
          </w:p>
        </w:tc>
        <w:tc>
          <w:tcPr>
            <w:tcW w:w="1074" w:type="dxa"/>
            <w:tcBorders>
              <w:top w:val="nil"/>
              <w:left w:val="nil"/>
              <w:bottom w:val="single" w:sz="8" w:space="0" w:color="auto"/>
              <w:right w:val="nil"/>
            </w:tcBorders>
            <w:shd w:val="clear" w:color="auto" w:fill="auto"/>
            <w:vAlign w:val="bottom"/>
            <w:hideMark/>
          </w:tcPr>
          <w:p w14:paraId="750378E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68</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1426E1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507</w:t>
            </w:r>
          </w:p>
        </w:tc>
        <w:tc>
          <w:tcPr>
            <w:tcW w:w="1245" w:type="dxa"/>
            <w:tcBorders>
              <w:top w:val="nil"/>
              <w:left w:val="nil"/>
              <w:bottom w:val="single" w:sz="4" w:space="0" w:color="auto"/>
              <w:right w:val="single" w:sz="4" w:space="0" w:color="auto"/>
            </w:tcBorders>
            <w:shd w:val="clear" w:color="auto" w:fill="auto"/>
            <w:noWrap/>
            <w:vAlign w:val="bottom"/>
            <w:hideMark/>
          </w:tcPr>
          <w:p w14:paraId="0C86547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104,9%</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1863AA4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w:t>
            </w:r>
          </w:p>
        </w:tc>
        <w:tc>
          <w:tcPr>
            <w:tcW w:w="1156" w:type="dxa"/>
            <w:tcBorders>
              <w:top w:val="nil"/>
              <w:left w:val="nil"/>
              <w:bottom w:val="single" w:sz="4" w:space="0" w:color="auto"/>
              <w:right w:val="single" w:sz="4" w:space="0" w:color="auto"/>
            </w:tcBorders>
            <w:shd w:val="clear" w:color="auto" w:fill="auto"/>
            <w:noWrap/>
            <w:vAlign w:val="bottom"/>
            <w:hideMark/>
          </w:tcPr>
          <w:p w14:paraId="42885D7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125,9%</w:t>
            </w:r>
          </w:p>
        </w:tc>
      </w:tr>
      <w:tr w:rsidR="00DB70CA" w:rsidRPr="00B7675F" w14:paraId="10EA2074"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3F1FBD8E"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2435" w:type="dxa"/>
            <w:tcBorders>
              <w:top w:val="nil"/>
              <w:left w:val="nil"/>
              <w:bottom w:val="single" w:sz="8" w:space="0" w:color="auto"/>
              <w:right w:val="single" w:sz="8" w:space="0" w:color="auto"/>
            </w:tcBorders>
            <w:shd w:val="clear" w:color="auto" w:fill="auto"/>
            <w:vAlign w:val="bottom"/>
            <w:hideMark/>
          </w:tcPr>
          <w:p w14:paraId="3FB7BA77" w14:textId="25425473" w:rsidR="00DB70CA" w:rsidRPr="00736448" w:rsidRDefault="002D2A2D" w:rsidP="002D2A2D">
            <w:pPr>
              <w:spacing w:after="0" w:line="240" w:lineRule="auto"/>
              <w:rPr>
                <w:rFonts w:asciiTheme="majorHAnsi" w:eastAsia="Times New Roman" w:hAnsiTheme="majorHAnsi" w:cstheme="majorHAnsi"/>
                <w:color w:val="000000"/>
                <w:sz w:val="20"/>
                <w:szCs w:val="20"/>
                <w:lang w:val="ro-MD"/>
              </w:rPr>
            </w:pPr>
            <w:r>
              <w:rPr>
                <w:rFonts w:asciiTheme="majorHAnsi" w:eastAsia="Times New Roman" w:hAnsiTheme="majorHAnsi" w:cstheme="majorHAnsi"/>
                <w:color w:val="000000"/>
                <w:sz w:val="20"/>
                <w:szCs w:val="20"/>
                <w:lang w:val="ro-MD"/>
              </w:rPr>
              <w:t>Î</w:t>
            </w:r>
            <w:r w:rsidR="00DB70CA" w:rsidRPr="00736448">
              <w:rPr>
                <w:rFonts w:asciiTheme="majorHAnsi" w:eastAsia="Times New Roman" w:hAnsiTheme="majorHAnsi" w:cstheme="majorHAnsi"/>
                <w:color w:val="000000"/>
                <w:sz w:val="20"/>
                <w:szCs w:val="20"/>
                <w:lang w:val="ro-MD"/>
              </w:rPr>
              <w:t xml:space="preserve">n cazul pierderii </w:t>
            </w:r>
            <w:r>
              <w:rPr>
                <w:rFonts w:asciiTheme="majorHAnsi" w:eastAsia="Times New Roman" w:hAnsiTheme="majorHAnsi" w:cstheme="majorHAnsi"/>
                <w:color w:val="000000"/>
                <w:sz w:val="20"/>
                <w:szCs w:val="20"/>
                <w:lang w:val="ro-MD"/>
              </w:rPr>
              <w:t>î</w:t>
            </w:r>
            <w:r w:rsidR="00DB70CA" w:rsidRPr="00736448">
              <w:rPr>
                <w:rFonts w:asciiTheme="majorHAnsi" w:eastAsia="Times New Roman" w:hAnsiTheme="majorHAnsi" w:cstheme="majorHAnsi"/>
                <w:color w:val="000000"/>
                <w:sz w:val="20"/>
                <w:szCs w:val="20"/>
                <w:lang w:val="ro-MD"/>
              </w:rPr>
              <w:t>ntre</w:t>
            </w:r>
            <w:r>
              <w:rPr>
                <w:rFonts w:asciiTheme="majorHAnsi" w:eastAsia="Times New Roman" w:hAnsiTheme="majorHAnsi" w:cstheme="majorHAnsi"/>
                <w:color w:val="000000"/>
                <w:sz w:val="20"/>
                <w:szCs w:val="20"/>
                <w:lang w:val="ro-MD"/>
              </w:rPr>
              <w:t>ț</w:t>
            </w:r>
            <w:r w:rsidR="00DB70CA" w:rsidRPr="00736448">
              <w:rPr>
                <w:rFonts w:asciiTheme="majorHAnsi" w:eastAsia="Times New Roman" w:hAnsiTheme="majorHAnsi" w:cstheme="majorHAnsi"/>
                <w:color w:val="000000"/>
                <w:sz w:val="20"/>
                <w:szCs w:val="20"/>
                <w:lang w:val="ro-MD"/>
              </w:rPr>
              <w:t>in</w:t>
            </w:r>
            <w:r>
              <w:rPr>
                <w:rFonts w:asciiTheme="majorHAnsi" w:eastAsia="Times New Roman" w:hAnsiTheme="majorHAnsi" w:cstheme="majorHAnsi"/>
                <w:color w:val="000000"/>
                <w:sz w:val="20"/>
                <w:szCs w:val="20"/>
                <w:lang w:val="ro-MD"/>
              </w:rPr>
              <w:t>ă</w:t>
            </w:r>
            <w:r w:rsidR="00DB70CA" w:rsidRPr="00736448">
              <w:rPr>
                <w:rFonts w:asciiTheme="majorHAnsi" w:eastAsia="Times New Roman" w:hAnsiTheme="majorHAnsi" w:cstheme="majorHAnsi"/>
                <w:color w:val="000000"/>
                <w:sz w:val="20"/>
                <w:szCs w:val="20"/>
                <w:lang w:val="ro-MD"/>
              </w:rPr>
              <w:t>torului</w:t>
            </w:r>
          </w:p>
        </w:tc>
        <w:tc>
          <w:tcPr>
            <w:tcW w:w="1159" w:type="dxa"/>
            <w:tcBorders>
              <w:top w:val="nil"/>
              <w:left w:val="nil"/>
              <w:bottom w:val="single" w:sz="8" w:space="0" w:color="auto"/>
              <w:right w:val="single" w:sz="8" w:space="0" w:color="auto"/>
            </w:tcBorders>
            <w:shd w:val="clear" w:color="auto" w:fill="auto"/>
            <w:vAlign w:val="bottom"/>
            <w:hideMark/>
          </w:tcPr>
          <w:p w14:paraId="067944D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6211</w:t>
            </w:r>
          </w:p>
        </w:tc>
        <w:tc>
          <w:tcPr>
            <w:tcW w:w="1074" w:type="dxa"/>
            <w:tcBorders>
              <w:top w:val="nil"/>
              <w:left w:val="nil"/>
              <w:bottom w:val="single" w:sz="8" w:space="0" w:color="auto"/>
              <w:right w:val="single" w:sz="8" w:space="0" w:color="auto"/>
            </w:tcBorders>
            <w:shd w:val="clear" w:color="auto" w:fill="auto"/>
            <w:vAlign w:val="bottom"/>
            <w:hideMark/>
          </w:tcPr>
          <w:p w14:paraId="7551DAB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276</w:t>
            </w:r>
          </w:p>
        </w:tc>
        <w:tc>
          <w:tcPr>
            <w:tcW w:w="1074" w:type="dxa"/>
            <w:tcBorders>
              <w:top w:val="nil"/>
              <w:left w:val="nil"/>
              <w:bottom w:val="single" w:sz="8" w:space="0" w:color="auto"/>
              <w:right w:val="single" w:sz="8" w:space="0" w:color="auto"/>
            </w:tcBorders>
            <w:shd w:val="clear" w:color="auto" w:fill="auto"/>
            <w:vAlign w:val="bottom"/>
            <w:hideMark/>
          </w:tcPr>
          <w:p w14:paraId="60419C8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6181</w:t>
            </w:r>
          </w:p>
        </w:tc>
        <w:tc>
          <w:tcPr>
            <w:tcW w:w="1165" w:type="dxa"/>
            <w:tcBorders>
              <w:top w:val="nil"/>
              <w:left w:val="nil"/>
              <w:bottom w:val="single" w:sz="8" w:space="0" w:color="auto"/>
              <w:right w:val="single" w:sz="8" w:space="0" w:color="auto"/>
            </w:tcBorders>
            <w:shd w:val="clear" w:color="auto" w:fill="auto"/>
            <w:vAlign w:val="bottom"/>
            <w:hideMark/>
          </w:tcPr>
          <w:p w14:paraId="501F3B2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278</w:t>
            </w:r>
          </w:p>
        </w:tc>
        <w:tc>
          <w:tcPr>
            <w:tcW w:w="1134" w:type="dxa"/>
            <w:tcBorders>
              <w:top w:val="nil"/>
              <w:left w:val="nil"/>
              <w:bottom w:val="single" w:sz="8" w:space="0" w:color="auto"/>
              <w:right w:val="single" w:sz="8" w:space="0" w:color="auto"/>
            </w:tcBorders>
            <w:shd w:val="clear" w:color="auto" w:fill="auto"/>
            <w:vAlign w:val="bottom"/>
            <w:hideMark/>
          </w:tcPr>
          <w:p w14:paraId="592D9CB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6172</w:t>
            </w:r>
          </w:p>
        </w:tc>
        <w:tc>
          <w:tcPr>
            <w:tcW w:w="1074" w:type="dxa"/>
            <w:tcBorders>
              <w:top w:val="nil"/>
              <w:left w:val="nil"/>
              <w:bottom w:val="nil"/>
              <w:right w:val="nil"/>
            </w:tcBorders>
            <w:shd w:val="clear" w:color="auto" w:fill="auto"/>
            <w:vAlign w:val="bottom"/>
            <w:hideMark/>
          </w:tcPr>
          <w:p w14:paraId="45E1E5E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358</w:t>
            </w:r>
          </w:p>
        </w:tc>
        <w:tc>
          <w:tcPr>
            <w:tcW w:w="1227" w:type="dxa"/>
            <w:gridSpan w:val="2"/>
            <w:tcBorders>
              <w:top w:val="nil"/>
              <w:left w:val="single" w:sz="4" w:space="0" w:color="auto"/>
              <w:bottom w:val="nil"/>
              <w:right w:val="single" w:sz="4" w:space="0" w:color="auto"/>
            </w:tcBorders>
            <w:shd w:val="clear" w:color="auto" w:fill="auto"/>
            <w:noWrap/>
            <w:vAlign w:val="bottom"/>
            <w:hideMark/>
          </w:tcPr>
          <w:p w14:paraId="063CDAE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-39</w:t>
            </w:r>
          </w:p>
        </w:tc>
        <w:tc>
          <w:tcPr>
            <w:tcW w:w="1245" w:type="dxa"/>
            <w:tcBorders>
              <w:top w:val="nil"/>
              <w:left w:val="nil"/>
              <w:bottom w:val="nil"/>
              <w:right w:val="single" w:sz="4" w:space="0" w:color="auto"/>
            </w:tcBorders>
            <w:shd w:val="clear" w:color="auto" w:fill="auto"/>
            <w:noWrap/>
            <w:vAlign w:val="bottom"/>
            <w:hideMark/>
          </w:tcPr>
          <w:p w14:paraId="67A7AF6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99,4%</w:t>
            </w:r>
          </w:p>
        </w:tc>
        <w:tc>
          <w:tcPr>
            <w:tcW w:w="1086" w:type="dxa"/>
            <w:gridSpan w:val="2"/>
            <w:tcBorders>
              <w:top w:val="nil"/>
              <w:left w:val="nil"/>
              <w:bottom w:val="nil"/>
              <w:right w:val="single" w:sz="4" w:space="0" w:color="auto"/>
            </w:tcBorders>
            <w:shd w:val="clear" w:color="auto" w:fill="auto"/>
            <w:noWrap/>
            <w:vAlign w:val="bottom"/>
            <w:hideMark/>
          </w:tcPr>
          <w:p w14:paraId="2701058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82</w:t>
            </w:r>
          </w:p>
        </w:tc>
        <w:tc>
          <w:tcPr>
            <w:tcW w:w="1156" w:type="dxa"/>
            <w:tcBorders>
              <w:top w:val="nil"/>
              <w:left w:val="nil"/>
              <w:bottom w:val="nil"/>
              <w:right w:val="single" w:sz="4" w:space="0" w:color="auto"/>
            </w:tcBorders>
            <w:shd w:val="clear" w:color="auto" w:fill="auto"/>
            <w:noWrap/>
            <w:vAlign w:val="bottom"/>
            <w:hideMark/>
          </w:tcPr>
          <w:p w14:paraId="6D3E7A6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129,7%</w:t>
            </w:r>
          </w:p>
        </w:tc>
      </w:tr>
      <w:tr w:rsidR="00DB70CA" w:rsidRPr="00B7675F" w14:paraId="788ECCFA"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000000" w:fill="C9C9C9"/>
            <w:vAlign w:val="center"/>
            <w:hideMark/>
          </w:tcPr>
          <w:p w14:paraId="00EBB89E"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2435" w:type="dxa"/>
            <w:tcBorders>
              <w:top w:val="nil"/>
              <w:left w:val="nil"/>
              <w:bottom w:val="single" w:sz="8" w:space="0" w:color="auto"/>
              <w:right w:val="single" w:sz="8" w:space="0" w:color="auto"/>
            </w:tcBorders>
            <w:shd w:val="clear" w:color="000000" w:fill="C9C9C9"/>
            <w:vAlign w:val="bottom"/>
            <w:hideMark/>
          </w:tcPr>
          <w:p w14:paraId="6E163AE5" w14:textId="77777777" w:rsidR="00DB70CA" w:rsidRPr="00736448" w:rsidRDefault="00DB70CA" w:rsidP="00490517">
            <w:pPr>
              <w:spacing w:after="0" w:line="240" w:lineRule="auto"/>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 xml:space="preserve">Alocaţii pentru îngrijire, însoțire și supraveghere total,  </w:t>
            </w:r>
            <w:r w:rsidRPr="00736448">
              <w:rPr>
                <w:rFonts w:asciiTheme="majorHAnsi" w:eastAsia="Times New Roman" w:hAnsiTheme="majorHAnsi" w:cstheme="majorHAnsi"/>
                <w:b/>
                <w:bCs/>
                <w:i/>
                <w:iCs/>
                <w:color w:val="000000"/>
                <w:sz w:val="20"/>
                <w:szCs w:val="20"/>
                <w:lang w:val="ro-MD"/>
              </w:rPr>
              <w:t>inclusiv:</w:t>
            </w:r>
          </w:p>
        </w:tc>
        <w:tc>
          <w:tcPr>
            <w:tcW w:w="1159" w:type="dxa"/>
            <w:tcBorders>
              <w:top w:val="nil"/>
              <w:left w:val="nil"/>
              <w:bottom w:val="single" w:sz="8" w:space="0" w:color="auto"/>
              <w:right w:val="single" w:sz="8" w:space="0" w:color="auto"/>
            </w:tcBorders>
            <w:shd w:val="clear" w:color="000000" w:fill="C9C9C9"/>
            <w:vAlign w:val="bottom"/>
            <w:hideMark/>
          </w:tcPr>
          <w:p w14:paraId="65DE578E"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13024</w:t>
            </w:r>
          </w:p>
        </w:tc>
        <w:tc>
          <w:tcPr>
            <w:tcW w:w="1074" w:type="dxa"/>
            <w:tcBorders>
              <w:top w:val="nil"/>
              <w:left w:val="nil"/>
              <w:bottom w:val="single" w:sz="8" w:space="0" w:color="auto"/>
              <w:right w:val="single" w:sz="8" w:space="0" w:color="auto"/>
            </w:tcBorders>
            <w:shd w:val="clear" w:color="000000" w:fill="C9C9C9"/>
            <w:vAlign w:val="bottom"/>
            <w:hideMark/>
          </w:tcPr>
          <w:p w14:paraId="1DD1CB6A"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626</w:t>
            </w:r>
          </w:p>
        </w:tc>
        <w:tc>
          <w:tcPr>
            <w:tcW w:w="1074" w:type="dxa"/>
            <w:tcBorders>
              <w:top w:val="nil"/>
              <w:left w:val="nil"/>
              <w:bottom w:val="single" w:sz="8" w:space="0" w:color="auto"/>
              <w:right w:val="single" w:sz="8" w:space="0" w:color="auto"/>
            </w:tcBorders>
            <w:shd w:val="clear" w:color="000000" w:fill="C9C9C9"/>
            <w:vAlign w:val="bottom"/>
            <w:hideMark/>
          </w:tcPr>
          <w:p w14:paraId="14755968"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13134</w:t>
            </w:r>
          </w:p>
        </w:tc>
        <w:tc>
          <w:tcPr>
            <w:tcW w:w="1165" w:type="dxa"/>
            <w:tcBorders>
              <w:top w:val="nil"/>
              <w:left w:val="nil"/>
              <w:bottom w:val="single" w:sz="8" w:space="0" w:color="auto"/>
              <w:right w:val="single" w:sz="8" w:space="0" w:color="auto"/>
            </w:tcBorders>
            <w:shd w:val="clear" w:color="000000" w:fill="C9C9C9"/>
            <w:vAlign w:val="bottom"/>
            <w:hideMark/>
          </w:tcPr>
          <w:p w14:paraId="74F3B196"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634</w:t>
            </w:r>
          </w:p>
        </w:tc>
        <w:tc>
          <w:tcPr>
            <w:tcW w:w="1134" w:type="dxa"/>
            <w:tcBorders>
              <w:top w:val="nil"/>
              <w:left w:val="nil"/>
              <w:bottom w:val="single" w:sz="8" w:space="0" w:color="auto"/>
              <w:right w:val="single" w:sz="8" w:space="0" w:color="auto"/>
            </w:tcBorders>
            <w:shd w:val="clear" w:color="000000" w:fill="C9C9C9"/>
            <w:vAlign w:val="bottom"/>
            <w:hideMark/>
          </w:tcPr>
          <w:p w14:paraId="43F0BA48"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12672</w:t>
            </w:r>
          </w:p>
        </w:tc>
        <w:tc>
          <w:tcPr>
            <w:tcW w:w="1074" w:type="dxa"/>
            <w:tcBorders>
              <w:top w:val="single" w:sz="8" w:space="0" w:color="auto"/>
              <w:left w:val="nil"/>
              <w:bottom w:val="single" w:sz="8" w:space="0" w:color="auto"/>
              <w:right w:val="nil"/>
            </w:tcBorders>
            <w:shd w:val="clear" w:color="000000" w:fill="D0CECE"/>
            <w:vAlign w:val="bottom"/>
            <w:hideMark/>
          </w:tcPr>
          <w:p w14:paraId="0527407D"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649</w:t>
            </w:r>
          </w:p>
        </w:tc>
        <w:tc>
          <w:tcPr>
            <w:tcW w:w="1227" w:type="dxa"/>
            <w:gridSpan w:val="2"/>
            <w:tcBorders>
              <w:top w:val="single" w:sz="8" w:space="0" w:color="auto"/>
              <w:left w:val="single" w:sz="4" w:space="0" w:color="auto"/>
              <w:bottom w:val="single" w:sz="8" w:space="0" w:color="auto"/>
              <w:right w:val="single" w:sz="4" w:space="0" w:color="auto"/>
            </w:tcBorders>
            <w:shd w:val="clear" w:color="000000" w:fill="D0CECE"/>
            <w:noWrap/>
            <w:vAlign w:val="bottom"/>
            <w:hideMark/>
          </w:tcPr>
          <w:p w14:paraId="4DE1B734"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-352</w:t>
            </w:r>
          </w:p>
        </w:tc>
        <w:tc>
          <w:tcPr>
            <w:tcW w:w="1245" w:type="dxa"/>
            <w:tcBorders>
              <w:top w:val="single" w:sz="8" w:space="0" w:color="auto"/>
              <w:left w:val="nil"/>
              <w:bottom w:val="single" w:sz="8" w:space="0" w:color="auto"/>
              <w:right w:val="single" w:sz="4" w:space="0" w:color="auto"/>
            </w:tcBorders>
            <w:shd w:val="clear" w:color="000000" w:fill="D0CECE"/>
            <w:noWrap/>
            <w:vAlign w:val="bottom"/>
            <w:hideMark/>
          </w:tcPr>
          <w:p w14:paraId="673E1DC8"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97,3%</w:t>
            </w:r>
          </w:p>
        </w:tc>
        <w:tc>
          <w:tcPr>
            <w:tcW w:w="1086" w:type="dxa"/>
            <w:gridSpan w:val="2"/>
            <w:tcBorders>
              <w:top w:val="single" w:sz="8" w:space="0" w:color="auto"/>
              <w:left w:val="nil"/>
              <w:bottom w:val="single" w:sz="8" w:space="0" w:color="auto"/>
              <w:right w:val="single" w:sz="4" w:space="0" w:color="auto"/>
            </w:tcBorders>
            <w:shd w:val="clear" w:color="000000" w:fill="D0CECE"/>
            <w:noWrap/>
            <w:vAlign w:val="bottom"/>
            <w:hideMark/>
          </w:tcPr>
          <w:p w14:paraId="55095DF8"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23</w:t>
            </w:r>
          </w:p>
        </w:tc>
        <w:tc>
          <w:tcPr>
            <w:tcW w:w="1156" w:type="dxa"/>
            <w:tcBorders>
              <w:top w:val="single" w:sz="8" w:space="0" w:color="auto"/>
              <w:left w:val="nil"/>
              <w:bottom w:val="single" w:sz="8" w:space="0" w:color="auto"/>
              <w:right w:val="single" w:sz="8" w:space="0" w:color="auto"/>
            </w:tcBorders>
            <w:shd w:val="clear" w:color="000000" w:fill="D0CECE"/>
            <w:noWrap/>
            <w:vAlign w:val="bottom"/>
            <w:hideMark/>
          </w:tcPr>
          <w:p w14:paraId="6366C48A"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103,7%</w:t>
            </w:r>
          </w:p>
        </w:tc>
      </w:tr>
      <w:tr w:rsidR="00DB70CA" w:rsidRPr="00B7675F" w14:paraId="296C70E4"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195A93C6"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2435" w:type="dxa"/>
            <w:tcBorders>
              <w:top w:val="nil"/>
              <w:left w:val="nil"/>
              <w:bottom w:val="single" w:sz="8" w:space="0" w:color="auto"/>
              <w:right w:val="single" w:sz="8" w:space="0" w:color="auto"/>
            </w:tcBorders>
            <w:shd w:val="clear" w:color="auto" w:fill="auto"/>
            <w:vAlign w:val="bottom"/>
            <w:hideMark/>
          </w:tcPr>
          <w:p w14:paraId="42E3DDA2" w14:textId="4CF285FD"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Alocaţia persoanelor care îngrijesc un copil în v</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rstă de p</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nă la 18 ani cu dizabilităţi severe</w:t>
            </w:r>
          </w:p>
        </w:tc>
        <w:tc>
          <w:tcPr>
            <w:tcW w:w="1159" w:type="dxa"/>
            <w:tcBorders>
              <w:top w:val="nil"/>
              <w:left w:val="nil"/>
              <w:bottom w:val="single" w:sz="8" w:space="0" w:color="auto"/>
              <w:right w:val="single" w:sz="8" w:space="0" w:color="auto"/>
            </w:tcBorders>
            <w:shd w:val="clear" w:color="auto" w:fill="auto"/>
            <w:vAlign w:val="bottom"/>
            <w:hideMark/>
          </w:tcPr>
          <w:p w14:paraId="3ABA6D5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3210</w:t>
            </w:r>
          </w:p>
        </w:tc>
        <w:tc>
          <w:tcPr>
            <w:tcW w:w="1074" w:type="dxa"/>
            <w:tcBorders>
              <w:top w:val="nil"/>
              <w:left w:val="nil"/>
              <w:bottom w:val="single" w:sz="8" w:space="0" w:color="auto"/>
              <w:right w:val="single" w:sz="8" w:space="0" w:color="auto"/>
            </w:tcBorders>
            <w:shd w:val="clear" w:color="auto" w:fill="auto"/>
            <w:vAlign w:val="bottom"/>
            <w:hideMark/>
          </w:tcPr>
          <w:p w14:paraId="1D0256A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w:t>
            </w:r>
          </w:p>
        </w:tc>
        <w:tc>
          <w:tcPr>
            <w:tcW w:w="1074" w:type="dxa"/>
            <w:tcBorders>
              <w:top w:val="nil"/>
              <w:left w:val="nil"/>
              <w:bottom w:val="single" w:sz="8" w:space="0" w:color="auto"/>
              <w:right w:val="single" w:sz="8" w:space="0" w:color="auto"/>
            </w:tcBorders>
            <w:shd w:val="clear" w:color="auto" w:fill="auto"/>
            <w:vAlign w:val="bottom"/>
            <w:hideMark/>
          </w:tcPr>
          <w:p w14:paraId="7DC27A7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3448</w:t>
            </w:r>
          </w:p>
        </w:tc>
        <w:tc>
          <w:tcPr>
            <w:tcW w:w="1165" w:type="dxa"/>
            <w:tcBorders>
              <w:top w:val="nil"/>
              <w:left w:val="nil"/>
              <w:bottom w:val="single" w:sz="8" w:space="0" w:color="auto"/>
              <w:right w:val="single" w:sz="8" w:space="0" w:color="auto"/>
            </w:tcBorders>
            <w:shd w:val="clear" w:color="auto" w:fill="auto"/>
            <w:vAlign w:val="bottom"/>
            <w:hideMark/>
          </w:tcPr>
          <w:p w14:paraId="28E1EDF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w:t>
            </w:r>
          </w:p>
        </w:tc>
        <w:tc>
          <w:tcPr>
            <w:tcW w:w="1134" w:type="dxa"/>
            <w:tcBorders>
              <w:top w:val="nil"/>
              <w:left w:val="nil"/>
              <w:bottom w:val="single" w:sz="8" w:space="0" w:color="auto"/>
              <w:right w:val="single" w:sz="8" w:space="0" w:color="auto"/>
            </w:tcBorders>
            <w:shd w:val="clear" w:color="auto" w:fill="auto"/>
            <w:vAlign w:val="bottom"/>
            <w:hideMark/>
          </w:tcPr>
          <w:p w14:paraId="7E74085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3042</w:t>
            </w:r>
          </w:p>
        </w:tc>
        <w:tc>
          <w:tcPr>
            <w:tcW w:w="1074" w:type="dxa"/>
            <w:tcBorders>
              <w:top w:val="nil"/>
              <w:left w:val="nil"/>
              <w:bottom w:val="single" w:sz="8" w:space="0" w:color="auto"/>
              <w:right w:val="nil"/>
            </w:tcBorders>
            <w:shd w:val="clear" w:color="auto" w:fill="auto"/>
            <w:vAlign w:val="bottom"/>
            <w:hideMark/>
          </w:tcPr>
          <w:p w14:paraId="4471782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501B5BF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-168</w:t>
            </w:r>
          </w:p>
        </w:tc>
        <w:tc>
          <w:tcPr>
            <w:tcW w:w="1245" w:type="dxa"/>
            <w:tcBorders>
              <w:top w:val="nil"/>
              <w:left w:val="nil"/>
              <w:bottom w:val="single" w:sz="4" w:space="0" w:color="auto"/>
              <w:right w:val="single" w:sz="4" w:space="0" w:color="auto"/>
            </w:tcBorders>
            <w:shd w:val="clear" w:color="auto" w:fill="auto"/>
            <w:noWrap/>
            <w:vAlign w:val="bottom"/>
            <w:hideMark/>
          </w:tcPr>
          <w:p w14:paraId="44A4E15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94,8%</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0466683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w:t>
            </w:r>
          </w:p>
        </w:tc>
        <w:tc>
          <w:tcPr>
            <w:tcW w:w="1156" w:type="dxa"/>
            <w:tcBorders>
              <w:top w:val="nil"/>
              <w:left w:val="nil"/>
              <w:bottom w:val="single" w:sz="4" w:space="0" w:color="auto"/>
              <w:right w:val="single" w:sz="4" w:space="0" w:color="auto"/>
            </w:tcBorders>
            <w:shd w:val="clear" w:color="auto" w:fill="auto"/>
            <w:noWrap/>
            <w:vAlign w:val="bottom"/>
            <w:hideMark/>
          </w:tcPr>
          <w:p w14:paraId="67B86E4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180,0%</w:t>
            </w:r>
          </w:p>
        </w:tc>
      </w:tr>
      <w:tr w:rsidR="00DB70CA" w:rsidRPr="00B7675F" w14:paraId="746CD806"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4033AA67"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w:t>
            </w:r>
          </w:p>
        </w:tc>
        <w:tc>
          <w:tcPr>
            <w:tcW w:w="2435" w:type="dxa"/>
            <w:tcBorders>
              <w:top w:val="nil"/>
              <w:left w:val="nil"/>
              <w:bottom w:val="single" w:sz="8" w:space="0" w:color="auto"/>
              <w:right w:val="single" w:sz="8" w:space="0" w:color="auto"/>
            </w:tcBorders>
            <w:shd w:val="clear" w:color="auto" w:fill="auto"/>
            <w:vAlign w:val="bottom"/>
            <w:hideMark/>
          </w:tcPr>
          <w:p w14:paraId="191D0783"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Alocaţia pentru îngrijire persoanelor cu dizabilităţi severe din copilărie</w:t>
            </w:r>
          </w:p>
        </w:tc>
        <w:tc>
          <w:tcPr>
            <w:tcW w:w="1159" w:type="dxa"/>
            <w:tcBorders>
              <w:top w:val="nil"/>
              <w:left w:val="nil"/>
              <w:bottom w:val="single" w:sz="8" w:space="0" w:color="auto"/>
              <w:right w:val="single" w:sz="8" w:space="0" w:color="auto"/>
            </w:tcBorders>
            <w:shd w:val="clear" w:color="auto" w:fill="auto"/>
            <w:vAlign w:val="bottom"/>
            <w:hideMark/>
          </w:tcPr>
          <w:p w14:paraId="09B5FB1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6048</w:t>
            </w:r>
          </w:p>
        </w:tc>
        <w:tc>
          <w:tcPr>
            <w:tcW w:w="1074" w:type="dxa"/>
            <w:tcBorders>
              <w:top w:val="nil"/>
              <w:left w:val="nil"/>
              <w:bottom w:val="single" w:sz="8" w:space="0" w:color="auto"/>
              <w:right w:val="single" w:sz="8" w:space="0" w:color="auto"/>
            </w:tcBorders>
            <w:shd w:val="clear" w:color="auto" w:fill="auto"/>
            <w:vAlign w:val="bottom"/>
            <w:hideMark/>
          </w:tcPr>
          <w:p w14:paraId="256F6F2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346</w:t>
            </w:r>
          </w:p>
        </w:tc>
        <w:tc>
          <w:tcPr>
            <w:tcW w:w="1074" w:type="dxa"/>
            <w:tcBorders>
              <w:top w:val="nil"/>
              <w:left w:val="nil"/>
              <w:bottom w:val="single" w:sz="8" w:space="0" w:color="auto"/>
              <w:right w:val="single" w:sz="8" w:space="0" w:color="auto"/>
            </w:tcBorders>
            <w:shd w:val="clear" w:color="auto" w:fill="auto"/>
            <w:vAlign w:val="bottom"/>
            <w:hideMark/>
          </w:tcPr>
          <w:p w14:paraId="3F0859C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6035</w:t>
            </w:r>
          </w:p>
        </w:tc>
        <w:tc>
          <w:tcPr>
            <w:tcW w:w="1165" w:type="dxa"/>
            <w:tcBorders>
              <w:top w:val="nil"/>
              <w:left w:val="nil"/>
              <w:bottom w:val="single" w:sz="8" w:space="0" w:color="auto"/>
              <w:right w:val="single" w:sz="8" w:space="0" w:color="auto"/>
            </w:tcBorders>
            <w:shd w:val="clear" w:color="auto" w:fill="auto"/>
            <w:vAlign w:val="bottom"/>
            <w:hideMark/>
          </w:tcPr>
          <w:p w14:paraId="3E67FD2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361</w:t>
            </w:r>
          </w:p>
        </w:tc>
        <w:tc>
          <w:tcPr>
            <w:tcW w:w="1134" w:type="dxa"/>
            <w:tcBorders>
              <w:top w:val="nil"/>
              <w:left w:val="nil"/>
              <w:bottom w:val="single" w:sz="8" w:space="0" w:color="auto"/>
              <w:right w:val="single" w:sz="8" w:space="0" w:color="auto"/>
            </w:tcBorders>
            <w:shd w:val="clear" w:color="auto" w:fill="auto"/>
            <w:vAlign w:val="bottom"/>
            <w:hideMark/>
          </w:tcPr>
          <w:p w14:paraId="3666C7C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6021</w:t>
            </w:r>
          </w:p>
        </w:tc>
        <w:tc>
          <w:tcPr>
            <w:tcW w:w="1074" w:type="dxa"/>
            <w:tcBorders>
              <w:top w:val="nil"/>
              <w:left w:val="nil"/>
              <w:bottom w:val="single" w:sz="8" w:space="0" w:color="auto"/>
              <w:right w:val="nil"/>
            </w:tcBorders>
            <w:shd w:val="clear" w:color="auto" w:fill="auto"/>
            <w:vAlign w:val="bottom"/>
            <w:hideMark/>
          </w:tcPr>
          <w:p w14:paraId="200B39F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368</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69BBB1A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w:t>
            </w:r>
          </w:p>
        </w:tc>
        <w:tc>
          <w:tcPr>
            <w:tcW w:w="1245" w:type="dxa"/>
            <w:tcBorders>
              <w:top w:val="nil"/>
              <w:left w:val="nil"/>
              <w:bottom w:val="single" w:sz="4" w:space="0" w:color="auto"/>
              <w:right w:val="single" w:sz="4" w:space="0" w:color="auto"/>
            </w:tcBorders>
            <w:shd w:val="clear" w:color="auto" w:fill="auto"/>
            <w:noWrap/>
            <w:vAlign w:val="bottom"/>
            <w:hideMark/>
          </w:tcPr>
          <w:p w14:paraId="609BA70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99,6%</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4E64142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22</w:t>
            </w:r>
          </w:p>
        </w:tc>
        <w:tc>
          <w:tcPr>
            <w:tcW w:w="1156" w:type="dxa"/>
            <w:tcBorders>
              <w:top w:val="nil"/>
              <w:left w:val="nil"/>
              <w:bottom w:val="single" w:sz="4" w:space="0" w:color="auto"/>
              <w:right w:val="single" w:sz="4" w:space="0" w:color="auto"/>
            </w:tcBorders>
            <w:shd w:val="clear" w:color="auto" w:fill="auto"/>
            <w:noWrap/>
            <w:vAlign w:val="bottom"/>
            <w:hideMark/>
          </w:tcPr>
          <w:p w14:paraId="70652C9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106,4%</w:t>
            </w:r>
          </w:p>
        </w:tc>
      </w:tr>
      <w:tr w:rsidR="00DB70CA" w:rsidRPr="00B7675F" w14:paraId="1DCC5D96"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0EA8547F"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2435" w:type="dxa"/>
            <w:tcBorders>
              <w:top w:val="nil"/>
              <w:left w:val="nil"/>
              <w:bottom w:val="single" w:sz="8" w:space="0" w:color="auto"/>
              <w:right w:val="single" w:sz="8" w:space="0" w:color="auto"/>
            </w:tcBorders>
            <w:shd w:val="clear" w:color="auto" w:fill="auto"/>
            <w:vAlign w:val="bottom"/>
            <w:hideMark/>
          </w:tcPr>
          <w:p w14:paraId="6ABE386B" w14:textId="39C2BD6B"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Alocaţia pentru persoanele cu dizabilităţi severe, ţintuiţi la pat din r</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ndul participanţilor la lichidarea avariei de la Cernob</w:t>
            </w:r>
            <w:r w:rsidR="002D2A2D">
              <w:rPr>
                <w:rFonts w:asciiTheme="majorHAnsi" w:eastAsia="Times New Roman" w:hAnsiTheme="majorHAnsi" w:cstheme="majorHAnsi"/>
                <w:color w:val="000000"/>
                <w:sz w:val="20"/>
                <w:szCs w:val="20"/>
                <w:lang w:val="ro-MD"/>
              </w:rPr>
              <w:t>â</w:t>
            </w:r>
            <w:r w:rsidRPr="00736448">
              <w:rPr>
                <w:rFonts w:asciiTheme="majorHAnsi" w:eastAsia="Times New Roman" w:hAnsiTheme="majorHAnsi" w:cstheme="majorHAnsi"/>
                <w:color w:val="000000"/>
                <w:sz w:val="20"/>
                <w:szCs w:val="20"/>
                <w:lang w:val="ro-MD"/>
              </w:rPr>
              <w:t>l</w:t>
            </w:r>
          </w:p>
        </w:tc>
        <w:tc>
          <w:tcPr>
            <w:tcW w:w="1159" w:type="dxa"/>
            <w:tcBorders>
              <w:top w:val="nil"/>
              <w:left w:val="nil"/>
              <w:bottom w:val="single" w:sz="8" w:space="0" w:color="auto"/>
              <w:right w:val="single" w:sz="8" w:space="0" w:color="auto"/>
            </w:tcBorders>
            <w:shd w:val="clear" w:color="auto" w:fill="auto"/>
            <w:vAlign w:val="bottom"/>
            <w:hideMark/>
          </w:tcPr>
          <w:p w14:paraId="1E87482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w:t>
            </w:r>
          </w:p>
        </w:tc>
        <w:tc>
          <w:tcPr>
            <w:tcW w:w="1074" w:type="dxa"/>
            <w:tcBorders>
              <w:top w:val="nil"/>
              <w:left w:val="nil"/>
              <w:bottom w:val="single" w:sz="8" w:space="0" w:color="auto"/>
              <w:right w:val="single" w:sz="8" w:space="0" w:color="auto"/>
            </w:tcBorders>
            <w:shd w:val="clear" w:color="auto" w:fill="auto"/>
            <w:vAlign w:val="bottom"/>
            <w:hideMark/>
          </w:tcPr>
          <w:p w14:paraId="46E6B2A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1074" w:type="dxa"/>
            <w:tcBorders>
              <w:top w:val="nil"/>
              <w:left w:val="nil"/>
              <w:bottom w:val="single" w:sz="8" w:space="0" w:color="auto"/>
              <w:right w:val="single" w:sz="8" w:space="0" w:color="auto"/>
            </w:tcBorders>
            <w:shd w:val="clear" w:color="auto" w:fill="auto"/>
            <w:vAlign w:val="bottom"/>
            <w:hideMark/>
          </w:tcPr>
          <w:p w14:paraId="1B600E3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w:t>
            </w:r>
          </w:p>
        </w:tc>
        <w:tc>
          <w:tcPr>
            <w:tcW w:w="1165" w:type="dxa"/>
            <w:tcBorders>
              <w:top w:val="nil"/>
              <w:left w:val="nil"/>
              <w:bottom w:val="single" w:sz="8" w:space="0" w:color="auto"/>
              <w:right w:val="single" w:sz="8" w:space="0" w:color="auto"/>
            </w:tcBorders>
            <w:shd w:val="clear" w:color="auto" w:fill="auto"/>
            <w:vAlign w:val="bottom"/>
            <w:hideMark/>
          </w:tcPr>
          <w:p w14:paraId="4F0DA57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134" w:type="dxa"/>
            <w:tcBorders>
              <w:top w:val="nil"/>
              <w:left w:val="nil"/>
              <w:bottom w:val="single" w:sz="8" w:space="0" w:color="auto"/>
              <w:right w:val="single" w:sz="8" w:space="0" w:color="auto"/>
            </w:tcBorders>
            <w:shd w:val="clear" w:color="auto" w:fill="auto"/>
            <w:vAlign w:val="bottom"/>
            <w:hideMark/>
          </w:tcPr>
          <w:p w14:paraId="59910E5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w:t>
            </w:r>
          </w:p>
        </w:tc>
        <w:tc>
          <w:tcPr>
            <w:tcW w:w="1074" w:type="dxa"/>
            <w:tcBorders>
              <w:top w:val="nil"/>
              <w:left w:val="nil"/>
              <w:bottom w:val="single" w:sz="8" w:space="0" w:color="auto"/>
              <w:right w:val="nil"/>
            </w:tcBorders>
            <w:shd w:val="clear" w:color="auto" w:fill="auto"/>
            <w:vAlign w:val="bottom"/>
            <w:hideMark/>
          </w:tcPr>
          <w:p w14:paraId="2CDFBFC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ECBFFA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w:t>
            </w:r>
          </w:p>
        </w:tc>
        <w:tc>
          <w:tcPr>
            <w:tcW w:w="1245" w:type="dxa"/>
            <w:tcBorders>
              <w:top w:val="nil"/>
              <w:left w:val="nil"/>
              <w:bottom w:val="single" w:sz="4" w:space="0" w:color="auto"/>
              <w:right w:val="single" w:sz="4" w:space="0" w:color="auto"/>
            </w:tcBorders>
            <w:shd w:val="clear" w:color="auto" w:fill="auto"/>
            <w:noWrap/>
            <w:vAlign w:val="bottom"/>
            <w:hideMark/>
          </w:tcPr>
          <w:p w14:paraId="131C119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80,0%</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36DAEEB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1156" w:type="dxa"/>
            <w:tcBorders>
              <w:top w:val="nil"/>
              <w:left w:val="nil"/>
              <w:bottom w:val="single" w:sz="4" w:space="0" w:color="auto"/>
              <w:right w:val="single" w:sz="4" w:space="0" w:color="auto"/>
            </w:tcBorders>
            <w:shd w:val="clear" w:color="auto" w:fill="auto"/>
            <w:noWrap/>
            <w:vAlign w:val="bottom"/>
            <w:hideMark/>
          </w:tcPr>
          <w:p w14:paraId="080408A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0,0%</w:t>
            </w:r>
          </w:p>
        </w:tc>
      </w:tr>
      <w:tr w:rsidR="00DB70CA" w:rsidRPr="00B7675F" w14:paraId="7E93F3FB"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442F0D72"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w:t>
            </w:r>
          </w:p>
        </w:tc>
        <w:tc>
          <w:tcPr>
            <w:tcW w:w="2435" w:type="dxa"/>
            <w:tcBorders>
              <w:top w:val="nil"/>
              <w:left w:val="nil"/>
              <w:bottom w:val="single" w:sz="8" w:space="0" w:color="auto"/>
              <w:right w:val="single" w:sz="8" w:space="0" w:color="auto"/>
            </w:tcBorders>
            <w:shd w:val="clear" w:color="auto" w:fill="auto"/>
            <w:vAlign w:val="bottom"/>
            <w:hideMark/>
          </w:tcPr>
          <w:p w14:paraId="5C23B2F7"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Alocaţia pentru persoanele cu dizabilităţi severe nevăzătoare</w:t>
            </w:r>
          </w:p>
        </w:tc>
        <w:tc>
          <w:tcPr>
            <w:tcW w:w="1159" w:type="dxa"/>
            <w:tcBorders>
              <w:top w:val="nil"/>
              <w:left w:val="nil"/>
              <w:bottom w:val="single" w:sz="8" w:space="0" w:color="auto"/>
              <w:right w:val="single" w:sz="8" w:space="0" w:color="auto"/>
            </w:tcBorders>
            <w:shd w:val="clear" w:color="auto" w:fill="auto"/>
            <w:vAlign w:val="bottom"/>
            <w:hideMark/>
          </w:tcPr>
          <w:p w14:paraId="6095A4C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3751</w:t>
            </w:r>
          </w:p>
        </w:tc>
        <w:tc>
          <w:tcPr>
            <w:tcW w:w="1074" w:type="dxa"/>
            <w:tcBorders>
              <w:top w:val="nil"/>
              <w:left w:val="nil"/>
              <w:bottom w:val="single" w:sz="8" w:space="0" w:color="auto"/>
              <w:right w:val="single" w:sz="8" w:space="0" w:color="auto"/>
            </w:tcBorders>
            <w:shd w:val="clear" w:color="auto" w:fill="auto"/>
            <w:vAlign w:val="bottom"/>
            <w:hideMark/>
          </w:tcPr>
          <w:p w14:paraId="67DFCB4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274</w:t>
            </w:r>
          </w:p>
        </w:tc>
        <w:tc>
          <w:tcPr>
            <w:tcW w:w="1074" w:type="dxa"/>
            <w:tcBorders>
              <w:top w:val="nil"/>
              <w:left w:val="nil"/>
              <w:bottom w:val="single" w:sz="8" w:space="0" w:color="auto"/>
              <w:right w:val="single" w:sz="8" w:space="0" w:color="auto"/>
            </w:tcBorders>
            <w:shd w:val="clear" w:color="auto" w:fill="auto"/>
            <w:vAlign w:val="bottom"/>
            <w:hideMark/>
          </w:tcPr>
          <w:p w14:paraId="0F8619D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3636</w:t>
            </w:r>
          </w:p>
        </w:tc>
        <w:tc>
          <w:tcPr>
            <w:tcW w:w="1165" w:type="dxa"/>
            <w:tcBorders>
              <w:top w:val="nil"/>
              <w:left w:val="nil"/>
              <w:bottom w:val="single" w:sz="8" w:space="0" w:color="auto"/>
              <w:right w:val="single" w:sz="8" w:space="0" w:color="auto"/>
            </w:tcBorders>
            <w:shd w:val="clear" w:color="auto" w:fill="auto"/>
            <w:vAlign w:val="bottom"/>
            <w:hideMark/>
          </w:tcPr>
          <w:p w14:paraId="269B208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265</w:t>
            </w:r>
          </w:p>
        </w:tc>
        <w:tc>
          <w:tcPr>
            <w:tcW w:w="1134" w:type="dxa"/>
            <w:tcBorders>
              <w:top w:val="nil"/>
              <w:left w:val="nil"/>
              <w:bottom w:val="single" w:sz="8" w:space="0" w:color="auto"/>
              <w:right w:val="single" w:sz="8" w:space="0" w:color="auto"/>
            </w:tcBorders>
            <w:shd w:val="clear" w:color="auto" w:fill="auto"/>
            <w:vAlign w:val="bottom"/>
            <w:hideMark/>
          </w:tcPr>
          <w:p w14:paraId="283BD4C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3597</w:t>
            </w:r>
          </w:p>
        </w:tc>
        <w:tc>
          <w:tcPr>
            <w:tcW w:w="1074" w:type="dxa"/>
            <w:tcBorders>
              <w:top w:val="nil"/>
              <w:left w:val="nil"/>
              <w:bottom w:val="nil"/>
              <w:right w:val="nil"/>
            </w:tcBorders>
            <w:shd w:val="clear" w:color="auto" w:fill="auto"/>
            <w:vAlign w:val="bottom"/>
            <w:hideMark/>
          </w:tcPr>
          <w:p w14:paraId="1A5F9CA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272</w:t>
            </w:r>
          </w:p>
        </w:tc>
        <w:tc>
          <w:tcPr>
            <w:tcW w:w="1227" w:type="dxa"/>
            <w:gridSpan w:val="2"/>
            <w:tcBorders>
              <w:top w:val="nil"/>
              <w:left w:val="single" w:sz="4" w:space="0" w:color="auto"/>
              <w:bottom w:val="nil"/>
              <w:right w:val="single" w:sz="4" w:space="0" w:color="auto"/>
            </w:tcBorders>
            <w:shd w:val="clear" w:color="auto" w:fill="auto"/>
            <w:noWrap/>
            <w:vAlign w:val="bottom"/>
            <w:hideMark/>
          </w:tcPr>
          <w:p w14:paraId="610AA1B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-154</w:t>
            </w:r>
          </w:p>
        </w:tc>
        <w:tc>
          <w:tcPr>
            <w:tcW w:w="1245" w:type="dxa"/>
            <w:tcBorders>
              <w:top w:val="nil"/>
              <w:left w:val="nil"/>
              <w:bottom w:val="nil"/>
              <w:right w:val="single" w:sz="4" w:space="0" w:color="auto"/>
            </w:tcBorders>
            <w:shd w:val="clear" w:color="auto" w:fill="auto"/>
            <w:noWrap/>
            <w:vAlign w:val="bottom"/>
            <w:hideMark/>
          </w:tcPr>
          <w:p w14:paraId="6FEBCA6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95,9%</w:t>
            </w:r>
          </w:p>
        </w:tc>
        <w:tc>
          <w:tcPr>
            <w:tcW w:w="1086" w:type="dxa"/>
            <w:gridSpan w:val="2"/>
            <w:tcBorders>
              <w:top w:val="nil"/>
              <w:left w:val="nil"/>
              <w:bottom w:val="nil"/>
              <w:right w:val="single" w:sz="4" w:space="0" w:color="auto"/>
            </w:tcBorders>
            <w:shd w:val="clear" w:color="auto" w:fill="auto"/>
            <w:noWrap/>
            <w:vAlign w:val="bottom"/>
            <w:hideMark/>
          </w:tcPr>
          <w:p w14:paraId="43C04C6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w:t>
            </w:r>
          </w:p>
        </w:tc>
        <w:tc>
          <w:tcPr>
            <w:tcW w:w="1156" w:type="dxa"/>
            <w:tcBorders>
              <w:top w:val="nil"/>
              <w:left w:val="nil"/>
              <w:bottom w:val="nil"/>
              <w:right w:val="single" w:sz="4" w:space="0" w:color="auto"/>
            </w:tcBorders>
            <w:shd w:val="clear" w:color="auto" w:fill="auto"/>
            <w:noWrap/>
            <w:vAlign w:val="bottom"/>
            <w:hideMark/>
          </w:tcPr>
          <w:p w14:paraId="433FB87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99,3%</w:t>
            </w:r>
          </w:p>
        </w:tc>
      </w:tr>
      <w:tr w:rsidR="00DB70CA" w:rsidRPr="00B7675F" w14:paraId="7647C938"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000000" w:fill="C9C9C9"/>
            <w:vAlign w:val="center"/>
            <w:hideMark/>
          </w:tcPr>
          <w:p w14:paraId="0D03ED15" w14:textId="77777777" w:rsidR="00DB70CA" w:rsidRPr="00736448" w:rsidRDefault="00DB70CA" w:rsidP="00490517">
            <w:pPr>
              <w:spacing w:after="0" w:line="240" w:lineRule="auto"/>
              <w:jc w:val="center"/>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 </w:t>
            </w:r>
          </w:p>
        </w:tc>
        <w:tc>
          <w:tcPr>
            <w:tcW w:w="2435" w:type="dxa"/>
            <w:tcBorders>
              <w:top w:val="nil"/>
              <w:left w:val="nil"/>
              <w:bottom w:val="single" w:sz="8" w:space="0" w:color="auto"/>
              <w:right w:val="single" w:sz="8" w:space="0" w:color="auto"/>
            </w:tcBorders>
            <w:shd w:val="clear" w:color="000000" w:fill="C9C9C9"/>
            <w:vAlign w:val="bottom"/>
            <w:hideMark/>
          </w:tcPr>
          <w:p w14:paraId="6AAAECB5" w14:textId="77777777" w:rsidR="00DB70CA" w:rsidRPr="00736448" w:rsidRDefault="00DB70CA" w:rsidP="00490517">
            <w:pPr>
              <w:spacing w:after="0" w:line="240" w:lineRule="auto"/>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 xml:space="preserve">Indemnizaţii total, </w:t>
            </w:r>
            <w:r w:rsidRPr="00736448">
              <w:rPr>
                <w:rFonts w:asciiTheme="majorHAnsi" w:eastAsia="Times New Roman" w:hAnsiTheme="majorHAnsi" w:cstheme="majorHAnsi"/>
                <w:b/>
                <w:bCs/>
                <w:i/>
                <w:iCs/>
                <w:color w:val="000000"/>
                <w:sz w:val="20"/>
                <w:szCs w:val="20"/>
                <w:lang w:val="ro-MD"/>
              </w:rPr>
              <w:t>acordate în conformitate cu:</w:t>
            </w:r>
          </w:p>
        </w:tc>
        <w:tc>
          <w:tcPr>
            <w:tcW w:w="1159" w:type="dxa"/>
            <w:tcBorders>
              <w:top w:val="nil"/>
              <w:left w:val="nil"/>
              <w:bottom w:val="single" w:sz="8" w:space="0" w:color="auto"/>
              <w:right w:val="single" w:sz="8" w:space="0" w:color="auto"/>
            </w:tcBorders>
            <w:shd w:val="clear" w:color="000000" w:fill="C9C9C9"/>
            <w:vAlign w:val="bottom"/>
            <w:hideMark/>
          </w:tcPr>
          <w:p w14:paraId="3A47D0CB"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808</w:t>
            </w:r>
          </w:p>
        </w:tc>
        <w:tc>
          <w:tcPr>
            <w:tcW w:w="1074" w:type="dxa"/>
            <w:tcBorders>
              <w:top w:val="nil"/>
              <w:left w:val="nil"/>
              <w:bottom w:val="single" w:sz="8" w:space="0" w:color="auto"/>
              <w:right w:val="single" w:sz="8" w:space="0" w:color="auto"/>
            </w:tcBorders>
            <w:shd w:val="clear" w:color="000000" w:fill="C9C9C9"/>
            <w:vAlign w:val="bottom"/>
            <w:hideMark/>
          </w:tcPr>
          <w:p w14:paraId="7021CAF1"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249</w:t>
            </w:r>
          </w:p>
        </w:tc>
        <w:tc>
          <w:tcPr>
            <w:tcW w:w="1074" w:type="dxa"/>
            <w:tcBorders>
              <w:top w:val="nil"/>
              <w:left w:val="nil"/>
              <w:bottom w:val="single" w:sz="8" w:space="0" w:color="auto"/>
              <w:right w:val="single" w:sz="8" w:space="0" w:color="auto"/>
            </w:tcBorders>
            <w:shd w:val="clear" w:color="000000" w:fill="C9C9C9"/>
            <w:vAlign w:val="bottom"/>
            <w:hideMark/>
          </w:tcPr>
          <w:p w14:paraId="5B737F87"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1482</w:t>
            </w:r>
          </w:p>
        </w:tc>
        <w:tc>
          <w:tcPr>
            <w:tcW w:w="1165" w:type="dxa"/>
            <w:tcBorders>
              <w:top w:val="nil"/>
              <w:left w:val="nil"/>
              <w:bottom w:val="single" w:sz="8" w:space="0" w:color="auto"/>
              <w:right w:val="single" w:sz="8" w:space="0" w:color="auto"/>
            </w:tcBorders>
            <w:shd w:val="clear" w:color="000000" w:fill="C9C9C9"/>
            <w:vAlign w:val="bottom"/>
            <w:hideMark/>
          </w:tcPr>
          <w:p w14:paraId="78F0412C"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451</w:t>
            </w:r>
          </w:p>
        </w:tc>
        <w:tc>
          <w:tcPr>
            <w:tcW w:w="1134" w:type="dxa"/>
            <w:tcBorders>
              <w:top w:val="nil"/>
              <w:left w:val="nil"/>
              <w:bottom w:val="single" w:sz="8" w:space="0" w:color="auto"/>
              <w:right w:val="single" w:sz="8" w:space="0" w:color="auto"/>
            </w:tcBorders>
            <w:shd w:val="clear" w:color="000000" w:fill="C9C9C9"/>
            <w:vAlign w:val="bottom"/>
            <w:hideMark/>
          </w:tcPr>
          <w:p w14:paraId="34011ABD" w14:textId="77777777" w:rsidR="00DB70CA" w:rsidRPr="00736448" w:rsidRDefault="00DB70CA" w:rsidP="00490517">
            <w:pPr>
              <w:spacing w:after="0" w:line="240" w:lineRule="auto"/>
              <w:jc w:val="right"/>
              <w:rPr>
                <w:rFonts w:asciiTheme="majorHAnsi" w:eastAsia="Times New Roman" w:hAnsiTheme="majorHAnsi" w:cstheme="majorHAnsi"/>
                <w:b/>
                <w:bCs/>
                <w:color w:val="000000"/>
                <w:sz w:val="20"/>
                <w:szCs w:val="20"/>
                <w:lang w:val="ro-MD"/>
              </w:rPr>
            </w:pPr>
            <w:r w:rsidRPr="00736448">
              <w:rPr>
                <w:rFonts w:asciiTheme="majorHAnsi" w:eastAsia="Times New Roman" w:hAnsiTheme="majorHAnsi" w:cstheme="majorHAnsi"/>
                <w:b/>
                <w:bCs/>
                <w:color w:val="000000"/>
                <w:sz w:val="20"/>
                <w:szCs w:val="20"/>
                <w:lang w:val="ro-MD"/>
              </w:rPr>
              <w:t>1922</w:t>
            </w:r>
          </w:p>
        </w:tc>
        <w:tc>
          <w:tcPr>
            <w:tcW w:w="1074" w:type="dxa"/>
            <w:tcBorders>
              <w:top w:val="single" w:sz="8" w:space="0" w:color="auto"/>
              <w:left w:val="nil"/>
              <w:bottom w:val="single" w:sz="8" w:space="0" w:color="auto"/>
              <w:right w:val="nil"/>
            </w:tcBorders>
            <w:shd w:val="clear" w:color="000000" w:fill="D0CECE"/>
            <w:vAlign w:val="bottom"/>
            <w:hideMark/>
          </w:tcPr>
          <w:p w14:paraId="296B91E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502</w:t>
            </w:r>
          </w:p>
        </w:tc>
        <w:tc>
          <w:tcPr>
            <w:tcW w:w="1227" w:type="dxa"/>
            <w:gridSpan w:val="2"/>
            <w:tcBorders>
              <w:top w:val="single" w:sz="8" w:space="0" w:color="auto"/>
              <w:left w:val="single" w:sz="4" w:space="0" w:color="auto"/>
              <w:bottom w:val="single" w:sz="8" w:space="0" w:color="auto"/>
              <w:right w:val="single" w:sz="4" w:space="0" w:color="auto"/>
            </w:tcBorders>
            <w:shd w:val="clear" w:color="000000" w:fill="D0CECE"/>
            <w:noWrap/>
            <w:vAlign w:val="bottom"/>
            <w:hideMark/>
          </w:tcPr>
          <w:p w14:paraId="1EC97BE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1114</w:t>
            </w:r>
          </w:p>
        </w:tc>
        <w:tc>
          <w:tcPr>
            <w:tcW w:w="1245" w:type="dxa"/>
            <w:tcBorders>
              <w:top w:val="single" w:sz="8" w:space="0" w:color="auto"/>
              <w:left w:val="nil"/>
              <w:bottom w:val="single" w:sz="8" w:space="0" w:color="auto"/>
              <w:right w:val="single" w:sz="4" w:space="0" w:color="auto"/>
            </w:tcBorders>
            <w:shd w:val="clear" w:color="000000" w:fill="D0CECE"/>
            <w:noWrap/>
            <w:vAlign w:val="bottom"/>
            <w:hideMark/>
          </w:tcPr>
          <w:p w14:paraId="32A301B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237,9%</w:t>
            </w:r>
          </w:p>
        </w:tc>
        <w:tc>
          <w:tcPr>
            <w:tcW w:w="1086" w:type="dxa"/>
            <w:gridSpan w:val="2"/>
            <w:tcBorders>
              <w:top w:val="single" w:sz="8" w:space="0" w:color="auto"/>
              <w:left w:val="nil"/>
              <w:bottom w:val="single" w:sz="8" w:space="0" w:color="auto"/>
              <w:right w:val="single" w:sz="4" w:space="0" w:color="auto"/>
            </w:tcBorders>
            <w:shd w:val="clear" w:color="000000" w:fill="D0CECE"/>
            <w:noWrap/>
            <w:vAlign w:val="bottom"/>
            <w:hideMark/>
          </w:tcPr>
          <w:p w14:paraId="3286B20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253</w:t>
            </w:r>
          </w:p>
        </w:tc>
        <w:tc>
          <w:tcPr>
            <w:tcW w:w="1156" w:type="dxa"/>
            <w:tcBorders>
              <w:top w:val="single" w:sz="8" w:space="0" w:color="auto"/>
              <w:left w:val="nil"/>
              <w:bottom w:val="single" w:sz="8" w:space="0" w:color="auto"/>
              <w:right w:val="single" w:sz="8" w:space="0" w:color="auto"/>
            </w:tcBorders>
            <w:shd w:val="clear" w:color="000000" w:fill="D0CECE"/>
            <w:noWrap/>
            <w:vAlign w:val="bottom"/>
            <w:hideMark/>
          </w:tcPr>
          <w:p w14:paraId="7468DF3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201,6%</w:t>
            </w:r>
          </w:p>
        </w:tc>
      </w:tr>
      <w:tr w:rsidR="00DB70CA" w:rsidRPr="00B7675F" w14:paraId="01BC89D5" w14:textId="77777777" w:rsidTr="00490517">
        <w:trPr>
          <w:gridAfter w:val="1"/>
          <w:wAfter w:w="6" w:type="dxa"/>
          <w:trHeight w:val="20"/>
        </w:trPr>
        <w:tc>
          <w:tcPr>
            <w:tcW w:w="510" w:type="dxa"/>
            <w:tcBorders>
              <w:top w:val="nil"/>
              <w:left w:val="single" w:sz="8" w:space="0" w:color="auto"/>
              <w:bottom w:val="single" w:sz="8" w:space="0" w:color="auto"/>
              <w:right w:val="single" w:sz="8" w:space="0" w:color="auto"/>
            </w:tcBorders>
            <w:shd w:val="clear" w:color="auto" w:fill="auto"/>
            <w:vAlign w:val="center"/>
            <w:hideMark/>
          </w:tcPr>
          <w:p w14:paraId="3AFF68F3"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w:t>
            </w:r>
          </w:p>
        </w:tc>
        <w:tc>
          <w:tcPr>
            <w:tcW w:w="2435" w:type="dxa"/>
            <w:tcBorders>
              <w:top w:val="nil"/>
              <w:left w:val="nil"/>
              <w:bottom w:val="single" w:sz="8" w:space="0" w:color="auto"/>
              <w:right w:val="single" w:sz="8" w:space="0" w:color="auto"/>
            </w:tcBorders>
            <w:shd w:val="clear" w:color="auto" w:fill="auto"/>
            <w:vAlign w:val="bottom"/>
            <w:hideMark/>
          </w:tcPr>
          <w:p w14:paraId="7369F2A3" w14:textId="7EE98E41"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xml:space="preserve">Legea </w:t>
            </w:r>
            <w:r w:rsidR="002D2A2D">
              <w:rPr>
                <w:rFonts w:asciiTheme="majorHAnsi" w:eastAsia="Times New Roman" w:hAnsiTheme="majorHAnsi" w:cstheme="majorHAnsi"/>
                <w:color w:val="000000"/>
                <w:sz w:val="20"/>
                <w:szCs w:val="20"/>
                <w:lang w:val="ro-MD"/>
              </w:rPr>
              <w:t>nr.</w:t>
            </w:r>
            <w:r w:rsidRPr="00736448">
              <w:rPr>
                <w:rFonts w:asciiTheme="majorHAnsi" w:eastAsia="Times New Roman" w:hAnsiTheme="majorHAnsi" w:cstheme="majorHAnsi"/>
                <w:color w:val="000000"/>
                <w:sz w:val="20"/>
                <w:szCs w:val="20"/>
                <w:lang w:val="ro-MD"/>
              </w:rPr>
              <w:t>156/2019, Indemnizaţie în cazul decesului unuia dintre soţi</w:t>
            </w:r>
          </w:p>
        </w:tc>
        <w:tc>
          <w:tcPr>
            <w:tcW w:w="1159" w:type="dxa"/>
            <w:tcBorders>
              <w:top w:val="nil"/>
              <w:left w:val="nil"/>
              <w:bottom w:val="single" w:sz="8" w:space="0" w:color="auto"/>
              <w:right w:val="single" w:sz="8" w:space="0" w:color="auto"/>
            </w:tcBorders>
            <w:shd w:val="clear" w:color="auto" w:fill="auto"/>
            <w:vAlign w:val="bottom"/>
            <w:hideMark/>
          </w:tcPr>
          <w:p w14:paraId="428E588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775</w:t>
            </w:r>
          </w:p>
        </w:tc>
        <w:tc>
          <w:tcPr>
            <w:tcW w:w="1074" w:type="dxa"/>
            <w:tcBorders>
              <w:top w:val="nil"/>
              <w:left w:val="nil"/>
              <w:bottom w:val="single" w:sz="8" w:space="0" w:color="auto"/>
              <w:right w:val="single" w:sz="8" w:space="0" w:color="auto"/>
            </w:tcBorders>
            <w:shd w:val="clear" w:color="auto" w:fill="auto"/>
            <w:vAlign w:val="bottom"/>
            <w:hideMark/>
          </w:tcPr>
          <w:p w14:paraId="69E793C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229</w:t>
            </w:r>
          </w:p>
        </w:tc>
        <w:tc>
          <w:tcPr>
            <w:tcW w:w="1074" w:type="dxa"/>
            <w:tcBorders>
              <w:top w:val="nil"/>
              <w:left w:val="nil"/>
              <w:bottom w:val="single" w:sz="8" w:space="0" w:color="auto"/>
              <w:right w:val="single" w:sz="8" w:space="0" w:color="auto"/>
            </w:tcBorders>
            <w:shd w:val="clear" w:color="auto" w:fill="auto"/>
            <w:vAlign w:val="bottom"/>
            <w:hideMark/>
          </w:tcPr>
          <w:p w14:paraId="741C22F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1413</w:t>
            </w:r>
          </w:p>
        </w:tc>
        <w:tc>
          <w:tcPr>
            <w:tcW w:w="1165" w:type="dxa"/>
            <w:tcBorders>
              <w:top w:val="nil"/>
              <w:left w:val="nil"/>
              <w:bottom w:val="single" w:sz="8" w:space="0" w:color="auto"/>
              <w:right w:val="single" w:sz="8" w:space="0" w:color="auto"/>
            </w:tcBorders>
            <w:shd w:val="clear" w:color="auto" w:fill="auto"/>
            <w:vAlign w:val="bottom"/>
            <w:hideMark/>
          </w:tcPr>
          <w:p w14:paraId="76770F8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413</w:t>
            </w:r>
          </w:p>
        </w:tc>
        <w:tc>
          <w:tcPr>
            <w:tcW w:w="1134" w:type="dxa"/>
            <w:tcBorders>
              <w:top w:val="nil"/>
              <w:left w:val="nil"/>
              <w:bottom w:val="single" w:sz="8" w:space="0" w:color="auto"/>
              <w:right w:val="single" w:sz="8" w:space="0" w:color="auto"/>
            </w:tcBorders>
            <w:shd w:val="clear" w:color="auto" w:fill="auto"/>
            <w:vAlign w:val="bottom"/>
            <w:hideMark/>
          </w:tcPr>
          <w:p w14:paraId="509AF91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1854</w:t>
            </w:r>
          </w:p>
        </w:tc>
        <w:tc>
          <w:tcPr>
            <w:tcW w:w="1074" w:type="dxa"/>
            <w:tcBorders>
              <w:top w:val="nil"/>
              <w:left w:val="nil"/>
              <w:bottom w:val="single" w:sz="8" w:space="0" w:color="auto"/>
              <w:right w:val="nil"/>
            </w:tcBorders>
            <w:shd w:val="clear" w:color="auto" w:fill="auto"/>
            <w:vAlign w:val="bottom"/>
            <w:hideMark/>
          </w:tcPr>
          <w:p w14:paraId="6451F15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466</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36A4939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1079</w:t>
            </w:r>
          </w:p>
        </w:tc>
        <w:tc>
          <w:tcPr>
            <w:tcW w:w="1245" w:type="dxa"/>
            <w:tcBorders>
              <w:top w:val="nil"/>
              <w:left w:val="nil"/>
              <w:bottom w:val="single" w:sz="4" w:space="0" w:color="auto"/>
              <w:right w:val="single" w:sz="4" w:space="0" w:color="auto"/>
            </w:tcBorders>
            <w:shd w:val="clear" w:color="auto" w:fill="auto"/>
            <w:noWrap/>
            <w:vAlign w:val="bottom"/>
            <w:hideMark/>
          </w:tcPr>
          <w:p w14:paraId="62BEBA6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239,2%</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4A02FF1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237</w:t>
            </w:r>
          </w:p>
        </w:tc>
        <w:tc>
          <w:tcPr>
            <w:tcW w:w="1156" w:type="dxa"/>
            <w:tcBorders>
              <w:top w:val="nil"/>
              <w:left w:val="nil"/>
              <w:bottom w:val="single" w:sz="4" w:space="0" w:color="auto"/>
              <w:right w:val="single" w:sz="4" w:space="0" w:color="auto"/>
            </w:tcBorders>
            <w:shd w:val="clear" w:color="auto" w:fill="auto"/>
            <w:noWrap/>
            <w:vAlign w:val="bottom"/>
            <w:hideMark/>
          </w:tcPr>
          <w:p w14:paraId="70016CE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203,5%</w:t>
            </w:r>
          </w:p>
        </w:tc>
      </w:tr>
      <w:tr w:rsidR="00DB70CA" w:rsidRPr="00B7675F" w14:paraId="22857A4A" w14:textId="77777777" w:rsidTr="00490517">
        <w:trPr>
          <w:gridAfter w:val="1"/>
          <w:wAfter w:w="6" w:type="dxa"/>
          <w:trHeight w:val="20"/>
        </w:trPr>
        <w:tc>
          <w:tcPr>
            <w:tcW w:w="510" w:type="dxa"/>
            <w:tcBorders>
              <w:top w:val="nil"/>
              <w:left w:val="single" w:sz="8" w:space="0" w:color="auto"/>
              <w:bottom w:val="nil"/>
              <w:right w:val="single" w:sz="8" w:space="0" w:color="auto"/>
            </w:tcBorders>
            <w:shd w:val="clear" w:color="auto" w:fill="auto"/>
            <w:vAlign w:val="center"/>
            <w:hideMark/>
          </w:tcPr>
          <w:p w14:paraId="390059AA"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w:t>
            </w:r>
          </w:p>
        </w:tc>
        <w:tc>
          <w:tcPr>
            <w:tcW w:w="2435" w:type="dxa"/>
            <w:tcBorders>
              <w:top w:val="nil"/>
              <w:left w:val="nil"/>
              <w:bottom w:val="nil"/>
              <w:right w:val="single" w:sz="8" w:space="0" w:color="auto"/>
            </w:tcBorders>
            <w:shd w:val="clear" w:color="auto" w:fill="auto"/>
            <w:vAlign w:val="bottom"/>
            <w:hideMark/>
          </w:tcPr>
          <w:p w14:paraId="5D7CABD2" w14:textId="61035264" w:rsidR="00DB70CA" w:rsidRPr="00736448" w:rsidRDefault="00DB70CA" w:rsidP="002D2A2D">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xml:space="preserve">Legea </w:t>
            </w:r>
            <w:r w:rsidR="002D2A2D">
              <w:rPr>
                <w:rFonts w:asciiTheme="majorHAnsi" w:eastAsia="Times New Roman" w:hAnsiTheme="majorHAnsi" w:cstheme="majorHAnsi"/>
                <w:color w:val="000000"/>
                <w:sz w:val="20"/>
                <w:szCs w:val="20"/>
                <w:lang w:val="ro-MD"/>
              </w:rPr>
              <w:t>nr.</w:t>
            </w:r>
            <w:r w:rsidRPr="00736448">
              <w:rPr>
                <w:rFonts w:asciiTheme="majorHAnsi" w:eastAsia="Times New Roman" w:hAnsiTheme="majorHAnsi" w:cstheme="majorHAnsi"/>
                <w:color w:val="000000"/>
                <w:sz w:val="20"/>
                <w:szCs w:val="20"/>
                <w:lang w:val="ro-MD"/>
              </w:rPr>
              <w:t>127/2020, Indemnizaţie urmaşilor personalului medical decedat</w:t>
            </w:r>
          </w:p>
        </w:tc>
        <w:tc>
          <w:tcPr>
            <w:tcW w:w="1159" w:type="dxa"/>
            <w:tcBorders>
              <w:top w:val="nil"/>
              <w:left w:val="nil"/>
              <w:bottom w:val="nil"/>
              <w:right w:val="single" w:sz="8" w:space="0" w:color="auto"/>
            </w:tcBorders>
            <w:shd w:val="clear" w:color="auto" w:fill="auto"/>
            <w:vAlign w:val="bottom"/>
            <w:hideMark/>
          </w:tcPr>
          <w:p w14:paraId="12D878B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33</w:t>
            </w:r>
          </w:p>
        </w:tc>
        <w:tc>
          <w:tcPr>
            <w:tcW w:w="1074" w:type="dxa"/>
            <w:tcBorders>
              <w:top w:val="nil"/>
              <w:left w:val="nil"/>
              <w:bottom w:val="nil"/>
              <w:right w:val="single" w:sz="8" w:space="0" w:color="auto"/>
            </w:tcBorders>
            <w:shd w:val="clear" w:color="auto" w:fill="auto"/>
            <w:vAlign w:val="bottom"/>
            <w:hideMark/>
          </w:tcPr>
          <w:p w14:paraId="159B239A"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w:t>
            </w:r>
          </w:p>
        </w:tc>
        <w:tc>
          <w:tcPr>
            <w:tcW w:w="1074" w:type="dxa"/>
            <w:tcBorders>
              <w:top w:val="nil"/>
              <w:left w:val="nil"/>
              <w:bottom w:val="nil"/>
              <w:right w:val="single" w:sz="8" w:space="0" w:color="auto"/>
            </w:tcBorders>
            <w:shd w:val="clear" w:color="auto" w:fill="auto"/>
            <w:vAlign w:val="bottom"/>
            <w:hideMark/>
          </w:tcPr>
          <w:p w14:paraId="7BB183B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69</w:t>
            </w:r>
          </w:p>
        </w:tc>
        <w:tc>
          <w:tcPr>
            <w:tcW w:w="1165" w:type="dxa"/>
            <w:tcBorders>
              <w:top w:val="nil"/>
              <w:left w:val="nil"/>
              <w:bottom w:val="nil"/>
              <w:right w:val="single" w:sz="8" w:space="0" w:color="auto"/>
            </w:tcBorders>
            <w:shd w:val="clear" w:color="auto" w:fill="auto"/>
            <w:vAlign w:val="bottom"/>
            <w:hideMark/>
          </w:tcPr>
          <w:p w14:paraId="6417DDB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38</w:t>
            </w:r>
          </w:p>
        </w:tc>
        <w:tc>
          <w:tcPr>
            <w:tcW w:w="1134" w:type="dxa"/>
            <w:tcBorders>
              <w:top w:val="nil"/>
              <w:left w:val="nil"/>
              <w:bottom w:val="nil"/>
              <w:right w:val="single" w:sz="8" w:space="0" w:color="auto"/>
            </w:tcBorders>
            <w:shd w:val="clear" w:color="auto" w:fill="auto"/>
            <w:vAlign w:val="bottom"/>
            <w:hideMark/>
          </w:tcPr>
          <w:p w14:paraId="02A1E9F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68</w:t>
            </w:r>
          </w:p>
        </w:tc>
        <w:tc>
          <w:tcPr>
            <w:tcW w:w="1074" w:type="dxa"/>
            <w:tcBorders>
              <w:top w:val="nil"/>
              <w:left w:val="nil"/>
              <w:bottom w:val="nil"/>
              <w:right w:val="nil"/>
            </w:tcBorders>
            <w:shd w:val="clear" w:color="auto" w:fill="auto"/>
            <w:vAlign w:val="bottom"/>
            <w:hideMark/>
          </w:tcPr>
          <w:p w14:paraId="189A31F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36</w:t>
            </w:r>
          </w:p>
        </w:tc>
        <w:tc>
          <w:tcPr>
            <w:tcW w:w="1227" w:type="dxa"/>
            <w:gridSpan w:val="2"/>
            <w:tcBorders>
              <w:top w:val="nil"/>
              <w:left w:val="single" w:sz="4" w:space="0" w:color="auto"/>
              <w:bottom w:val="nil"/>
              <w:right w:val="single" w:sz="4" w:space="0" w:color="auto"/>
            </w:tcBorders>
            <w:shd w:val="clear" w:color="auto" w:fill="auto"/>
            <w:noWrap/>
            <w:vAlign w:val="bottom"/>
            <w:hideMark/>
          </w:tcPr>
          <w:p w14:paraId="6E7C1DF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35</w:t>
            </w:r>
          </w:p>
        </w:tc>
        <w:tc>
          <w:tcPr>
            <w:tcW w:w="1245" w:type="dxa"/>
            <w:tcBorders>
              <w:top w:val="nil"/>
              <w:left w:val="nil"/>
              <w:bottom w:val="nil"/>
              <w:right w:val="single" w:sz="4" w:space="0" w:color="auto"/>
            </w:tcBorders>
            <w:shd w:val="clear" w:color="auto" w:fill="auto"/>
            <w:noWrap/>
            <w:vAlign w:val="bottom"/>
            <w:hideMark/>
          </w:tcPr>
          <w:p w14:paraId="2A96448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206,1%</w:t>
            </w:r>
          </w:p>
        </w:tc>
        <w:tc>
          <w:tcPr>
            <w:tcW w:w="1086" w:type="dxa"/>
            <w:gridSpan w:val="2"/>
            <w:tcBorders>
              <w:top w:val="nil"/>
              <w:left w:val="nil"/>
              <w:bottom w:val="nil"/>
              <w:right w:val="single" w:sz="4" w:space="0" w:color="auto"/>
            </w:tcBorders>
            <w:shd w:val="clear" w:color="auto" w:fill="auto"/>
            <w:noWrap/>
            <w:vAlign w:val="bottom"/>
            <w:hideMark/>
          </w:tcPr>
          <w:p w14:paraId="61D0BB7F"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16</w:t>
            </w:r>
          </w:p>
        </w:tc>
        <w:tc>
          <w:tcPr>
            <w:tcW w:w="1156" w:type="dxa"/>
            <w:tcBorders>
              <w:top w:val="nil"/>
              <w:left w:val="nil"/>
              <w:bottom w:val="nil"/>
              <w:right w:val="single" w:sz="4" w:space="0" w:color="auto"/>
            </w:tcBorders>
            <w:shd w:val="clear" w:color="auto" w:fill="auto"/>
            <w:noWrap/>
            <w:vAlign w:val="bottom"/>
            <w:hideMark/>
          </w:tcPr>
          <w:p w14:paraId="1FB5F50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180,0%</w:t>
            </w:r>
          </w:p>
        </w:tc>
      </w:tr>
      <w:tr w:rsidR="00DB70CA" w:rsidRPr="00B7675F" w14:paraId="21609257" w14:textId="77777777" w:rsidTr="00490517">
        <w:trPr>
          <w:gridAfter w:val="1"/>
          <w:wAfter w:w="6" w:type="dxa"/>
          <w:trHeight w:val="20"/>
        </w:trPr>
        <w:tc>
          <w:tcPr>
            <w:tcW w:w="5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12892" w14:textId="77777777" w:rsidR="00DB70CA" w:rsidRPr="00736448" w:rsidRDefault="00DB70CA" w:rsidP="00490517">
            <w:pPr>
              <w:spacing w:after="0" w:line="240" w:lineRule="auto"/>
              <w:jc w:val="center"/>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2435" w:type="dxa"/>
            <w:tcBorders>
              <w:top w:val="single" w:sz="8" w:space="0" w:color="auto"/>
              <w:left w:val="nil"/>
              <w:bottom w:val="single" w:sz="8" w:space="0" w:color="auto"/>
              <w:right w:val="single" w:sz="4" w:space="0" w:color="auto"/>
            </w:tcBorders>
            <w:shd w:val="clear" w:color="000000" w:fill="D0CECE"/>
            <w:vAlign w:val="bottom"/>
            <w:hideMark/>
          </w:tcPr>
          <w:p w14:paraId="286E5204" w14:textId="77777777" w:rsidR="00DB70CA" w:rsidRPr="00736448" w:rsidRDefault="00DB70CA" w:rsidP="00490517">
            <w:pPr>
              <w:spacing w:after="0" w:line="240" w:lineRule="auto"/>
              <w:rPr>
                <w:rFonts w:asciiTheme="majorHAnsi" w:eastAsia="Times New Roman" w:hAnsiTheme="majorHAnsi" w:cstheme="majorHAnsi"/>
                <w:b/>
                <w:bCs/>
                <w:i/>
                <w:iCs/>
                <w:color w:val="000000"/>
                <w:sz w:val="20"/>
                <w:szCs w:val="20"/>
                <w:lang w:val="ro-MD"/>
              </w:rPr>
            </w:pPr>
            <w:r w:rsidRPr="00736448">
              <w:rPr>
                <w:rFonts w:asciiTheme="majorHAnsi" w:eastAsia="Times New Roman" w:hAnsiTheme="majorHAnsi" w:cstheme="majorHAnsi"/>
                <w:b/>
                <w:bCs/>
                <w:i/>
                <w:iCs/>
                <w:color w:val="000000"/>
                <w:sz w:val="20"/>
                <w:szCs w:val="20"/>
                <w:lang w:val="ro-MD"/>
              </w:rPr>
              <w:t xml:space="preserve">Indemnizații pentru susținerea familiilor </w:t>
            </w:r>
          </w:p>
        </w:tc>
        <w:tc>
          <w:tcPr>
            <w:tcW w:w="1159" w:type="dxa"/>
            <w:tcBorders>
              <w:top w:val="single" w:sz="8" w:space="0" w:color="auto"/>
              <w:left w:val="nil"/>
              <w:bottom w:val="single" w:sz="8" w:space="0" w:color="auto"/>
              <w:right w:val="single" w:sz="4" w:space="0" w:color="auto"/>
            </w:tcBorders>
            <w:shd w:val="clear" w:color="000000" w:fill="D0CECE"/>
            <w:vAlign w:val="bottom"/>
            <w:hideMark/>
          </w:tcPr>
          <w:p w14:paraId="2B4D295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81490</w:t>
            </w:r>
          </w:p>
        </w:tc>
        <w:tc>
          <w:tcPr>
            <w:tcW w:w="1074" w:type="dxa"/>
            <w:tcBorders>
              <w:top w:val="single" w:sz="8" w:space="0" w:color="auto"/>
              <w:left w:val="nil"/>
              <w:bottom w:val="single" w:sz="8" w:space="0" w:color="auto"/>
              <w:right w:val="single" w:sz="4" w:space="0" w:color="auto"/>
            </w:tcBorders>
            <w:shd w:val="clear" w:color="000000" w:fill="D0CECE"/>
            <w:vAlign w:val="bottom"/>
            <w:hideMark/>
          </w:tcPr>
          <w:p w14:paraId="4A389A5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23308</w:t>
            </w:r>
          </w:p>
        </w:tc>
        <w:tc>
          <w:tcPr>
            <w:tcW w:w="1074" w:type="dxa"/>
            <w:tcBorders>
              <w:top w:val="single" w:sz="8" w:space="0" w:color="auto"/>
              <w:left w:val="nil"/>
              <w:bottom w:val="single" w:sz="8" w:space="0" w:color="auto"/>
              <w:right w:val="single" w:sz="4" w:space="0" w:color="auto"/>
            </w:tcBorders>
            <w:shd w:val="clear" w:color="000000" w:fill="D0CECE"/>
            <w:vAlign w:val="bottom"/>
            <w:hideMark/>
          </w:tcPr>
          <w:p w14:paraId="788504D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81280</w:t>
            </w:r>
          </w:p>
        </w:tc>
        <w:tc>
          <w:tcPr>
            <w:tcW w:w="1165" w:type="dxa"/>
            <w:tcBorders>
              <w:top w:val="single" w:sz="8" w:space="0" w:color="auto"/>
              <w:left w:val="nil"/>
              <w:bottom w:val="single" w:sz="8" w:space="0" w:color="auto"/>
              <w:right w:val="single" w:sz="4" w:space="0" w:color="auto"/>
            </w:tcBorders>
            <w:shd w:val="clear" w:color="000000" w:fill="D0CECE"/>
            <w:vAlign w:val="bottom"/>
            <w:hideMark/>
          </w:tcPr>
          <w:p w14:paraId="2217B022"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22875</w:t>
            </w:r>
          </w:p>
        </w:tc>
        <w:tc>
          <w:tcPr>
            <w:tcW w:w="1134" w:type="dxa"/>
            <w:tcBorders>
              <w:top w:val="single" w:sz="8" w:space="0" w:color="auto"/>
              <w:left w:val="nil"/>
              <w:bottom w:val="single" w:sz="8" w:space="0" w:color="auto"/>
              <w:right w:val="nil"/>
            </w:tcBorders>
            <w:shd w:val="clear" w:color="000000" w:fill="D0CECE"/>
            <w:vAlign w:val="bottom"/>
            <w:hideMark/>
          </w:tcPr>
          <w:p w14:paraId="01CCBDE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72767</w:t>
            </w:r>
          </w:p>
        </w:tc>
        <w:tc>
          <w:tcPr>
            <w:tcW w:w="1074" w:type="dxa"/>
            <w:tcBorders>
              <w:top w:val="single" w:sz="8" w:space="0" w:color="auto"/>
              <w:left w:val="single" w:sz="8" w:space="0" w:color="auto"/>
              <w:bottom w:val="single" w:sz="8" w:space="0" w:color="auto"/>
              <w:right w:val="single" w:sz="4" w:space="0" w:color="auto"/>
            </w:tcBorders>
            <w:shd w:val="clear" w:color="000000" w:fill="D0CECE"/>
            <w:vAlign w:val="bottom"/>
            <w:hideMark/>
          </w:tcPr>
          <w:p w14:paraId="269F0211"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21883</w:t>
            </w:r>
          </w:p>
        </w:tc>
        <w:tc>
          <w:tcPr>
            <w:tcW w:w="1227" w:type="dxa"/>
            <w:gridSpan w:val="2"/>
            <w:tcBorders>
              <w:top w:val="single" w:sz="8" w:space="0" w:color="auto"/>
              <w:left w:val="nil"/>
              <w:bottom w:val="single" w:sz="8" w:space="0" w:color="auto"/>
              <w:right w:val="single" w:sz="4" w:space="0" w:color="auto"/>
            </w:tcBorders>
            <w:shd w:val="clear" w:color="000000" w:fill="D0CECE"/>
            <w:noWrap/>
            <w:vAlign w:val="bottom"/>
            <w:hideMark/>
          </w:tcPr>
          <w:p w14:paraId="3D1F1F4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-8723</w:t>
            </w:r>
          </w:p>
        </w:tc>
        <w:tc>
          <w:tcPr>
            <w:tcW w:w="1245" w:type="dxa"/>
            <w:tcBorders>
              <w:top w:val="single" w:sz="8" w:space="0" w:color="auto"/>
              <w:left w:val="nil"/>
              <w:bottom w:val="nil"/>
              <w:right w:val="single" w:sz="4" w:space="0" w:color="auto"/>
            </w:tcBorders>
            <w:shd w:val="clear" w:color="000000" w:fill="D0CECE"/>
            <w:noWrap/>
            <w:vAlign w:val="bottom"/>
            <w:hideMark/>
          </w:tcPr>
          <w:p w14:paraId="6DFF636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89,3%</w:t>
            </w:r>
          </w:p>
        </w:tc>
        <w:tc>
          <w:tcPr>
            <w:tcW w:w="1086" w:type="dxa"/>
            <w:gridSpan w:val="2"/>
            <w:tcBorders>
              <w:top w:val="single" w:sz="8" w:space="0" w:color="auto"/>
              <w:left w:val="nil"/>
              <w:bottom w:val="nil"/>
              <w:right w:val="single" w:sz="4" w:space="0" w:color="auto"/>
            </w:tcBorders>
            <w:shd w:val="clear" w:color="000000" w:fill="D0CECE"/>
            <w:noWrap/>
            <w:vAlign w:val="bottom"/>
            <w:hideMark/>
          </w:tcPr>
          <w:p w14:paraId="7995F96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-1425</w:t>
            </w:r>
          </w:p>
        </w:tc>
        <w:tc>
          <w:tcPr>
            <w:tcW w:w="1156" w:type="dxa"/>
            <w:tcBorders>
              <w:top w:val="single" w:sz="8" w:space="0" w:color="auto"/>
              <w:left w:val="nil"/>
              <w:bottom w:val="single" w:sz="8" w:space="0" w:color="auto"/>
              <w:right w:val="single" w:sz="8" w:space="0" w:color="auto"/>
            </w:tcBorders>
            <w:shd w:val="clear" w:color="000000" w:fill="D0CECE"/>
            <w:noWrap/>
            <w:vAlign w:val="bottom"/>
            <w:hideMark/>
          </w:tcPr>
          <w:p w14:paraId="098DD63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93,9%</w:t>
            </w:r>
          </w:p>
        </w:tc>
      </w:tr>
      <w:tr w:rsidR="00DB70CA" w:rsidRPr="00B7675F" w14:paraId="53811A01" w14:textId="77777777" w:rsidTr="00490517">
        <w:trPr>
          <w:gridAfter w:val="1"/>
          <w:wAfter w:w="6" w:type="dxa"/>
          <w:trHeight w:val="2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0DAE595"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2435" w:type="dxa"/>
            <w:tcBorders>
              <w:top w:val="nil"/>
              <w:left w:val="nil"/>
              <w:bottom w:val="single" w:sz="8" w:space="0" w:color="auto"/>
              <w:right w:val="single" w:sz="8" w:space="0" w:color="auto"/>
            </w:tcBorders>
            <w:shd w:val="clear" w:color="auto" w:fill="auto"/>
            <w:vAlign w:val="bottom"/>
            <w:hideMark/>
          </w:tcPr>
          <w:p w14:paraId="38A62DAA"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Indemnizații pentru creșterea  copilului, persoane asigurate</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5A32B6D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47876</w:t>
            </w:r>
          </w:p>
        </w:tc>
        <w:tc>
          <w:tcPr>
            <w:tcW w:w="1074" w:type="dxa"/>
            <w:tcBorders>
              <w:top w:val="nil"/>
              <w:left w:val="nil"/>
              <w:bottom w:val="single" w:sz="4" w:space="0" w:color="auto"/>
              <w:right w:val="single" w:sz="4" w:space="0" w:color="auto"/>
            </w:tcBorders>
            <w:shd w:val="clear" w:color="auto" w:fill="auto"/>
            <w:noWrap/>
            <w:vAlign w:val="bottom"/>
            <w:hideMark/>
          </w:tcPr>
          <w:p w14:paraId="669E0989"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21910</w:t>
            </w:r>
          </w:p>
        </w:tc>
        <w:tc>
          <w:tcPr>
            <w:tcW w:w="1074" w:type="dxa"/>
            <w:tcBorders>
              <w:top w:val="nil"/>
              <w:left w:val="nil"/>
              <w:bottom w:val="single" w:sz="4" w:space="0" w:color="auto"/>
              <w:right w:val="single" w:sz="4" w:space="0" w:color="auto"/>
            </w:tcBorders>
            <w:shd w:val="clear" w:color="auto" w:fill="auto"/>
            <w:noWrap/>
            <w:vAlign w:val="bottom"/>
            <w:hideMark/>
          </w:tcPr>
          <w:p w14:paraId="57E0B106"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47788</w:t>
            </w:r>
          </w:p>
        </w:tc>
        <w:tc>
          <w:tcPr>
            <w:tcW w:w="1165" w:type="dxa"/>
            <w:tcBorders>
              <w:top w:val="nil"/>
              <w:left w:val="nil"/>
              <w:bottom w:val="single" w:sz="4" w:space="0" w:color="auto"/>
              <w:right w:val="single" w:sz="4" w:space="0" w:color="auto"/>
            </w:tcBorders>
            <w:shd w:val="clear" w:color="auto" w:fill="auto"/>
            <w:noWrap/>
            <w:vAlign w:val="bottom"/>
            <w:hideMark/>
          </w:tcPr>
          <w:p w14:paraId="61F40E5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21605</w:t>
            </w:r>
          </w:p>
        </w:tc>
        <w:tc>
          <w:tcPr>
            <w:tcW w:w="1134" w:type="dxa"/>
            <w:tcBorders>
              <w:top w:val="nil"/>
              <w:left w:val="nil"/>
              <w:bottom w:val="single" w:sz="4" w:space="0" w:color="auto"/>
              <w:right w:val="single" w:sz="4" w:space="0" w:color="auto"/>
            </w:tcBorders>
            <w:shd w:val="clear" w:color="auto" w:fill="auto"/>
            <w:noWrap/>
            <w:vAlign w:val="bottom"/>
            <w:hideMark/>
          </w:tcPr>
          <w:p w14:paraId="6AD80828"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42360</w:t>
            </w:r>
          </w:p>
        </w:tc>
        <w:tc>
          <w:tcPr>
            <w:tcW w:w="1074" w:type="dxa"/>
            <w:tcBorders>
              <w:top w:val="nil"/>
              <w:left w:val="nil"/>
              <w:bottom w:val="single" w:sz="4" w:space="0" w:color="auto"/>
              <w:right w:val="nil"/>
            </w:tcBorders>
            <w:shd w:val="clear" w:color="auto" w:fill="auto"/>
            <w:noWrap/>
            <w:vAlign w:val="bottom"/>
            <w:hideMark/>
          </w:tcPr>
          <w:p w14:paraId="7CBDE8D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20713</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C9A086D"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-5516</w:t>
            </w:r>
          </w:p>
        </w:tc>
        <w:tc>
          <w:tcPr>
            <w:tcW w:w="1245" w:type="dxa"/>
            <w:tcBorders>
              <w:top w:val="single" w:sz="4" w:space="0" w:color="auto"/>
              <w:left w:val="nil"/>
              <w:bottom w:val="single" w:sz="4" w:space="0" w:color="auto"/>
              <w:right w:val="single" w:sz="4" w:space="0" w:color="auto"/>
            </w:tcBorders>
            <w:shd w:val="clear" w:color="auto" w:fill="auto"/>
            <w:noWrap/>
            <w:vAlign w:val="bottom"/>
            <w:hideMark/>
          </w:tcPr>
          <w:p w14:paraId="5C41F75E"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88,5%</w:t>
            </w:r>
          </w:p>
        </w:tc>
        <w:tc>
          <w:tcPr>
            <w:tcW w:w="108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BBACB5"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-1197</w:t>
            </w:r>
          </w:p>
        </w:tc>
        <w:tc>
          <w:tcPr>
            <w:tcW w:w="1156" w:type="dxa"/>
            <w:tcBorders>
              <w:top w:val="nil"/>
              <w:left w:val="nil"/>
              <w:bottom w:val="single" w:sz="4" w:space="0" w:color="auto"/>
              <w:right w:val="single" w:sz="4" w:space="0" w:color="auto"/>
            </w:tcBorders>
            <w:shd w:val="clear" w:color="auto" w:fill="auto"/>
            <w:noWrap/>
            <w:vAlign w:val="bottom"/>
            <w:hideMark/>
          </w:tcPr>
          <w:p w14:paraId="5FDD9A9B"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94,5%</w:t>
            </w:r>
          </w:p>
        </w:tc>
      </w:tr>
      <w:tr w:rsidR="00DB70CA" w:rsidRPr="00B7675F" w14:paraId="315F1A7A" w14:textId="77777777" w:rsidTr="00490517">
        <w:trPr>
          <w:gridAfter w:val="1"/>
          <w:wAfter w:w="6" w:type="dxa"/>
          <w:trHeight w:val="20"/>
        </w:trPr>
        <w:tc>
          <w:tcPr>
            <w:tcW w:w="510" w:type="dxa"/>
            <w:tcBorders>
              <w:top w:val="nil"/>
              <w:left w:val="single" w:sz="4" w:space="0" w:color="auto"/>
              <w:bottom w:val="single" w:sz="4" w:space="0" w:color="auto"/>
              <w:right w:val="single" w:sz="4" w:space="0" w:color="auto"/>
            </w:tcBorders>
            <w:shd w:val="clear" w:color="auto" w:fill="auto"/>
            <w:noWrap/>
            <w:vAlign w:val="bottom"/>
            <w:hideMark/>
          </w:tcPr>
          <w:p w14:paraId="1ACF6F35"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 </w:t>
            </w:r>
          </w:p>
        </w:tc>
        <w:tc>
          <w:tcPr>
            <w:tcW w:w="2435" w:type="dxa"/>
            <w:tcBorders>
              <w:top w:val="nil"/>
              <w:left w:val="nil"/>
              <w:bottom w:val="single" w:sz="8" w:space="0" w:color="auto"/>
              <w:right w:val="single" w:sz="8" w:space="0" w:color="auto"/>
            </w:tcBorders>
            <w:shd w:val="clear" w:color="auto" w:fill="auto"/>
            <w:vAlign w:val="bottom"/>
            <w:hideMark/>
          </w:tcPr>
          <w:p w14:paraId="22EA0BBD" w14:textId="77777777" w:rsidR="00DB70CA" w:rsidRPr="00736448" w:rsidRDefault="00DB70CA" w:rsidP="00490517">
            <w:pPr>
              <w:spacing w:after="0" w:line="240" w:lineRule="auto"/>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Indemnizații pentru creșterea  copilului, persoane neasigurate</w:t>
            </w:r>
          </w:p>
        </w:tc>
        <w:tc>
          <w:tcPr>
            <w:tcW w:w="1159" w:type="dxa"/>
            <w:tcBorders>
              <w:top w:val="nil"/>
              <w:left w:val="single" w:sz="4" w:space="0" w:color="auto"/>
              <w:bottom w:val="single" w:sz="4" w:space="0" w:color="auto"/>
              <w:right w:val="single" w:sz="4" w:space="0" w:color="auto"/>
            </w:tcBorders>
            <w:shd w:val="clear" w:color="auto" w:fill="auto"/>
            <w:noWrap/>
            <w:vAlign w:val="bottom"/>
            <w:hideMark/>
          </w:tcPr>
          <w:p w14:paraId="07D1101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33614</w:t>
            </w:r>
          </w:p>
        </w:tc>
        <w:tc>
          <w:tcPr>
            <w:tcW w:w="1074" w:type="dxa"/>
            <w:tcBorders>
              <w:top w:val="nil"/>
              <w:left w:val="nil"/>
              <w:bottom w:val="single" w:sz="4" w:space="0" w:color="auto"/>
              <w:right w:val="single" w:sz="4" w:space="0" w:color="auto"/>
            </w:tcBorders>
            <w:shd w:val="clear" w:color="auto" w:fill="auto"/>
            <w:noWrap/>
            <w:vAlign w:val="bottom"/>
            <w:hideMark/>
          </w:tcPr>
          <w:p w14:paraId="7A628E80"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1398</w:t>
            </w:r>
          </w:p>
        </w:tc>
        <w:tc>
          <w:tcPr>
            <w:tcW w:w="1074" w:type="dxa"/>
            <w:tcBorders>
              <w:top w:val="nil"/>
              <w:left w:val="nil"/>
              <w:bottom w:val="single" w:sz="4" w:space="0" w:color="auto"/>
              <w:right w:val="single" w:sz="4" w:space="0" w:color="auto"/>
            </w:tcBorders>
            <w:shd w:val="clear" w:color="auto" w:fill="auto"/>
            <w:noWrap/>
            <w:vAlign w:val="bottom"/>
            <w:hideMark/>
          </w:tcPr>
          <w:p w14:paraId="3201D06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33492</w:t>
            </w:r>
          </w:p>
        </w:tc>
        <w:tc>
          <w:tcPr>
            <w:tcW w:w="1165" w:type="dxa"/>
            <w:tcBorders>
              <w:top w:val="nil"/>
              <w:left w:val="nil"/>
              <w:bottom w:val="single" w:sz="4" w:space="0" w:color="auto"/>
              <w:right w:val="single" w:sz="4" w:space="0" w:color="auto"/>
            </w:tcBorders>
            <w:shd w:val="clear" w:color="auto" w:fill="auto"/>
            <w:noWrap/>
            <w:vAlign w:val="bottom"/>
            <w:hideMark/>
          </w:tcPr>
          <w:p w14:paraId="0AA46AF7"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1270</w:t>
            </w:r>
          </w:p>
        </w:tc>
        <w:tc>
          <w:tcPr>
            <w:tcW w:w="1134" w:type="dxa"/>
            <w:tcBorders>
              <w:top w:val="nil"/>
              <w:left w:val="nil"/>
              <w:bottom w:val="single" w:sz="4" w:space="0" w:color="auto"/>
              <w:right w:val="single" w:sz="4" w:space="0" w:color="auto"/>
            </w:tcBorders>
            <w:shd w:val="clear" w:color="auto" w:fill="auto"/>
            <w:noWrap/>
            <w:vAlign w:val="bottom"/>
            <w:hideMark/>
          </w:tcPr>
          <w:p w14:paraId="60A8490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30407</w:t>
            </w:r>
          </w:p>
        </w:tc>
        <w:tc>
          <w:tcPr>
            <w:tcW w:w="1074" w:type="dxa"/>
            <w:tcBorders>
              <w:top w:val="nil"/>
              <w:left w:val="nil"/>
              <w:bottom w:val="single" w:sz="4" w:space="0" w:color="auto"/>
              <w:right w:val="nil"/>
            </w:tcBorders>
            <w:shd w:val="clear" w:color="auto" w:fill="auto"/>
            <w:noWrap/>
            <w:vAlign w:val="bottom"/>
            <w:hideMark/>
          </w:tcPr>
          <w:p w14:paraId="3305FCA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1170</w:t>
            </w:r>
          </w:p>
        </w:tc>
        <w:tc>
          <w:tcPr>
            <w:tcW w:w="1227" w:type="dxa"/>
            <w:gridSpan w:val="2"/>
            <w:tcBorders>
              <w:top w:val="nil"/>
              <w:left w:val="single" w:sz="4" w:space="0" w:color="auto"/>
              <w:bottom w:val="single" w:sz="4" w:space="0" w:color="auto"/>
              <w:right w:val="single" w:sz="4" w:space="0" w:color="auto"/>
            </w:tcBorders>
            <w:shd w:val="clear" w:color="auto" w:fill="auto"/>
            <w:noWrap/>
            <w:vAlign w:val="bottom"/>
            <w:hideMark/>
          </w:tcPr>
          <w:p w14:paraId="07B9DF6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-3207</w:t>
            </w:r>
          </w:p>
        </w:tc>
        <w:tc>
          <w:tcPr>
            <w:tcW w:w="1245" w:type="dxa"/>
            <w:tcBorders>
              <w:top w:val="nil"/>
              <w:left w:val="nil"/>
              <w:bottom w:val="single" w:sz="4" w:space="0" w:color="auto"/>
              <w:right w:val="single" w:sz="4" w:space="0" w:color="auto"/>
            </w:tcBorders>
            <w:shd w:val="clear" w:color="auto" w:fill="auto"/>
            <w:noWrap/>
            <w:vAlign w:val="bottom"/>
            <w:hideMark/>
          </w:tcPr>
          <w:p w14:paraId="00BCDC6C"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90,5%</w:t>
            </w:r>
          </w:p>
        </w:tc>
        <w:tc>
          <w:tcPr>
            <w:tcW w:w="1086" w:type="dxa"/>
            <w:gridSpan w:val="2"/>
            <w:tcBorders>
              <w:top w:val="nil"/>
              <w:left w:val="nil"/>
              <w:bottom w:val="single" w:sz="4" w:space="0" w:color="auto"/>
              <w:right w:val="single" w:sz="4" w:space="0" w:color="auto"/>
            </w:tcBorders>
            <w:shd w:val="clear" w:color="auto" w:fill="auto"/>
            <w:noWrap/>
            <w:vAlign w:val="bottom"/>
            <w:hideMark/>
          </w:tcPr>
          <w:p w14:paraId="6860D8D3"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-228</w:t>
            </w:r>
          </w:p>
        </w:tc>
        <w:tc>
          <w:tcPr>
            <w:tcW w:w="1156" w:type="dxa"/>
            <w:tcBorders>
              <w:top w:val="nil"/>
              <w:left w:val="nil"/>
              <w:bottom w:val="single" w:sz="4" w:space="0" w:color="auto"/>
              <w:right w:val="single" w:sz="4" w:space="0" w:color="auto"/>
            </w:tcBorders>
            <w:shd w:val="clear" w:color="auto" w:fill="auto"/>
            <w:noWrap/>
            <w:vAlign w:val="bottom"/>
            <w:hideMark/>
          </w:tcPr>
          <w:p w14:paraId="666AFC54" w14:textId="77777777" w:rsidR="00DB70CA" w:rsidRPr="00736448" w:rsidRDefault="00DB70CA" w:rsidP="00490517">
            <w:pPr>
              <w:spacing w:after="0" w:line="240" w:lineRule="auto"/>
              <w:jc w:val="right"/>
              <w:rPr>
                <w:rFonts w:asciiTheme="majorHAnsi" w:eastAsia="Times New Roman" w:hAnsiTheme="majorHAnsi" w:cstheme="majorHAnsi"/>
                <w:color w:val="000000"/>
                <w:sz w:val="20"/>
                <w:szCs w:val="20"/>
                <w:lang w:val="ro-MD"/>
              </w:rPr>
            </w:pPr>
            <w:r w:rsidRPr="00736448">
              <w:rPr>
                <w:rFonts w:asciiTheme="majorHAnsi" w:eastAsia="Times New Roman" w:hAnsiTheme="majorHAnsi" w:cstheme="majorHAnsi"/>
                <w:color w:val="000000"/>
                <w:sz w:val="20"/>
                <w:szCs w:val="20"/>
                <w:lang w:val="ro-MD"/>
              </w:rPr>
              <w:t>83,7%</w:t>
            </w:r>
          </w:p>
        </w:tc>
      </w:tr>
    </w:tbl>
    <w:p w14:paraId="28878CBE" w14:textId="77777777" w:rsidR="00DB70CA" w:rsidRPr="00736448" w:rsidRDefault="00DB70CA" w:rsidP="00DB70CA">
      <w:pPr>
        <w:rPr>
          <w:rFonts w:cstheme="majorHAnsi"/>
          <w:b/>
          <w:bCs/>
          <w:color w:val="000000" w:themeColor="text1"/>
          <w:sz w:val="24"/>
          <w:szCs w:val="24"/>
          <w:lang w:val="ro-MD"/>
        </w:rPr>
      </w:pPr>
    </w:p>
    <w:p w14:paraId="732F275E" w14:textId="187ABA18" w:rsidR="00DB70CA" w:rsidRPr="00736448" w:rsidRDefault="00DB70CA" w:rsidP="00DB70CA">
      <w:pPr>
        <w:rPr>
          <w:rFonts w:cstheme="majorHAnsi"/>
          <w:b/>
          <w:bCs/>
          <w:color w:val="000000" w:themeColor="text1"/>
          <w:sz w:val="24"/>
          <w:szCs w:val="24"/>
          <w:lang w:val="ro-MD"/>
        </w:rPr>
      </w:pPr>
    </w:p>
    <w:p w14:paraId="3741F63F" w14:textId="46E921E4" w:rsidR="004C228A" w:rsidRPr="00736448" w:rsidRDefault="004C228A" w:rsidP="00DB70CA">
      <w:pPr>
        <w:rPr>
          <w:rFonts w:cstheme="majorHAnsi"/>
          <w:b/>
          <w:bCs/>
          <w:color w:val="000000" w:themeColor="text1"/>
          <w:sz w:val="24"/>
          <w:szCs w:val="24"/>
          <w:lang w:val="ro-MD"/>
        </w:rPr>
      </w:pPr>
    </w:p>
    <w:p w14:paraId="78C5F2FA" w14:textId="6A33FAAA" w:rsidR="004C228A" w:rsidRPr="00736448" w:rsidRDefault="004C228A" w:rsidP="00DB70CA">
      <w:pPr>
        <w:rPr>
          <w:rFonts w:cstheme="majorHAnsi"/>
          <w:b/>
          <w:bCs/>
          <w:color w:val="000000" w:themeColor="text1"/>
          <w:sz w:val="24"/>
          <w:szCs w:val="24"/>
          <w:lang w:val="ro-MD"/>
        </w:rPr>
      </w:pPr>
      <w:r w:rsidRPr="00736448">
        <w:rPr>
          <w:rFonts w:cstheme="majorHAnsi"/>
          <w:b/>
          <w:bCs/>
          <w:color w:val="000000" w:themeColor="text1"/>
          <w:sz w:val="24"/>
          <w:szCs w:val="24"/>
          <w:lang w:val="ro-MD"/>
        </w:rPr>
        <w:br w:type="page"/>
      </w:r>
    </w:p>
    <w:p w14:paraId="67244716" w14:textId="5E68CFDC" w:rsidR="004C228A" w:rsidRPr="00736448" w:rsidRDefault="004C228A" w:rsidP="004C228A">
      <w:pPr>
        <w:pStyle w:val="2"/>
        <w:jc w:val="right"/>
        <w:rPr>
          <w:rFonts w:cstheme="majorHAnsi"/>
          <w:b/>
          <w:bCs/>
          <w:color w:val="000000" w:themeColor="text1"/>
          <w:sz w:val="24"/>
          <w:szCs w:val="24"/>
          <w:lang w:val="ro-MD"/>
        </w:rPr>
      </w:pPr>
      <w:r w:rsidRPr="00736448">
        <w:rPr>
          <w:rFonts w:cstheme="majorHAnsi"/>
          <w:b/>
          <w:bCs/>
          <w:color w:val="000000" w:themeColor="text1"/>
          <w:sz w:val="24"/>
          <w:szCs w:val="24"/>
          <w:lang w:val="ro-MD"/>
        </w:rPr>
        <w:t>Anexa nr.3</w:t>
      </w:r>
    </w:p>
    <w:p w14:paraId="4E45F6BE" w14:textId="1DB11523" w:rsidR="004C228A" w:rsidRPr="00736448" w:rsidRDefault="004C228A" w:rsidP="004C228A">
      <w:pPr>
        <w:jc w:val="center"/>
        <w:rPr>
          <w:rFonts w:asciiTheme="majorHAnsi" w:hAnsiTheme="majorHAnsi"/>
          <w:b/>
          <w:sz w:val="24"/>
          <w:szCs w:val="24"/>
          <w:lang w:val="ro-MD"/>
        </w:rPr>
      </w:pPr>
      <w:r w:rsidRPr="00736448">
        <w:rPr>
          <w:rFonts w:asciiTheme="majorHAnsi" w:hAnsiTheme="majorHAnsi"/>
          <w:b/>
          <w:sz w:val="24"/>
          <w:szCs w:val="24"/>
          <w:lang w:val="ro-MD"/>
        </w:rPr>
        <w:t>Informație privind numărul de contribuabili care participă la sistemul de asigurări sociale</w:t>
      </w:r>
      <w:r w:rsidR="002D2A2D">
        <w:rPr>
          <w:rFonts w:asciiTheme="majorHAnsi" w:hAnsiTheme="majorHAnsi"/>
          <w:b/>
          <w:sz w:val="24"/>
          <w:szCs w:val="24"/>
          <w:lang w:val="ro-MD"/>
        </w:rPr>
        <w:t>,</w:t>
      </w:r>
      <w:r w:rsidRPr="00736448">
        <w:rPr>
          <w:rFonts w:asciiTheme="majorHAnsi" w:hAnsiTheme="majorHAnsi"/>
          <w:b/>
          <w:sz w:val="24"/>
          <w:szCs w:val="24"/>
          <w:lang w:val="ro-MD"/>
        </w:rPr>
        <w:t xml:space="preserve"> pe anii 2021-2022</w:t>
      </w:r>
    </w:p>
    <w:tbl>
      <w:tblPr>
        <w:tblW w:w="14312" w:type="dxa"/>
        <w:shd w:val="clear" w:color="auto" w:fill="FFFFFF" w:themeFill="background1"/>
        <w:tblLayout w:type="fixed"/>
        <w:tblLook w:val="04A0" w:firstRow="1" w:lastRow="0" w:firstColumn="1" w:lastColumn="0" w:noHBand="0" w:noVBand="1"/>
      </w:tblPr>
      <w:tblGrid>
        <w:gridCol w:w="2258"/>
        <w:gridCol w:w="1981"/>
        <w:gridCol w:w="854"/>
        <w:gridCol w:w="851"/>
        <w:gridCol w:w="851"/>
        <w:gridCol w:w="850"/>
        <w:gridCol w:w="850"/>
        <w:gridCol w:w="994"/>
        <w:gridCol w:w="766"/>
        <w:gridCol w:w="795"/>
        <w:gridCol w:w="992"/>
        <w:gridCol w:w="853"/>
        <w:gridCol w:w="708"/>
        <w:gridCol w:w="709"/>
      </w:tblGrid>
      <w:tr w:rsidR="00DB70CA" w:rsidRPr="00B7675F" w14:paraId="64A31EBC" w14:textId="77777777" w:rsidTr="00B27804">
        <w:trPr>
          <w:trHeight w:val="540"/>
        </w:trPr>
        <w:tc>
          <w:tcPr>
            <w:tcW w:w="22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0632E3" w14:textId="77777777" w:rsidR="00DB70CA" w:rsidRPr="00736448" w:rsidRDefault="00DB70CA" w:rsidP="00B27804">
            <w:pPr>
              <w:spacing w:after="0" w:line="240" w:lineRule="auto"/>
              <w:jc w:val="center"/>
              <w:rPr>
                <w:rFonts w:asciiTheme="majorHAnsi" w:eastAsia="Times New Roman" w:hAnsiTheme="majorHAnsi" w:cstheme="majorHAnsi"/>
                <w:b/>
                <w:bCs/>
                <w:color w:val="333333"/>
                <w:sz w:val="16"/>
                <w:szCs w:val="18"/>
                <w:lang w:val="ro-MD"/>
              </w:rPr>
            </w:pPr>
            <w:r w:rsidRPr="00736448">
              <w:rPr>
                <w:rFonts w:asciiTheme="majorHAnsi" w:eastAsia="Times New Roman" w:hAnsiTheme="majorHAnsi" w:cstheme="majorHAnsi"/>
                <w:b/>
                <w:bCs/>
                <w:color w:val="333333"/>
                <w:sz w:val="16"/>
                <w:szCs w:val="18"/>
                <w:lang w:val="ro-MD"/>
              </w:rPr>
              <w:t>Categoriile de plătitori și de asigurați</w:t>
            </w:r>
          </w:p>
        </w:tc>
        <w:tc>
          <w:tcPr>
            <w:tcW w:w="198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DB247A" w14:textId="77777777" w:rsidR="00DB70CA" w:rsidRPr="00736448" w:rsidRDefault="00DB70CA" w:rsidP="00B27804">
            <w:pPr>
              <w:spacing w:after="0" w:line="240" w:lineRule="auto"/>
              <w:jc w:val="center"/>
              <w:rPr>
                <w:rFonts w:asciiTheme="majorHAnsi" w:eastAsia="Times New Roman" w:hAnsiTheme="majorHAnsi" w:cstheme="majorHAnsi"/>
                <w:b/>
                <w:bCs/>
                <w:color w:val="333333"/>
                <w:sz w:val="16"/>
                <w:szCs w:val="18"/>
                <w:lang w:val="ro-MD"/>
              </w:rPr>
            </w:pPr>
            <w:r w:rsidRPr="00736448">
              <w:rPr>
                <w:rFonts w:asciiTheme="majorHAnsi" w:eastAsia="Times New Roman" w:hAnsiTheme="majorHAnsi" w:cstheme="majorHAnsi"/>
                <w:b/>
                <w:bCs/>
                <w:color w:val="333333"/>
                <w:sz w:val="16"/>
                <w:szCs w:val="18"/>
                <w:lang w:val="ro-MD"/>
              </w:rPr>
              <w:t>Tarifele și baza de calcul al contribuției de asigurări sociale de stat obligatorii</w:t>
            </w:r>
          </w:p>
        </w:tc>
        <w:tc>
          <w:tcPr>
            <w:tcW w:w="2556"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25133975"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2021</w:t>
            </w:r>
          </w:p>
        </w:tc>
        <w:tc>
          <w:tcPr>
            <w:tcW w:w="2694" w:type="dxa"/>
            <w:gridSpan w:val="3"/>
            <w:tcBorders>
              <w:top w:val="single" w:sz="4" w:space="0" w:color="auto"/>
              <w:left w:val="nil"/>
              <w:bottom w:val="single" w:sz="4" w:space="0" w:color="auto"/>
              <w:right w:val="single" w:sz="4" w:space="0" w:color="auto"/>
            </w:tcBorders>
            <w:shd w:val="clear" w:color="auto" w:fill="FFFFFF" w:themeFill="background1"/>
            <w:noWrap/>
            <w:vAlign w:val="center"/>
            <w:hideMark/>
          </w:tcPr>
          <w:p w14:paraId="6D900EE0"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2022</w:t>
            </w:r>
          </w:p>
        </w:tc>
        <w:tc>
          <w:tcPr>
            <w:tcW w:w="156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4A978B41"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Dinamica nr. contribuabili 2022/2021</w:t>
            </w:r>
          </w:p>
        </w:tc>
        <w:tc>
          <w:tcPr>
            <w:tcW w:w="184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C61B66"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Dinamica baza de calcul 2022/2021</w:t>
            </w:r>
          </w:p>
        </w:tc>
        <w:tc>
          <w:tcPr>
            <w:tcW w:w="1417" w:type="dxa"/>
            <w:gridSpan w:val="2"/>
            <w:tcBorders>
              <w:top w:val="single" w:sz="4" w:space="0" w:color="auto"/>
              <w:left w:val="nil"/>
              <w:bottom w:val="single" w:sz="4" w:space="0" w:color="auto"/>
              <w:right w:val="single" w:sz="4" w:space="0" w:color="auto"/>
            </w:tcBorders>
            <w:shd w:val="clear" w:color="auto" w:fill="FFFFFF" w:themeFill="background1"/>
            <w:vAlign w:val="bottom"/>
            <w:hideMark/>
          </w:tcPr>
          <w:p w14:paraId="7515E946"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Dinamica suma contribuțiilor 2022/2021</w:t>
            </w:r>
          </w:p>
        </w:tc>
      </w:tr>
      <w:tr w:rsidR="00DB70CA" w:rsidRPr="00B7675F" w14:paraId="00B025FF" w14:textId="77777777" w:rsidTr="00B27804">
        <w:trPr>
          <w:trHeight w:val="1140"/>
        </w:trPr>
        <w:tc>
          <w:tcPr>
            <w:tcW w:w="225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EF952" w14:textId="77777777" w:rsidR="00DB70CA" w:rsidRPr="00736448" w:rsidRDefault="00DB70CA" w:rsidP="00B27804">
            <w:pPr>
              <w:spacing w:after="0" w:line="240" w:lineRule="auto"/>
              <w:rPr>
                <w:rFonts w:asciiTheme="majorHAnsi" w:eastAsia="Times New Roman" w:hAnsiTheme="majorHAnsi" w:cstheme="majorHAnsi"/>
                <w:b/>
                <w:bCs/>
                <w:color w:val="333333"/>
                <w:sz w:val="16"/>
                <w:szCs w:val="18"/>
                <w:lang w:val="ro-MD"/>
              </w:rPr>
            </w:pPr>
          </w:p>
        </w:tc>
        <w:tc>
          <w:tcPr>
            <w:tcW w:w="198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FB5A0" w14:textId="77777777" w:rsidR="00DB70CA" w:rsidRPr="00736448" w:rsidRDefault="00DB70CA" w:rsidP="00B27804">
            <w:pPr>
              <w:spacing w:after="0" w:line="240" w:lineRule="auto"/>
              <w:rPr>
                <w:rFonts w:asciiTheme="majorHAnsi" w:eastAsia="Times New Roman" w:hAnsiTheme="majorHAnsi" w:cstheme="majorHAnsi"/>
                <w:b/>
                <w:bCs/>
                <w:color w:val="333333"/>
                <w:sz w:val="16"/>
                <w:szCs w:val="18"/>
                <w:lang w:val="ro-MD"/>
              </w:rPr>
            </w:pPr>
          </w:p>
        </w:tc>
        <w:tc>
          <w:tcPr>
            <w:tcW w:w="854" w:type="dxa"/>
            <w:tcBorders>
              <w:top w:val="nil"/>
              <w:left w:val="nil"/>
              <w:bottom w:val="single" w:sz="4" w:space="0" w:color="auto"/>
              <w:right w:val="single" w:sz="4" w:space="0" w:color="auto"/>
            </w:tcBorders>
            <w:shd w:val="clear" w:color="auto" w:fill="FFFFFF" w:themeFill="background1"/>
            <w:vAlign w:val="center"/>
            <w:hideMark/>
          </w:tcPr>
          <w:p w14:paraId="26B7981D"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Numărul mediu al contribuabililor (salariaților)</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C5353F8" w14:textId="7901AE9E"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Suma bazei de calcul a</w:t>
            </w:r>
            <w:r w:rsidR="002D2A2D">
              <w:rPr>
                <w:rFonts w:asciiTheme="majorHAnsi" w:eastAsia="Times New Roman" w:hAnsiTheme="majorHAnsi" w:cstheme="majorHAnsi"/>
                <w:b/>
                <w:bCs/>
                <w:color w:val="000000"/>
                <w:sz w:val="16"/>
                <w:szCs w:val="18"/>
                <w:lang w:val="ro-MD"/>
              </w:rPr>
              <w:t>l</w:t>
            </w:r>
            <w:r w:rsidRPr="00736448">
              <w:rPr>
                <w:rFonts w:asciiTheme="majorHAnsi" w:eastAsia="Times New Roman" w:hAnsiTheme="majorHAnsi" w:cstheme="majorHAnsi"/>
                <w:b/>
                <w:bCs/>
                <w:color w:val="000000"/>
                <w:sz w:val="16"/>
                <w:szCs w:val="18"/>
                <w:lang w:val="ro-MD"/>
              </w:rPr>
              <w:t xml:space="preserve"> contribuțiilor conform tarifelor, mii lei</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53C93D37"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Suma contribuțiilor calculate, mii lei</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A3E4503"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Numărul mediu al contribuabililor (salariaților)</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71EA82B7" w14:textId="34D3E2F1"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Suma bazei de calcul a</w:t>
            </w:r>
            <w:r w:rsidR="002D2A2D">
              <w:rPr>
                <w:rFonts w:asciiTheme="majorHAnsi" w:eastAsia="Times New Roman" w:hAnsiTheme="majorHAnsi" w:cstheme="majorHAnsi"/>
                <w:b/>
                <w:bCs/>
                <w:color w:val="000000"/>
                <w:sz w:val="16"/>
                <w:szCs w:val="18"/>
                <w:lang w:val="ro-MD"/>
              </w:rPr>
              <w:t>l</w:t>
            </w:r>
            <w:r w:rsidRPr="00736448">
              <w:rPr>
                <w:rFonts w:asciiTheme="majorHAnsi" w:eastAsia="Times New Roman" w:hAnsiTheme="majorHAnsi" w:cstheme="majorHAnsi"/>
                <w:b/>
                <w:bCs/>
                <w:color w:val="000000"/>
                <w:sz w:val="16"/>
                <w:szCs w:val="18"/>
                <w:lang w:val="ro-MD"/>
              </w:rPr>
              <w:t xml:space="preserve"> contribuțiilor conform tarifelor, mii lei</w:t>
            </w:r>
          </w:p>
        </w:tc>
        <w:tc>
          <w:tcPr>
            <w:tcW w:w="994" w:type="dxa"/>
            <w:tcBorders>
              <w:top w:val="nil"/>
              <w:left w:val="nil"/>
              <w:bottom w:val="single" w:sz="4" w:space="0" w:color="auto"/>
              <w:right w:val="single" w:sz="4" w:space="0" w:color="auto"/>
            </w:tcBorders>
            <w:shd w:val="clear" w:color="auto" w:fill="FFFFFF" w:themeFill="background1"/>
            <w:vAlign w:val="center"/>
            <w:hideMark/>
          </w:tcPr>
          <w:p w14:paraId="4CA5A5A2"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Suma contribuțiilor calculate, mii lei</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09D01B23"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Număr</w:t>
            </w:r>
          </w:p>
        </w:tc>
        <w:tc>
          <w:tcPr>
            <w:tcW w:w="795" w:type="dxa"/>
            <w:tcBorders>
              <w:top w:val="nil"/>
              <w:left w:val="nil"/>
              <w:bottom w:val="single" w:sz="4" w:space="0" w:color="auto"/>
              <w:right w:val="single" w:sz="4" w:space="0" w:color="auto"/>
            </w:tcBorders>
            <w:shd w:val="clear" w:color="auto" w:fill="FFFFFF" w:themeFill="background1"/>
            <w:vAlign w:val="center"/>
            <w:hideMark/>
          </w:tcPr>
          <w:p w14:paraId="0FADB4AE"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F93C13"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Sumă</w:t>
            </w:r>
          </w:p>
        </w:tc>
        <w:tc>
          <w:tcPr>
            <w:tcW w:w="853" w:type="dxa"/>
            <w:tcBorders>
              <w:top w:val="nil"/>
              <w:left w:val="nil"/>
              <w:bottom w:val="single" w:sz="4" w:space="0" w:color="auto"/>
              <w:right w:val="single" w:sz="4" w:space="0" w:color="auto"/>
            </w:tcBorders>
            <w:shd w:val="clear" w:color="auto" w:fill="FFFFFF" w:themeFill="background1"/>
            <w:vAlign w:val="center"/>
            <w:hideMark/>
          </w:tcPr>
          <w:p w14:paraId="1582559C"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41AF7B2"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Sumă</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99D4014"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w:t>
            </w:r>
          </w:p>
        </w:tc>
      </w:tr>
      <w:tr w:rsidR="00DB70CA" w:rsidRPr="00B7675F" w14:paraId="3BA35E5D" w14:textId="77777777" w:rsidTr="00B27804">
        <w:trPr>
          <w:trHeight w:val="288"/>
        </w:trPr>
        <w:tc>
          <w:tcPr>
            <w:tcW w:w="2258"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AE5C3E" w14:textId="77777777" w:rsidR="00DB70CA" w:rsidRPr="00736448" w:rsidRDefault="00DB70CA" w:rsidP="00B27804">
            <w:pPr>
              <w:spacing w:after="0" w:line="240" w:lineRule="auto"/>
              <w:jc w:val="center"/>
              <w:rPr>
                <w:rFonts w:asciiTheme="majorHAnsi" w:eastAsia="Times New Roman" w:hAnsiTheme="majorHAnsi" w:cstheme="majorHAnsi"/>
                <w:b/>
                <w:bCs/>
                <w:color w:val="333333"/>
                <w:sz w:val="16"/>
                <w:szCs w:val="18"/>
                <w:lang w:val="ro-MD"/>
              </w:rPr>
            </w:pPr>
            <w:r w:rsidRPr="00736448">
              <w:rPr>
                <w:rFonts w:asciiTheme="majorHAnsi" w:eastAsia="Times New Roman" w:hAnsiTheme="majorHAnsi" w:cstheme="majorHAnsi"/>
                <w:b/>
                <w:bCs/>
                <w:color w:val="333333"/>
                <w:sz w:val="16"/>
                <w:szCs w:val="18"/>
                <w:lang w:val="ro-MD"/>
              </w:rPr>
              <w:t>1</w:t>
            </w:r>
          </w:p>
        </w:tc>
        <w:tc>
          <w:tcPr>
            <w:tcW w:w="1981" w:type="dxa"/>
            <w:tcBorders>
              <w:top w:val="nil"/>
              <w:left w:val="nil"/>
              <w:bottom w:val="single" w:sz="4" w:space="0" w:color="auto"/>
              <w:right w:val="single" w:sz="4" w:space="0" w:color="auto"/>
            </w:tcBorders>
            <w:shd w:val="clear" w:color="auto" w:fill="FFFFFF" w:themeFill="background1"/>
            <w:vAlign w:val="center"/>
            <w:hideMark/>
          </w:tcPr>
          <w:p w14:paraId="3C155745" w14:textId="77777777" w:rsidR="00DB70CA" w:rsidRPr="00736448" w:rsidRDefault="00DB70CA" w:rsidP="00B27804">
            <w:pPr>
              <w:spacing w:after="0" w:line="240" w:lineRule="auto"/>
              <w:jc w:val="center"/>
              <w:rPr>
                <w:rFonts w:asciiTheme="majorHAnsi" w:eastAsia="Times New Roman" w:hAnsiTheme="majorHAnsi" w:cstheme="majorHAnsi"/>
                <w:b/>
                <w:bCs/>
                <w:color w:val="333333"/>
                <w:sz w:val="16"/>
                <w:szCs w:val="18"/>
                <w:lang w:val="ro-MD"/>
              </w:rPr>
            </w:pPr>
            <w:r w:rsidRPr="00736448">
              <w:rPr>
                <w:rFonts w:asciiTheme="majorHAnsi" w:eastAsia="Times New Roman" w:hAnsiTheme="majorHAnsi" w:cstheme="majorHAnsi"/>
                <w:b/>
                <w:bCs/>
                <w:color w:val="333333"/>
                <w:sz w:val="16"/>
                <w:szCs w:val="18"/>
                <w:lang w:val="ro-MD"/>
              </w:rPr>
              <w:t>2</w:t>
            </w:r>
          </w:p>
        </w:tc>
        <w:tc>
          <w:tcPr>
            <w:tcW w:w="854" w:type="dxa"/>
            <w:tcBorders>
              <w:top w:val="nil"/>
              <w:left w:val="nil"/>
              <w:bottom w:val="single" w:sz="4" w:space="0" w:color="auto"/>
              <w:right w:val="single" w:sz="4" w:space="0" w:color="auto"/>
            </w:tcBorders>
            <w:shd w:val="clear" w:color="auto" w:fill="FFFFFF" w:themeFill="background1"/>
            <w:vAlign w:val="center"/>
            <w:hideMark/>
          </w:tcPr>
          <w:p w14:paraId="19C1BF81"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3</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8DC8364"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4</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EA970C3"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5</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557D616"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5BCDD89"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7</w:t>
            </w:r>
          </w:p>
        </w:tc>
        <w:tc>
          <w:tcPr>
            <w:tcW w:w="994" w:type="dxa"/>
            <w:tcBorders>
              <w:top w:val="nil"/>
              <w:left w:val="nil"/>
              <w:bottom w:val="single" w:sz="4" w:space="0" w:color="auto"/>
              <w:right w:val="single" w:sz="4" w:space="0" w:color="auto"/>
            </w:tcBorders>
            <w:shd w:val="clear" w:color="auto" w:fill="FFFFFF" w:themeFill="background1"/>
            <w:vAlign w:val="center"/>
            <w:hideMark/>
          </w:tcPr>
          <w:p w14:paraId="498BBEEA"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8</w:t>
            </w:r>
          </w:p>
        </w:tc>
        <w:tc>
          <w:tcPr>
            <w:tcW w:w="766" w:type="dxa"/>
            <w:tcBorders>
              <w:top w:val="nil"/>
              <w:left w:val="nil"/>
              <w:bottom w:val="single" w:sz="4" w:space="0" w:color="auto"/>
              <w:right w:val="single" w:sz="4" w:space="0" w:color="auto"/>
            </w:tcBorders>
            <w:shd w:val="clear" w:color="auto" w:fill="FFFFFF" w:themeFill="background1"/>
            <w:vAlign w:val="center"/>
            <w:hideMark/>
          </w:tcPr>
          <w:p w14:paraId="1127F14D"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9=6-3</w:t>
            </w:r>
          </w:p>
        </w:tc>
        <w:tc>
          <w:tcPr>
            <w:tcW w:w="795" w:type="dxa"/>
            <w:tcBorders>
              <w:top w:val="nil"/>
              <w:left w:val="nil"/>
              <w:bottom w:val="single" w:sz="4" w:space="0" w:color="auto"/>
              <w:right w:val="single" w:sz="4" w:space="0" w:color="auto"/>
            </w:tcBorders>
            <w:shd w:val="clear" w:color="auto" w:fill="FFFFFF" w:themeFill="background1"/>
            <w:vAlign w:val="center"/>
            <w:hideMark/>
          </w:tcPr>
          <w:p w14:paraId="4460C5BA"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10=6/3*100</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4F8E5799" w14:textId="77777777" w:rsidR="00DB70CA" w:rsidRPr="00736448" w:rsidRDefault="00DB70CA" w:rsidP="00B27804">
            <w:pPr>
              <w:spacing w:after="0" w:line="240" w:lineRule="auto"/>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11=7-4</w:t>
            </w:r>
          </w:p>
        </w:tc>
        <w:tc>
          <w:tcPr>
            <w:tcW w:w="853" w:type="dxa"/>
            <w:tcBorders>
              <w:top w:val="nil"/>
              <w:left w:val="nil"/>
              <w:bottom w:val="single" w:sz="4" w:space="0" w:color="auto"/>
              <w:right w:val="single" w:sz="4" w:space="0" w:color="auto"/>
            </w:tcBorders>
            <w:shd w:val="clear" w:color="auto" w:fill="FFFFFF" w:themeFill="background1"/>
            <w:noWrap/>
            <w:vAlign w:val="bottom"/>
            <w:hideMark/>
          </w:tcPr>
          <w:p w14:paraId="22C3590F" w14:textId="77777777" w:rsidR="00DB70CA" w:rsidRPr="00736448" w:rsidRDefault="00DB70CA" w:rsidP="00B27804">
            <w:pPr>
              <w:spacing w:after="0" w:line="240" w:lineRule="auto"/>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12=7/4</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3B3C4B13" w14:textId="77777777" w:rsidR="00DB70CA" w:rsidRPr="00736448" w:rsidRDefault="00DB70CA" w:rsidP="00B27804">
            <w:pPr>
              <w:spacing w:after="0" w:line="240" w:lineRule="auto"/>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13=8-5</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1318DB57" w14:textId="77777777" w:rsidR="00DB70CA" w:rsidRPr="00736448" w:rsidRDefault="00DB70CA" w:rsidP="00B27804">
            <w:pPr>
              <w:spacing w:after="0" w:line="240" w:lineRule="auto"/>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14=8/5</w:t>
            </w:r>
          </w:p>
        </w:tc>
      </w:tr>
      <w:tr w:rsidR="00DB70CA" w:rsidRPr="00B7675F" w14:paraId="1D3CFF6A" w14:textId="77777777" w:rsidTr="00B27804">
        <w:trPr>
          <w:trHeight w:val="1680"/>
        </w:trPr>
        <w:tc>
          <w:tcPr>
            <w:tcW w:w="2258" w:type="dxa"/>
            <w:vMerge w:val="restart"/>
            <w:tcBorders>
              <w:top w:val="nil"/>
              <w:left w:val="single" w:sz="4" w:space="0" w:color="auto"/>
              <w:bottom w:val="single" w:sz="4" w:space="0" w:color="auto"/>
              <w:right w:val="single" w:sz="4" w:space="0" w:color="auto"/>
            </w:tcBorders>
            <w:shd w:val="clear" w:color="auto" w:fill="FFFFFF" w:themeFill="background1"/>
            <w:hideMark/>
          </w:tcPr>
          <w:p w14:paraId="0567F3C0"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1.1. Angajatorul, persoana juridică sau fizică asimilată angajatorului: pentru persoanele angajate prin contract individual de muncă, persoanele aflate în raporturi de serviciu în baza actului administrativ ori prin alte tipuri de contracte civile în vederea executării de lucrări sau prestării de servicii, cu excepția celor specificate la pct. 1.2–1.5; pentru angajații și/sau alte persoane fizice, în baza contractelor civile, în vederea executării de lucrări sau prestării de servicii, în cazul rezidenților parcurilor pentru tehnologia informației; pentru cetățenii Republicii Moldova angajați prin contract în proiecte, în instituții și organizații internaționale, indiferent de sursa de finanțare a activităților, în cazul în care acordurile internaționale la care Republica Moldova este parte nu prevăd scutirea de plată a contribuțiilor de asigurări sociale de stat obligatorii; pentru persoanele care desfășoară activitate în funcții elective ori sunt numite în cadrul autorităților executive; pentru judecători, procurori, Avocați ai Poporului</w:t>
            </w:r>
          </w:p>
        </w:tc>
        <w:tc>
          <w:tcPr>
            <w:tcW w:w="1981" w:type="dxa"/>
            <w:tcBorders>
              <w:top w:val="nil"/>
              <w:left w:val="nil"/>
              <w:bottom w:val="single" w:sz="4" w:space="0" w:color="auto"/>
              <w:right w:val="single" w:sz="4" w:space="0" w:color="auto"/>
            </w:tcBorders>
            <w:shd w:val="clear" w:color="auto" w:fill="FFFFFF" w:themeFill="background1"/>
            <w:hideMark/>
          </w:tcPr>
          <w:p w14:paraId="7FFEB7AE"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29% la suma salariilor și recompenselor calculate lunar pentru toți angajații pentru angajatorii autorităților/instituțiilor bugetare și autorităților/ instituțiilor publice la autogestiune, cu excepția instituțiilor de învățământ superior și a instituțiilor medico-sanitare</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69D9917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185235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AAF24E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16884940,3</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C26959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4896628,7</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F46ABF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181845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540B75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19146426,2</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6EC75C4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5552461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712CD6E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-3390</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603E441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98,17%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FC7529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2261485,9</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2CB9419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113,39%</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5A159DD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655832,3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A55EBA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113,39%</w:t>
            </w:r>
          </w:p>
        </w:tc>
      </w:tr>
      <w:tr w:rsidR="00DB70CA" w:rsidRPr="00B7675F" w14:paraId="59BBE57D" w14:textId="77777777" w:rsidTr="00B27804">
        <w:trPr>
          <w:trHeight w:val="1200"/>
        </w:trPr>
        <w:tc>
          <w:tcPr>
            <w:tcW w:w="225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81F5861" w14:textId="77777777" w:rsidR="00DB70CA" w:rsidRPr="00736448" w:rsidRDefault="00DB70CA" w:rsidP="00B27804">
            <w:pPr>
              <w:spacing w:after="0" w:line="240" w:lineRule="auto"/>
              <w:rPr>
                <w:rFonts w:asciiTheme="majorHAnsi" w:eastAsia="Times New Roman" w:hAnsiTheme="majorHAnsi" w:cstheme="majorHAnsi"/>
                <w:color w:val="333333"/>
                <w:sz w:val="16"/>
                <w:szCs w:val="18"/>
                <w:lang w:val="ro-MD"/>
              </w:rPr>
            </w:pPr>
          </w:p>
        </w:tc>
        <w:tc>
          <w:tcPr>
            <w:tcW w:w="1981" w:type="dxa"/>
            <w:tcBorders>
              <w:top w:val="nil"/>
              <w:left w:val="nil"/>
              <w:bottom w:val="single" w:sz="4" w:space="0" w:color="auto"/>
              <w:right w:val="single" w:sz="4" w:space="0" w:color="auto"/>
            </w:tcBorders>
            <w:shd w:val="clear" w:color="auto" w:fill="FFFFFF" w:themeFill="background1"/>
            <w:hideMark/>
          </w:tcPr>
          <w:p w14:paraId="758E5707"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24% la suma salariilor și recompenselor calculate lunar pentru toți angajații, pentru angajatorii sectorului privat, instituțiilor de învățământ superior și ai instituțiilor medico-sanitare</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70ADA6E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550769</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0E97D7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45622905,8</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87FB81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10949624,4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6C727F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552622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155437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52378500,8</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1F09F51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12570863,5</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5C0B2F91"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1853</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342CB5D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100,34%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2484BE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6755595,0</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1A9588A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114,81%</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75A777E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1621239,1</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4AFDCF1"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114,81%</w:t>
            </w:r>
          </w:p>
        </w:tc>
      </w:tr>
      <w:tr w:rsidR="00DB70CA" w:rsidRPr="00B7675F" w14:paraId="0946E0B3" w14:textId="77777777" w:rsidTr="00B27804">
        <w:trPr>
          <w:trHeight w:val="1440"/>
        </w:trPr>
        <w:tc>
          <w:tcPr>
            <w:tcW w:w="2258"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85FC162"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1.2. Angajatorul pentru persoanele angajate prin contract individual de muncă ori prin alte contracte în vederea executării de lucrări sau prestării de servicii, care activează în condiții speciale de muncă conform anexei nr. 2</w:t>
            </w:r>
          </w:p>
        </w:tc>
        <w:tc>
          <w:tcPr>
            <w:tcW w:w="1981" w:type="dxa"/>
            <w:tcBorders>
              <w:top w:val="nil"/>
              <w:left w:val="nil"/>
              <w:bottom w:val="single" w:sz="4" w:space="0" w:color="auto"/>
              <w:right w:val="single" w:sz="4" w:space="0" w:color="auto"/>
            </w:tcBorders>
            <w:shd w:val="clear" w:color="auto" w:fill="FFFFFF" w:themeFill="background1"/>
            <w:hideMark/>
          </w:tcPr>
          <w:p w14:paraId="2C8A7F54"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39% la suma salariilor și recompenselor calculate lunar pentru toți angajații, pentru angajatorii autorităților/ instituțiilor bugetare și autorităților/ instituțiilor publice la autogestiune, cu excepția angajatorilor sectorului privat</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5843923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217</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34DBDA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3066,5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87239F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1196,0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126815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D3C9A75"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764,4</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38FE48A8"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298</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0E3619D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-215</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4C89370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0,92%</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710C1B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-2302,1</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68E354FA"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24,93%</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743FE511"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-898,0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243ACB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24,92%</w:t>
            </w:r>
          </w:p>
        </w:tc>
      </w:tr>
      <w:tr w:rsidR="00DB70CA" w:rsidRPr="00B7675F" w14:paraId="274F2260" w14:textId="77777777" w:rsidTr="00B27804">
        <w:trPr>
          <w:trHeight w:val="720"/>
        </w:trPr>
        <w:tc>
          <w:tcPr>
            <w:tcW w:w="2258"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F26E72D" w14:textId="77777777" w:rsidR="00DB70CA" w:rsidRPr="00736448" w:rsidRDefault="00DB70CA" w:rsidP="00B27804">
            <w:pPr>
              <w:spacing w:after="0" w:line="240" w:lineRule="auto"/>
              <w:rPr>
                <w:rFonts w:asciiTheme="majorHAnsi" w:eastAsia="Times New Roman" w:hAnsiTheme="majorHAnsi" w:cstheme="majorHAnsi"/>
                <w:color w:val="333333"/>
                <w:sz w:val="16"/>
                <w:szCs w:val="18"/>
                <w:lang w:val="ro-MD"/>
              </w:rPr>
            </w:pPr>
          </w:p>
        </w:tc>
        <w:tc>
          <w:tcPr>
            <w:tcW w:w="1981" w:type="dxa"/>
            <w:tcBorders>
              <w:top w:val="nil"/>
              <w:left w:val="nil"/>
              <w:bottom w:val="single" w:sz="4" w:space="0" w:color="auto"/>
              <w:right w:val="single" w:sz="4" w:space="0" w:color="auto"/>
            </w:tcBorders>
            <w:shd w:val="clear" w:color="auto" w:fill="FFFFFF" w:themeFill="background1"/>
            <w:hideMark/>
          </w:tcPr>
          <w:p w14:paraId="127F9360"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32% la suma salariilor și recompenselor calculate lunar pentru toți angajații pentru angajatorii sectorului privat</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43457E4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520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C0935D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145516,3</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862613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46564,8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138C0C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607</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948F39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244278,6</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1EB63C3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78169,7</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503067E3"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87</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6C0E56D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116,73%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D274F9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98762,3</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68258F6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167,87%</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03FB2EC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31604,9</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63E18E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167,87%</w:t>
            </w:r>
          </w:p>
        </w:tc>
      </w:tr>
      <w:tr w:rsidR="00DB70CA" w:rsidRPr="00B7675F" w14:paraId="0A429756" w14:textId="77777777" w:rsidTr="00B27804">
        <w:trPr>
          <w:trHeight w:val="120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21E69465"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1.3. Persoanele care exercită independent profesiunea de medic în una dintre formele de organizare a activității profesionale prevăzute de Legea ocrotirii sănătății nr. 411/1995</w:t>
            </w:r>
          </w:p>
        </w:tc>
        <w:tc>
          <w:tcPr>
            <w:tcW w:w="1981" w:type="dxa"/>
            <w:tcBorders>
              <w:top w:val="nil"/>
              <w:left w:val="nil"/>
              <w:bottom w:val="single" w:sz="4" w:space="0" w:color="auto"/>
              <w:right w:val="single" w:sz="4" w:space="0" w:color="auto"/>
            </w:tcBorders>
            <w:shd w:val="clear" w:color="auto" w:fill="FFFFFF" w:themeFill="background1"/>
            <w:hideMark/>
          </w:tcPr>
          <w:p w14:paraId="25D7A02A"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24% la venitul medicului de familie titular al practicii medicului de familie, determinat în conformitate cu prevederile legislației</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5C282AF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C046EE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13050,4</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11EE6AA"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3132,1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983C653"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39</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F5C2B55"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13829,7</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5DF712C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3320,2</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6A9921C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0FB1D14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86,67%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3B709B5"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779,3</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0FFC27F8"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105,97%</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579605F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188,1</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16EFF3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106,01%</w:t>
            </w:r>
          </w:p>
        </w:tc>
      </w:tr>
      <w:tr w:rsidR="00DB70CA" w:rsidRPr="00B7675F" w14:paraId="33B67B7B" w14:textId="77777777" w:rsidTr="00B27804">
        <w:trPr>
          <w:trHeight w:val="72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37B47F5B"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1.4. Rezidenții parcurilor pentru tehnologia informației</w:t>
            </w:r>
          </w:p>
        </w:tc>
        <w:tc>
          <w:tcPr>
            <w:tcW w:w="1981" w:type="dxa"/>
            <w:tcBorders>
              <w:top w:val="nil"/>
              <w:left w:val="nil"/>
              <w:bottom w:val="single" w:sz="4" w:space="0" w:color="auto"/>
              <w:right w:val="single" w:sz="4" w:space="0" w:color="auto"/>
            </w:tcBorders>
            <w:shd w:val="clear" w:color="auto" w:fill="FFFFFF" w:themeFill="background1"/>
            <w:hideMark/>
          </w:tcPr>
          <w:p w14:paraId="228699FB"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În conformitate cu prevederile Legii nr. 77/2016 cu privire la parcurile pentru tehnologia informației</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20CDF67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18808</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1874391A"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DBF4B13"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297370,9</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EAFED51"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18072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E303F53"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4BFA399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432271,7</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597FC84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-736</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1633C3C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96,09%</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AEB9884"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1B46E243"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0962E3C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134900,8</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1CA29E8"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145,36%</w:t>
            </w:r>
          </w:p>
        </w:tc>
      </w:tr>
      <w:tr w:rsidR="00DB70CA" w:rsidRPr="00B7675F" w14:paraId="16AB049B" w14:textId="77777777" w:rsidTr="00B27804">
        <w:trPr>
          <w:trHeight w:val="264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7AABDB1F"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1.5. Angajatorii din agricultură (persoane fizice și juridice) care practică în decursul perioadei de gestiune nu mai puțin de 95% din activitățile stipulate în grupele 01.1–01.6 din Clasificatorul activităților din economia Moldovei pentru persoanele angajate prin contract individual de muncă ori prin alte contracte în vederea executării de lucrări sau prestării de servicii:</w:t>
            </w:r>
          </w:p>
        </w:tc>
        <w:tc>
          <w:tcPr>
            <w:tcW w:w="1981" w:type="dxa"/>
            <w:tcBorders>
              <w:top w:val="nil"/>
              <w:left w:val="nil"/>
              <w:bottom w:val="single" w:sz="4" w:space="0" w:color="auto"/>
              <w:right w:val="single" w:sz="4" w:space="0" w:color="auto"/>
            </w:tcBorders>
            <w:shd w:val="clear" w:color="auto" w:fill="FFFFFF" w:themeFill="background1"/>
            <w:hideMark/>
          </w:tcPr>
          <w:p w14:paraId="2E02325E" w14:textId="577CAD0E"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24% la suma salariilor și recompenselor calculate lunar pentru toți angajații               18% la suma salariilor și recompenselor calculate lunar pentru toți angajații  - di</w:t>
            </w:r>
            <w:r w:rsidR="002D2A2D">
              <w:rPr>
                <w:rFonts w:asciiTheme="majorHAnsi" w:eastAsia="Times New Roman" w:hAnsiTheme="majorHAnsi" w:cstheme="majorHAnsi"/>
                <w:color w:val="333333"/>
                <w:sz w:val="16"/>
                <w:szCs w:val="18"/>
                <w:lang w:val="ro-MD"/>
              </w:rPr>
              <w:t xml:space="preserve">n </w:t>
            </w:r>
            <w:r w:rsidRPr="00736448">
              <w:rPr>
                <w:rFonts w:asciiTheme="majorHAnsi" w:eastAsia="Times New Roman" w:hAnsiTheme="majorHAnsi" w:cstheme="majorHAnsi"/>
                <w:color w:val="333333"/>
                <w:sz w:val="16"/>
                <w:szCs w:val="18"/>
                <w:lang w:val="ro-MD"/>
              </w:rPr>
              <w:t>mijloacele angajatorului                         6% la suma salariilor și recompenselor calculate lunar pentru toți angajații - de la bugetul de stat</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25530E9A"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24041</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7E63E43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1288672,1</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937DE23"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309292,5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F51C6C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22344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F44510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1446843,3</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4AE5805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347250,9</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61795AA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-1697</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07988D3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92,94%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26E662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158171,2</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6052951A"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112,27%</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5B2EEE9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37958,4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284407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112,27%</w:t>
            </w:r>
          </w:p>
        </w:tc>
      </w:tr>
      <w:tr w:rsidR="00DB70CA" w:rsidRPr="00B7675F" w14:paraId="64722C2D" w14:textId="77777777" w:rsidTr="00B27804">
        <w:trPr>
          <w:trHeight w:val="408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39DC7830"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1.6. Persoanele fizice, cu excepția pensionarilor, persoanelor cu dizabilități, precum și a persoanelor care se încadrează în categoriile de plătitori prevăzute la pct. 1.1–1.5, care se regăsesc în una dintre situațiile: – fondatori ai întreprinderilor individuale, inclusiv fondatori ai gospodăriilor țărănești (de fermier); – persoane fizice care desfășoară activități independente în domeniul comerțului cu amănuntul, cu excepția comerțului cu mărfuri supuse accizelor; – persoanele fizice care exercită activităţi în domeniul achizițiilor de produse din fitotehnie și/sau horticultură și/sau de obiecte ale regnului vegetal</w:t>
            </w:r>
          </w:p>
        </w:tc>
        <w:tc>
          <w:tcPr>
            <w:tcW w:w="1981" w:type="dxa"/>
            <w:tcBorders>
              <w:top w:val="nil"/>
              <w:left w:val="nil"/>
              <w:bottom w:val="single" w:sz="4" w:space="0" w:color="auto"/>
              <w:right w:val="single" w:sz="4" w:space="0" w:color="auto"/>
            </w:tcBorders>
            <w:shd w:val="clear" w:color="auto" w:fill="FFFFFF" w:themeFill="background1"/>
            <w:hideMark/>
          </w:tcPr>
          <w:p w14:paraId="59FBA706" w14:textId="6507CD0C"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Taxă fixă în conformitate cu legea bugetului asigurărilor sociale de stat anuală</w:t>
            </w:r>
            <w:r w:rsidR="002D2A2D">
              <w:rPr>
                <w:rFonts w:asciiTheme="majorHAnsi" w:eastAsia="Times New Roman" w:hAnsiTheme="majorHAnsi" w:cstheme="majorHAnsi"/>
                <w:color w:val="333333"/>
                <w:sz w:val="16"/>
                <w:szCs w:val="18"/>
                <w:lang w:val="ro-MD"/>
              </w:rPr>
              <w:t xml:space="preserve"> –</w:t>
            </w:r>
            <w:r w:rsidRPr="00736448">
              <w:rPr>
                <w:rFonts w:asciiTheme="majorHAnsi" w:eastAsia="Times New Roman" w:hAnsiTheme="majorHAnsi" w:cstheme="majorHAnsi"/>
                <w:color w:val="333333"/>
                <w:sz w:val="16"/>
                <w:szCs w:val="18"/>
                <w:lang w:val="ro-MD"/>
              </w:rPr>
              <w:t xml:space="preserve"> 12</w:t>
            </w:r>
            <w:r w:rsidR="002D2A2D">
              <w:rPr>
                <w:rFonts w:asciiTheme="majorHAnsi" w:eastAsia="Times New Roman" w:hAnsiTheme="majorHAnsi" w:cstheme="majorHAnsi"/>
                <w:color w:val="333333"/>
                <w:sz w:val="16"/>
                <w:szCs w:val="18"/>
                <w:lang w:val="ro-MD"/>
              </w:rPr>
              <w:t xml:space="preserve"> </w:t>
            </w:r>
            <w:r w:rsidRPr="00736448">
              <w:rPr>
                <w:rFonts w:asciiTheme="majorHAnsi" w:eastAsia="Times New Roman" w:hAnsiTheme="majorHAnsi" w:cstheme="majorHAnsi"/>
                <w:color w:val="333333"/>
                <w:sz w:val="16"/>
                <w:szCs w:val="18"/>
                <w:lang w:val="ro-MD"/>
              </w:rPr>
              <w:t>838 lei în anul 2022</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2643660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13438</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02ACD928"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C138E2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69060,6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5403D1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13534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C756A10"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5F72AA33"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79616,5</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4CF83DD1"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96</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6A686C3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100,71%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430C6C65"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4EA7468B"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024A12E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10555,9</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6EC3B135"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115,28%</w:t>
            </w:r>
          </w:p>
        </w:tc>
      </w:tr>
      <w:tr w:rsidR="00DB70CA" w:rsidRPr="00B7675F" w14:paraId="1FC61A87" w14:textId="77777777" w:rsidTr="00B27804">
        <w:trPr>
          <w:trHeight w:val="1488"/>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0B1596BD"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1.6</w:t>
            </w:r>
            <w:r w:rsidRPr="00736448">
              <w:rPr>
                <w:rFonts w:asciiTheme="majorHAnsi" w:eastAsia="Times New Roman" w:hAnsiTheme="majorHAnsi" w:cstheme="majorHAnsi"/>
                <w:color w:val="333333"/>
                <w:sz w:val="16"/>
                <w:szCs w:val="18"/>
                <w:vertAlign w:val="superscript"/>
                <w:lang w:val="ro-MD"/>
              </w:rPr>
              <w:t>1</w:t>
            </w:r>
            <w:r w:rsidRPr="00736448">
              <w:rPr>
                <w:rFonts w:asciiTheme="majorHAnsi" w:eastAsia="Times New Roman" w:hAnsiTheme="majorHAnsi" w:cstheme="majorHAnsi"/>
                <w:color w:val="333333"/>
                <w:sz w:val="16"/>
                <w:szCs w:val="18"/>
                <w:lang w:val="ro-MD"/>
              </w:rPr>
              <w:t>. Liber-profesioniştii ce practică activitate în sectorul justiţiei, cu excepţia pensionarilor, persoanelor cu dizabilități, precum și a persoanelor care se încadrează în categoriile de plătitori prevăzute la pct. 1.1–1.6</w:t>
            </w:r>
          </w:p>
        </w:tc>
        <w:tc>
          <w:tcPr>
            <w:tcW w:w="1981" w:type="dxa"/>
            <w:tcBorders>
              <w:top w:val="nil"/>
              <w:left w:val="nil"/>
              <w:bottom w:val="single" w:sz="4" w:space="0" w:color="auto"/>
              <w:right w:val="single" w:sz="4" w:space="0" w:color="auto"/>
            </w:tcBorders>
            <w:shd w:val="clear" w:color="auto" w:fill="FFFFFF" w:themeFill="background1"/>
            <w:hideMark/>
          </w:tcPr>
          <w:p w14:paraId="564482B6" w14:textId="0DB4605B"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Taxa fixă în conformitate cu legea bugetului asigurărilor sociale de stat anuală 24</w:t>
            </w:r>
            <w:r w:rsidR="002D2A2D">
              <w:rPr>
                <w:rFonts w:asciiTheme="majorHAnsi" w:eastAsia="Times New Roman" w:hAnsiTheme="majorHAnsi" w:cstheme="majorHAnsi"/>
                <w:color w:val="333333"/>
                <w:sz w:val="16"/>
                <w:szCs w:val="18"/>
                <w:lang w:val="ro-MD"/>
              </w:rPr>
              <w:t xml:space="preserve"> </w:t>
            </w:r>
            <w:r w:rsidRPr="00736448">
              <w:rPr>
                <w:rFonts w:asciiTheme="majorHAnsi" w:eastAsia="Times New Roman" w:hAnsiTheme="majorHAnsi" w:cstheme="majorHAnsi"/>
                <w:color w:val="333333"/>
                <w:sz w:val="16"/>
                <w:szCs w:val="18"/>
                <w:lang w:val="ro-MD"/>
              </w:rPr>
              <w:t>255 lei în anul 2022</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1D5766D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1740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D11476F"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AEE346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36478,7</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F5E484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1587</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5F07062F"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2B851CC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34954,1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2CAEDB9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-153</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4B2BC22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91,21%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68C4C4EF"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5FC3F271"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7B38CF4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-1524,6</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4D75157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95,82%</w:t>
            </w:r>
          </w:p>
        </w:tc>
      </w:tr>
      <w:tr w:rsidR="00DB70CA" w:rsidRPr="00B7675F" w14:paraId="1DB26374" w14:textId="77777777" w:rsidTr="00B27804">
        <w:trPr>
          <w:trHeight w:val="144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0DF476C7"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1.7. Titularii patentei de întreprinzător, cu excepția pensionarilor, persoanelor cu dizabilități, precum și a persoanelor care se încadrează în categoriile de plătitori prevăzute la pct. 1.1–1.6</w:t>
            </w:r>
            <w:r w:rsidRPr="00736448">
              <w:rPr>
                <w:rFonts w:asciiTheme="majorHAnsi" w:eastAsia="Times New Roman" w:hAnsiTheme="majorHAnsi" w:cstheme="majorHAnsi"/>
                <w:color w:val="333333"/>
                <w:sz w:val="16"/>
                <w:szCs w:val="18"/>
                <w:vertAlign w:val="superscript"/>
                <w:lang w:val="ro-MD"/>
              </w:rPr>
              <w:t>1</w:t>
            </w:r>
          </w:p>
        </w:tc>
        <w:tc>
          <w:tcPr>
            <w:tcW w:w="1981" w:type="dxa"/>
            <w:tcBorders>
              <w:top w:val="nil"/>
              <w:left w:val="nil"/>
              <w:bottom w:val="single" w:sz="4" w:space="0" w:color="auto"/>
              <w:right w:val="single" w:sz="4" w:space="0" w:color="auto"/>
            </w:tcBorders>
            <w:shd w:val="clear" w:color="auto" w:fill="FFFFFF" w:themeFill="background1"/>
            <w:hideMark/>
          </w:tcPr>
          <w:p w14:paraId="767D5993"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Taxă fixă în conformitate cu legea bugetului asigurărilor sociale de stat anuală, dar nu mai puțin de 1/12 din această sumă lunar, în funcție de durata activității desfășurate pe bază de patentă - 12838 lei anual</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41E25FD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4571</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4831292"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36C3A9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38273,4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7A116F2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4719</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9E11384"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1AB67038"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39485,6</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63FBCFD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148</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4E61271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103,24%</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0026BD10"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692FB865"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66C1F3A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1212,2</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39AC2FC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103,17%</w:t>
            </w:r>
          </w:p>
        </w:tc>
      </w:tr>
      <w:tr w:rsidR="00DB70CA" w:rsidRPr="00B7675F" w14:paraId="655365FA" w14:textId="77777777" w:rsidTr="00B27804">
        <w:trPr>
          <w:trHeight w:val="144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5F9E1169"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1.8. Angajatorul din domeniul transportului rutier de persoane în regim de taxi – pentru persoanele angajate prin contract individual de muncă care efectuează transport rutier de persoane în regim de taxi</w:t>
            </w:r>
          </w:p>
        </w:tc>
        <w:tc>
          <w:tcPr>
            <w:tcW w:w="1981" w:type="dxa"/>
            <w:tcBorders>
              <w:top w:val="nil"/>
              <w:left w:val="nil"/>
              <w:bottom w:val="single" w:sz="4" w:space="0" w:color="auto"/>
              <w:right w:val="single" w:sz="4" w:space="0" w:color="auto"/>
            </w:tcBorders>
            <w:shd w:val="clear" w:color="auto" w:fill="FFFFFF" w:themeFill="background1"/>
            <w:hideMark/>
          </w:tcPr>
          <w:p w14:paraId="4E0ED2CB"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Taxă fixă în conformitate cu legea bugetului asigurărilor sociale de stat anuală - 12838 lei</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29B993E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4030</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4F6CF7AA"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266054F"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36727,0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EE6654A"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3077</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7C8AD90"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58B7337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35131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073D76DB"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-953</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5C056C4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76,35%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5716B209"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1CB8D47F"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79BCBBB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-1596,0</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587A426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95,65%</w:t>
            </w:r>
          </w:p>
        </w:tc>
      </w:tr>
      <w:tr w:rsidR="00DB70CA" w:rsidRPr="00B7675F" w14:paraId="085CC2BD" w14:textId="77777777" w:rsidTr="00B27804">
        <w:trPr>
          <w:trHeight w:val="240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4B7C16DD"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1.9. Beneficiarii – pentru persoanele fizice care exercită activități în calitate de zilieri în temeiul Legii nr. 22/2018 privind exercitarea unei activități necalificate cu caracter ocazional desfășurate de zilieri, cu excepția pensionarilor, persoanelor cu dizabilități, precum şi a persoanelor care se încadrează în categoriile de plătitori prevăzute la pct.1.1–1.8</w:t>
            </w:r>
          </w:p>
        </w:tc>
        <w:tc>
          <w:tcPr>
            <w:tcW w:w="1981" w:type="dxa"/>
            <w:tcBorders>
              <w:top w:val="nil"/>
              <w:left w:val="nil"/>
              <w:bottom w:val="single" w:sz="4" w:space="0" w:color="auto"/>
              <w:right w:val="single" w:sz="4" w:space="0" w:color="auto"/>
            </w:tcBorders>
            <w:shd w:val="clear" w:color="auto" w:fill="FFFFFF" w:themeFill="background1"/>
            <w:hideMark/>
          </w:tcPr>
          <w:p w14:paraId="7285FD77"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6% din remunerația zilnică</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1959AEA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1249</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208CF549"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AAABE18"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1995,5</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34B90FC"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5808</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6505ED75"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2F73A08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1929,1</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01E17080"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4559</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40A586BD"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465,01%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92EC8E5"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02DDC792"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113DDF5E"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-66,4</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0DAEDCE4"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96,67%</w:t>
            </w:r>
          </w:p>
        </w:tc>
      </w:tr>
      <w:tr w:rsidR="00DB70CA" w:rsidRPr="00B7675F" w14:paraId="01E7F1BA" w14:textId="77777777" w:rsidTr="00B27804">
        <w:trPr>
          <w:trHeight w:val="720"/>
        </w:trPr>
        <w:tc>
          <w:tcPr>
            <w:tcW w:w="2258" w:type="dxa"/>
            <w:tcBorders>
              <w:top w:val="nil"/>
              <w:left w:val="single" w:sz="4" w:space="0" w:color="auto"/>
              <w:bottom w:val="single" w:sz="4" w:space="0" w:color="auto"/>
              <w:right w:val="single" w:sz="4" w:space="0" w:color="auto"/>
            </w:tcBorders>
            <w:shd w:val="clear" w:color="auto" w:fill="FFFFFF" w:themeFill="background1"/>
            <w:hideMark/>
          </w:tcPr>
          <w:p w14:paraId="69A79111" w14:textId="775232D4"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 xml:space="preserve">Persoane care au </w:t>
            </w:r>
            <w:r w:rsidR="002D2A2D">
              <w:rPr>
                <w:rFonts w:asciiTheme="majorHAnsi" w:eastAsia="Times New Roman" w:hAnsiTheme="majorHAnsi" w:cstheme="majorHAnsi"/>
                <w:color w:val="333333"/>
                <w:sz w:val="16"/>
                <w:szCs w:val="18"/>
                <w:lang w:val="ro-MD"/>
              </w:rPr>
              <w:t>î</w:t>
            </w:r>
            <w:r w:rsidRPr="00736448">
              <w:rPr>
                <w:rFonts w:asciiTheme="majorHAnsi" w:eastAsia="Times New Roman" w:hAnsiTheme="majorHAnsi" w:cstheme="majorHAnsi"/>
                <w:color w:val="333333"/>
                <w:sz w:val="16"/>
                <w:szCs w:val="18"/>
                <w:lang w:val="ro-MD"/>
              </w:rPr>
              <w:t>ncheiat contract individual de asigurări sociale în conformitate cu legea BASS</w:t>
            </w:r>
          </w:p>
        </w:tc>
        <w:tc>
          <w:tcPr>
            <w:tcW w:w="1981" w:type="dxa"/>
            <w:tcBorders>
              <w:top w:val="nil"/>
              <w:left w:val="nil"/>
              <w:bottom w:val="single" w:sz="4" w:space="0" w:color="auto"/>
              <w:right w:val="single" w:sz="4" w:space="0" w:color="auto"/>
            </w:tcBorders>
            <w:shd w:val="clear" w:color="auto" w:fill="FFFFFF" w:themeFill="background1"/>
            <w:hideMark/>
          </w:tcPr>
          <w:p w14:paraId="5C753328" w14:textId="77777777" w:rsidR="00DB70CA" w:rsidRPr="00736448" w:rsidRDefault="00DB70CA" w:rsidP="00B27804">
            <w:pPr>
              <w:spacing w:after="0" w:line="240" w:lineRule="auto"/>
              <w:jc w:val="both"/>
              <w:rPr>
                <w:rFonts w:asciiTheme="majorHAnsi" w:eastAsia="Times New Roman" w:hAnsiTheme="majorHAnsi" w:cstheme="majorHAnsi"/>
                <w:color w:val="333333"/>
                <w:sz w:val="16"/>
                <w:szCs w:val="18"/>
                <w:lang w:val="ro-MD"/>
              </w:rPr>
            </w:pPr>
            <w:r w:rsidRPr="00736448">
              <w:rPr>
                <w:rFonts w:asciiTheme="majorHAnsi" w:eastAsia="Times New Roman" w:hAnsiTheme="majorHAnsi" w:cstheme="majorHAnsi"/>
                <w:color w:val="333333"/>
                <w:sz w:val="16"/>
                <w:szCs w:val="18"/>
                <w:lang w:val="ro-MD"/>
              </w:rPr>
              <w:t>Taxă fixă în conformitate cu legea bugetului asigurărilor sociale de stat anuală - 12838 lei</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17387AA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265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6CC5E21B"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7E8021A9"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2281,6</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4985A57"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164</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3CE7E84"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13D86FAA"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1528,3</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71407AD6"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-101</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51B558C8"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61,89%</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351BC002"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center"/>
            <w:hideMark/>
          </w:tcPr>
          <w:p w14:paraId="04A1CDEB" w14:textId="77777777" w:rsidR="00DB70CA" w:rsidRPr="00736448" w:rsidRDefault="00DB70CA" w:rsidP="00B27804">
            <w:pPr>
              <w:spacing w:after="0" w:line="240" w:lineRule="auto"/>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14:paraId="4E6564E5"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-753,3</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14:paraId="22DC8BB2" w14:textId="77777777" w:rsidR="00DB70CA" w:rsidRPr="00736448" w:rsidRDefault="00DB70CA" w:rsidP="00B27804">
            <w:pPr>
              <w:spacing w:after="0" w:line="240" w:lineRule="auto"/>
              <w:jc w:val="right"/>
              <w:rPr>
                <w:rFonts w:asciiTheme="majorHAnsi" w:eastAsia="Times New Roman" w:hAnsiTheme="majorHAnsi" w:cstheme="majorHAnsi"/>
                <w:color w:val="000000"/>
                <w:sz w:val="16"/>
                <w:szCs w:val="18"/>
                <w:lang w:val="ro-MD"/>
              </w:rPr>
            </w:pPr>
            <w:r w:rsidRPr="00736448">
              <w:rPr>
                <w:rFonts w:asciiTheme="majorHAnsi" w:eastAsia="Times New Roman" w:hAnsiTheme="majorHAnsi" w:cstheme="majorHAnsi"/>
                <w:color w:val="000000"/>
                <w:sz w:val="16"/>
                <w:szCs w:val="18"/>
                <w:lang w:val="ro-MD"/>
              </w:rPr>
              <w:t>66,98%</w:t>
            </w:r>
          </w:p>
        </w:tc>
      </w:tr>
      <w:tr w:rsidR="00DB70CA" w:rsidRPr="00B7675F" w14:paraId="0063CAB9" w14:textId="77777777" w:rsidTr="00B27804">
        <w:trPr>
          <w:trHeight w:val="288"/>
        </w:trPr>
        <w:tc>
          <w:tcPr>
            <w:tcW w:w="4239"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3A3119AE" w14:textId="77777777" w:rsidR="00DB70CA" w:rsidRPr="00736448" w:rsidRDefault="00DB70CA" w:rsidP="00B27804">
            <w:pPr>
              <w:spacing w:after="0" w:line="240" w:lineRule="auto"/>
              <w:jc w:val="center"/>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Total</w:t>
            </w:r>
          </w:p>
        </w:tc>
        <w:tc>
          <w:tcPr>
            <w:tcW w:w="854" w:type="dxa"/>
            <w:tcBorders>
              <w:top w:val="nil"/>
              <w:left w:val="nil"/>
              <w:bottom w:val="single" w:sz="4" w:space="0" w:color="auto"/>
              <w:right w:val="single" w:sz="4" w:space="0" w:color="auto"/>
            </w:tcBorders>
            <w:shd w:val="clear" w:color="auto" w:fill="FFFFFF" w:themeFill="background1"/>
            <w:noWrap/>
            <w:vAlign w:val="center"/>
            <w:hideMark/>
          </w:tcPr>
          <w:p w14:paraId="08B2E908"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804928</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52A28097"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x</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14:paraId="3F2C12E6"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16688626,2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18DDC691"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804420</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0F176752"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73230643,0</w:t>
            </w:r>
          </w:p>
        </w:tc>
        <w:tc>
          <w:tcPr>
            <w:tcW w:w="994" w:type="dxa"/>
            <w:tcBorders>
              <w:top w:val="nil"/>
              <w:left w:val="nil"/>
              <w:bottom w:val="single" w:sz="4" w:space="0" w:color="auto"/>
              <w:right w:val="single" w:sz="4" w:space="0" w:color="auto"/>
            </w:tcBorders>
            <w:shd w:val="clear" w:color="auto" w:fill="FFFFFF" w:themeFill="background1"/>
            <w:noWrap/>
            <w:vAlign w:val="center"/>
            <w:hideMark/>
          </w:tcPr>
          <w:p w14:paraId="0FE36293"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19177279,6</w:t>
            </w:r>
          </w:p>
        </w:tc>
        <w:tc>
          <w:tcPr>
            <w:tcW w:w="766" w:type="dxa"/>
            <w:tcBorders>
              <w:top w:val="nil"/>
              <w:left w:val="nil"/>
              <w:bottom w:val="single" w:sz="4" w:space="0" w:color="auto"/>
              <w:right w:val="single" w:sz="4" w:space="0" w:color="auto"/>
            </w:tcBorders>
            <w:shd w:val="clear" w:color="auto" w:fill="FFFFFF" w:themeFill="background1"/>
            <w:noWrap/>
            <w:vAlign w:val="center"/>
            <w:hideMark/>
          </w:tcPr>
          <w:p w14:paraId="21495435"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-508</w:t>
            </w:r>
          </w:p>
        </w:tc>
        <w:tc>
          <w:tcPr>
            <w:tcW w:w="795" w:type="dxa"/>
            <w:tcBorders>
              <w:top w:val="nil"/>
              <w:left w:val="nil"/>
              <w:bottom w:val="single" w:sz="4" w:space="0" w:color="auto"/>
              <w:right w:val="single" w:sz="4" w:space="0" w:color="auto"/>
            </w:tcBorders>
            <w:shd w:val="clear" w:color="auto" w:fill="FFFFFF" w:themeFill="background1"/>
            <w:noWrap/>
            <w:vAlign w:val="center"/>
            <w:hideMark/>
          </w:tcPr>
          <w:p w14:paraId="15302E94"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99,94%</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74779584" w14:textId="77777777" w:rsidR="00DB70CA" w:rsidRPr="00736448" w:rsidRDefault="00DB70CA" w:rsidP="00B27804">
            <w:pPr>
              <w:spacing w:after="0" w:line="240" w:lineRule="auto"/>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 </w:t>
            </w:r>
          </w:p>
        </w:tc>
        <w:tc>
          <w:tcPr>
            <w:tcW w:w="853" w:type="dxa"/>
            <w:tcBorders>
              <w:top w:val="nil"/>
              <w:left w:val="nil"/>
              <w:bottom w:val="single" w:sz="4" w:space="0" w:color="auto"/>
              <w:right w:val="single" w:sz="4" w:space="0" w:color="auto"/>
            </w:tcBorders>
            <w:shd w:val="clear" w:color="auto" w:fill="FFFFFF" w:themeFill="background1"/>
            <w:noWrap/>
            <w:vAlign w:val="bottom"/>
            <w:hideMark/>
          </w:tcPr>
          <w:p w14:paraId="2AAFDA2C" w14:textId="77777777" w:rsidR="00DB70CA" w:rsidRPr="00736448" w:rsidRDefault="00DB70CA" w:rsidP="00B27804">
            <w:pPr>
              <w:spacing w:after="0" w:line="240" w:lineRule="auto"/>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 </w:t>
            </w:r>
          </w:p>
        </w:tc>
        <w:tc>
          <w:tcPr>
            <w:tcW w:w="708" w:type="dxa"/>
            <w:tcBorders>
              <w:top w:val="nil"/>
              <w:left w:val="nil"/>
              <w:bottom w:val="single" w:sz="4" w:space="0" w:color="auto"/>
              <w:right w:val="single" w:sz="4" w:space="0" w:color="auto"/>
            </w:tcBorders>
            <w:shd w:val="clear" w:color="auto" w:fill="FFFFFF" w:themeFill="background1"/>
            <w:noWrap/>
            <w:vAlign w:val="bottom"/>
            <w:hideMark/>
          </w:tcPr>
          <w:p w14:paraId="37518F25"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2488653,4</w:t>
            </w:r>
          </w:p>
        </w:tc>
        <w:tc>
          <w:tcPr>
            <w:tcW w:w="709" w:type="dxa"/>
            <w:tcBorders>
              <w:top w:val="nil"/>
              <w:left w:val="nil"/>
              <w:bottom w:val="single" w:sz="4" w:space="0" w:color="auto"/>
              <w:right w:val="single" w:sz="4" w:space="0" w:color="auto"/>
            </w:tcBorders>
            <w:shd w:val="clear" w:color="auto" w:fill="FFFFFF" w:themeFill="background1"/>
            <w:noWrap/>
            <w:vAlign w:val="bottom"/>
            <w:hideMark/>
          </w:tcPr>
          <w:p w14:paraId="4EED4B04" w14:textId="77777777" w:rsidR="00DB70CA" w:rsidRPr="00736448" w:rsidRDefault="00DB70CA" w:rsidP="00B27804">
            <w:pPr>
              <w:spacing w:after="0" w:line="240" w:lineRule="auto"/>
              <w:jc w:val="right"/>
              <w:rPr>
                <w:rFonts w:asciiTheme="majorHAnsi" w:eastAsia="Times New Roman" w:hAnsiTheme="majorHAnsi" w:cstheme="majorHAnsi"/>
                <w:b/>
                <w:bCs/>
                <w:color w:val="000000"/>
                <w:sz w:val="16"/>
                <w:szCs w:val="18"/>
                <w:lang w:val="ro-MD"/>
              </w:rPr>
            </w:pPr>
            <w:r w:rsidRPr="00736448">
              <w:rPr>
                <w:rFonts w:asciiTheme="majorHAnsi" w:eastAsia="Times New Roman" w:hAnsiTheme="majorHAnsi" w:cstheme="majorHAnsi"/>
                <w:b/>
                <w:bCs/>
                <w:color w:val="000000"/>
                <w:sz w:val="16"/>
                <w:szCs w:val="18"/>
                <w:lang w:val="ro-MD"/>
              </w:rPr>
              <w:t>114,91%</w:t>
            </w:r>
          </w:p>
        </w:tc>
      </w:tr>
    </w:tbl>
    <w:p w14:paraId="0F64CEC3" w14:textId="77777777" w:rsidR="00DB70CA" w:rsidRPr="00736448" w:rsidRDefault="00DB70CA" w:rsidP="00B27804">
      <w:pPr>
        <w:rPr>
          <w:rFonts w:cstheme="majorHAnsi"/>
          <w:b/>
          <w:bCs/>
          <w:color w:val="000000" w:themeColor="text1"/>
          <w:sz w:val="24"/>
          <w:szCs w:val="24"/>
          <w:lang w:val="ro-MD"/>
        </w:rPr>
      </w:pPr>
    </w:p>
    <w:p w14:paraId="295CC11F" w14:textId="4C37F6EA" w:rsidR="004C228A" w:rsidRPr="00736448" w:rsidRDefault="004C228A" w:rsidP="00B27804">
      <w:pPr>
        <w:rPr>
          <w:rFonts w:cstheme="majorHAnsi"/>
          <w:b/>
          <w:bCs/>
          <w:color w:val="000000" w:themeColor="text1"/>
          <w:sz w:val="24"/>
          <w:szCs w:val="24"/>
          <w:lang w:val="ro-MD"/>
        </w:rPr>
      </w:pPr>
      <w:r w:rsidRPr="00736448">
        <w:rPr>
          <w:rFonts w:cstheme="majorHAnsi"/>
          <w:b/>
          <w:bCs/>
          <w:color w:val="000000" w:themeColor="text1"/>
          <w:sz w:val="24"/>
          <w:szCs w:val="24"/>
          <w:lang w:val="ro-MD"/>
        </w:rPr>
        <w:br w:type="page"/>
      </w:r>
    </w:p>
    <w:p w14:paraId="1A085669" w14:textId="410F6946" w:rsidR="00DB70CA" w:rsidRPr="00736448" w:rsidRDefault="004C228A" w:rsidP="004C228A">
      <w:pPr>
        <w:pStyle w:val="2"/>
        <w:jc w:val="right"/>
        <w:rPr>
          <w:rFonts w:cstheme="majorHAnsi"/>
          <w:b/>
          <w:bCs/>
          <w:color w:val="000000" w:themeColor="text1"/>
          <w:sz w:val="24"/>
          <w:szCs w:val="24"/>
          <w:lang w:val="ro-MD"/>
        </w:rPr>
      </w:pPr>
      <w:r w:rsidRPr="00736448">
        <w:rPr>
          <w:rFonts w:cstheme="majorHAnsi"/>
          <w:b/>
          <w:bCs/>
          <w:color w:val="000000" w:themeColor="text1"/>
          <w:sz w:val="24"/>
          <w:szCs w:val="24"/>
          <w:lang w:val="ro-MD"/>
        </w:rPr>
        <w:t>Anexa nr.4</w:t>
      </w:r>
    </w:p>
    <w:p w14:paraId="074689E9" w14:textId="2774D751" w:rsidR="004C228A" w:rsidRPr="00736448" w:rsidRDefault="004C228A" w:rsidP="004C228A">
      <w:pPr>
        <w:jc w:val="center"/>
        <w:rPr>
          <w:rFonts w:asciiTheme="majorHAnsi" w:hAnsiTheme="majorHAnsi"/>
          <w:b/>
          <w:sz w:val="24"/>
          <w:lang w:val="ro-MD"/>
        </w:rPr>
      </w:pPr>
      <w:r w:rsidRPr="00736448">
        <w:rPr>
          <w:rFonts w:asciiTheme="majorHAnsi" w:hAnsiTheme="majorHAnsi"/>
          <w:b/>
          <w:sz w:val="24"/>
          <w:lang w:val="ro-MD"/>
        </w:rPr>
        <w:t>Informații privind salariații din domeniul T</w:t>
      </w:r>
      <w:r w:rsidR="002D2A2D">
        <w:rPr>
          <w:rFonts w:asciiTheme="majorHAnsi" w:hAnsiTheme="majorHAnsi"/>
          <w:b/>
          <w:sz w:val="24"/>
          <w:lang w:val="ro-MD"/>
        </w:rPr>
        <w:t>I</w:t>
      </w:r>
      <w:r w:rsidRPr="00736448">
        <w:rPr>
          <w:rFonts w:asciiTheme="majorHAnsi" w:hAnsiTheme="majorHAnsi"/>
          <w:b/>
          <w:sz w:val="24"/>
          <w:lang w:val="ro-MD"/>
        </w:rPr>
        <w:t xml:space="preserve"> care beneficiază de prestații sociale</w:t>
      </w:r>
    </w:p>
    <w:tbl>
      <w:tblPr>
        <w:tblStyle w:val="af1"/>
        <w:tblW w:w="14032" w:type="dxa"/>
        <w:shd w:val="clear" w:color="auto" w:fill="FFFFFF" w:themeFill="background1"/>
        <w:tblLook w:val="04A0" w:firstRow="1" w:lastRow="0" w:firstColumn="1" w:lastColumn="0" w:noHBand="0" w:noVBand="1"/>
      </w:tblPr>
      <w:tblGrid>
        <w:gridCol w:w="731"/>
        <w:gridCol w:w="2689"/>
        <w:gridCol w:w="1964"/>
        <w:gridCol w:w="1376"/>
        <w:gridCol w:w="1326"/>
        <w:gridCol w:w="5946"/>
      </w:tblGrid>
      <w:tr w:rsidR="00DB70CA" w:rsidRPr="00B7675F" w14:paraId="437F86B8" w14:textId="77777777" w:rsidTr="00B27804">
        <w:tc>
          <w:tcPr>
            <w:tcW w:w="520" w:type="dxa"/>
            <w:shd w:val="clear" w:color="auto" w:fill="FFFFFF" w:themeFill="background1"/>
            <w:vAlign w:val="center"/>
          </w:tcPr>
          <w:p w14:paraId="66697F88" w14:textId="789E656A" w:rsidR="00DB70CA" w:rsidRPr="00736448" w:rsidRDefault="00DB70CA" w:rsidP="00490517">
            <w:pPr>
              <w:pStyle w:val="Default"/>
              <w:jc w:val="center"/>
              <w:rPr>
                <w:rFonts w:asciiTheme="majorHAnsi" w:hAnsiTheme="majorHAnsi" w:cstheme="majorHAnsi"/>
                <w:b/>
                <w:color w:val="auto"/>
                <w:sz w:val="20"/>
                <w:szCs w:val="20"/>
                <w:lang w:val="ro-MD"/>
              </w:rPr>
            </w:pPr>
            <w:r w:rsidRPr="00736448">
              <w:rPr>
                <w:rFonts w:asciiTheme="majorHAnsi" w:hAnsiTheme="majorHAnsi" w:cstheme="majorHAnsi"/>
                <w:b/>
                <w:color w:val="auto"/>
                <w:sz w:val="20"/>
                <w:szCs w:val="20"/>
                <w:lang w:val="ro-MD"/>
              </w:rPr>
              <w:t>Nr.</w:t>
            </w:r>
            <w:r w:rsidR="00E15964">
              <w:rPr>
                <w:rFonts w:asciiTheme="majorHAnsi" w:hAnsiTheme="majorHAnsi" w:cstheme="majorHAnsi"/>
                <w:b/>
                <w:color w:val="auto"/>
                <w:sz w:val="20"/>
                <w:szCs w:val="20"/>
                <w:lang w:val="ro-MD"/>
              </w:rPr>
              <w:t>crt.</w:t>
            </w:r>
          </w:p>
        </w:tc>
        <w:tc>
          <w:tcPr>
            <w:tcW w:w="2736" w:type="dxa"/>
            <w:shd w:val="clear" w:color="auto" w:fill="FFFFFF" w:themeFill="background1"/>
            <w:vAlign w:val="center"/>
          </w:tcPr>
          <w:p w14:paraId="784E7C70" w14:textId="77777777" w:rsidR="00DB70CA" w:rsidRPr="00736448" w:rsidRDefault="00DB70CA" w:rsidP="00490517">
            <w:pPr>
              <w:pStyle w:val="Default"/>
              <w:jc w:val="center"/>
              <w:rPr>
                <w:rFonts w:asciiTheme="majorHAnsi" w:hAnsiTheme="majorHAnsi" w:cstheme="majorHAnsi"/>
                <w:b/>
                <w:color w:val="auto"/>
                <w:sz w:val="20"/>
                <w:szCs w:val="20"/>
                <w:lang w:val="ro-MD"/>
              </w:rPr>
            </w:pPr>
            <w:r w:rsidRPr="00736448">
              <w:rPr>
                <w:rFonts w:asciiTheme="majorHAnsi" w:hAnsiTheme="majorHAnsi" w:cstheme="majorHAnsi"/>
                <w:b/>
                <w:color w:val="auto"/>
                <w:sz w:val="20"/>
                <w:szCs w:val="20"/>
                <w:lang w:val="ro-MD"/>
              </w:rPr>
              <w:t>Nume, prenume</w:t>
            </w:r>
          </w:p>
        </w:tc>
        <w:tc>
          <w:tcPr>
            <w:tcW w:w="1984" w:type="dxa"/>
            <w:shd w:val="clear" w:color="auto" w:fill="FFFFFF" w:themeFill="background1"/>
            <w:vAlign w:val="center"/>
          </w:tcPr>
          <w:p w14:paraId="7608D470" w14:textId="77777777" w:rsidR="00DB70CA" w:rsidRPr="0038225D" w:rsidRDefault="00DB70CA" w:rsidP="00490517">
            <w:pPr>
              <w:pStyle w:val="Default"/>
              <w:jc w:val="center"/>
              <w:rPr>
                <w:rFonts w:asciiTheme="majorHAnsi" w:hAnsiTheme="majorHAnsi" w:cstheme="majorHAnsi"/>
                <w:b/>
                <w:color w:val="auto"/>
                <w:sz w:val="20"/>
                <w:szCs w:val="20"/>
                <w:lang w:val="ro-MD"/>
              </w:rPr>
            </w:pPr>
            <w:r w:rsidRPr="00736448">
              <w:rPr>
                <w:rFonts w:asciiTheme="majorHAnsi" w:hAnsiTheme="majorHAnsi" w:cstheme="majorHAnsi"/>
                <w:b/>
                <w:color w:val="auto"/>
                <w:sz w:val="20"/>
                <w:szCs w:val="20"/>
                <w:lang w:val="ro-MD"/>
              </w:rPr>
              <w:t>Tipul presta</w:t>
            </w:r>
            <w:r w:rsidRPr="00B7675F">
              <w:rPr>
                <w:rFonts w:asciiTheme="majorHAnsi" w:hAnsiTheme="majorHAnsi" w:cstheme="majorHAnsi"/>
                <w:b/>
                <w:color w:val="auto"/>
                <w:sz w:val="20"/>
                <w:szCs w:val="20"/>
                <w:lang w:val="ro-MD"/>
              </w:rPr>
              <w:t>ț</w:t>
            </w:r>
            <w:r w:rsidRPr="0038225D">
              <w:rPr>
                <w:rFonts w:asciiTheme="majorHAnsi" w:hAnsiTheme="majorHAnsi" w:cstheme="majorHAnsi"/>
                <w:b/>
                <w:color w:val="auto"/>
                <w:sz w:val="20"/>
                <w:szCs w:val="20"/>
                <w:lang w:val="ro-MD"/>
              </w:rPr>
              <w:t>iei</w:t>
            </w:r>
          </w:p>
        </w:tc>
        <w:tc>
          <w:tcPr>
            <w:tcW w:w="1381" w:type="dxa"/>
            <w:shd w:val="clear" w:color="auto" w:fill="FFFFFF" w:themeFill="background1"/>
          </w:tcPr>
          <w:p w14:paraId="4BCAC15A" w14:textId="77777777" w:rsidR="00DB70CA" w:rsidRPr="00736448" w:rsidRDefault="00DB70CA" w:rsidP="00490517">
            <w:pPr>
              <w:pStyle w:val="Default"/>
              <w:jc w:val="center"/>
              <w:rPr>
                <w:rFonts w:asciiTheme="majorHAnsi" w:hAnsiTheme="majorHAnsi" w:cstheme="majorHAnsi"/>
                <w:b/>
                <w:color w:val="auto"/>
                <w:sz w:val="20"/>
                <w:szCs w:val="20"/>
                <w:lang w:val="ro-MD"/>
              </w:rPr>
            </w:pPr>
            <w:r w:rsidRPr="00736448">
              <w:rPr>
                <w:rFonts w:asciiTheme="majorHAnsi" w:hAnsiTheme="majorHAnsi" w:cstheme="majorHAnsi"/>
                <w:b/>
                <w:color w:val="auto"/>
                <w:sz w:val="20"/>
                <w:szCs w:val="20"/>
                <w:lang w:val="ro-MD"/>
              </w:rPr>
              <w:t>Data stabilirii</w:t>
            </w:r>
          </w:p>
        </w:tc>
        <w:tc>
          <w:tcPr>
            <w:tcW w:w="1334" w:type="dxa"/>
            <w:shd w:val="clear" w:color="auto" w:fill="FFFFFF" w:themeFill="background1"/>
            <w:vAlign w:val="center"/>
          </w:tcPr>
          <w:p w14:paraId="3C686C7E" w14:textId="77777777" w:rsidR="00DB70CA" w:rsidRPr="00736448" w:rsidRDefault="00DB70CA" w:rsidP="00490517">
            <w:pPr>
              <w:pStyle w:val="Default"/>
              <w:jc w:val="center"/>
              <w:rPr>
                <w:rFonts w:asciiTheme="majorHAnsi" w:hAnsiTheme="majorHAnsi" w:cstheme="majorHAnsi"/>
                <w:b/>
                <w:color w:val="auto"/>
                <w:sz w:val="20"/>
                <w:szCs w:val="20"/>
                <w:lang w:val="ro-MD"/>
              </w:rPr>
            </w:pPr>
            <w:r w:rsidRPr="00736448">
              <w:rPr>
                <w:rFonts w:asciiTheme="majorHAnsi" w:hAnsiTheme="majorHAnsi" w:cstheme="majorHAnsi"/>
                <w:b/>
                <w:color w:val="auto"/>
                <w:sz w:val="20"/>
                <w:szCs w:val="20"/>
                <w:lang w:val="ro-MD"/>
              </w:rPr>
              <w:t>Suma prestației, lei</w:t>
            </w:r>
          </w:p>
        </w:tc>
        <w:tc>
          <w:tcPr>
            <w:tcW w:w="6077" w:type="dxa"/>
            <w:shd w:val="clear" w:color="auto" w:fill="FFFFFF" w:themeFill="background1"/>
            <w:vAlign w:val="center"/>
          </w:tcPr>
          <w:p w14:paraId="0D16EC9A" w14:textId="77777777" w:rsidR="00DB70CA" w:rsidRPr="00736448" w:rsidRDefault="00DB70CA" w:rsidP="00490517">
            <w:pPr>
              <w:pStyle w:val="Default"/>
              <w:jc w:val="center"/>
              <w:rPr>
                <w:rFonts w:asciiTheme="majorHAnsi" w:hAnsiTheme="majorHAnsi" w:cstheme="majorHAnsi"/>
                <w:b/>
                <w:color w:val="auto"/>
                <w:sz w:val="20"/>
                <w:szCs w:val="20"/>
                <w:lang w:val="ro-MD"/>
              </w:rPr>
            </w:pPr>
            <w:r w:rsidRPr="00736448">
              <w:rPr>
                <w:rFonts w:asciiTheme="majorHAnsi" w:hAnsiTheme="majorHAnsi" w:cstheme="majorHAnsi"/>
                <w:b/>
                <w:color w:val="auto"/>
                <w:sz w:val="20"/>
                <w:szCs w:val="20"/>
                <w:lang w:val="ro-MD"/>
              </w:rPr>
              <w:t>Comentariile auditorului</w:t>
            </w:r>
          </w:p>
        </w:tc>
      </w:tr>
      <w:tr w:rsidR="00DB70CA" w:rsidRPr="00B7675F" w14:paraId="25ABC1A0" w14:textId="77777777" w:rsidTr="00B27804">
        <w:tc>
          <w:tcPr>
            <w:tcW w:w="520" w:type="dxa"/>
            <w:shd w:val="clear" w:color="auto" w:fill="FFFFFF" w:themeFill="background1"/>
          </w:tcPr>
          <w:p w14:paraId="0E601238"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w:t>
            </w:r>
          </w:p>
        </w:tc>
        <w:tc>
          <w:tcPr>
            <w:tcW w:w="2736" w:type="dxa"/>
            <w:shd w:val="clear" w:color="auto" w:fill="FFFFFF" w:themeFill="background1"/>
          </w:tcPr>
          <w:p w14:paraId="16A7ABDD"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1</w:t>
            </w:r>
          </w:p>
        </w:tc>
        <w:tc>
          <w:tcPr>
            <w:tcW w:w="1984" w:type="dxa"/>
            <w:shd w:val="clear" w:color="auto" w:fill="FFFFFF" w:themeFill="background1"/>
          </w:tcPr>
          <w:p w14:paraId="3978F5A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Indemnizație de maternitate</w:t>
            </w:r>
          </w:p>
        </w:tc>
        <w:tc>
          <w:tcPr>
            <w:tcW w:w="1381" w:type="dxa"/>
            <w:shd w:val="clear" w:color="auto" w:fill="FFFFFF" w:themeFill="background1"/>
          </w:tcPr>
          <w:p w14:paraId="7074121A"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13.06.2022</w:t>
            </w:r>
          </w:p>
        </w:tc>
        <w:tc>
          <w:tcPr>
            <w:tcW w:w="1334" w:type="dxa"/>
            <w:shd w:val="clear" w:color="auto" w:fill="FFFFFF" w:themeFill="background1"/>
          </w:tcPr>
          <w:p w14:paraId="2FE76FE0"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25 776.64</w:t>
            </w:r>
          </w:p>
        </w:tc>
        <w:tc>
          <w:tcPr>
            <w:tcW w:w="6077" w:type="dxa"/>
            <w:shd w:val="clear" w:color="auto" w:fill="FFFFFF" w:themeFill="background1"/>
          </w:tcPr>
          <w:p w14:paraId="5CBBA4BD"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Venitul mediul lunar asigurat fiind de 6 262.35 lei</w:t>
            </w:r>
          </w:p>
        </w:tc>
      </w:tr>
      <w:tr w:rsidR="00DB70CA" w:rsidRPr="00B7675F" w14:paraId="175999C1" w14:textId="77777777" w:rsidTr="00B27804">
        <w:tc>
          <w:tcPr>
            <w:tcW w:w="520" w:type="dxa"/>
            <w:shd w:val="clear" w:color="auto" w:fill="FFFFFF" w:themeFill="background1"/>
          </w:tcPr>
          <w:p w14:paraId="492FDE3B"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w:t>
            </w:r>
          </w:p>
        </w:tc>
        <w:tc>
          <w:tcPr>
            <w:tcW w:w="2736" w:type="dxa"/>
            <w:shd w:val="clear" w:color="auto" w:fill="FFFFFF" w:themeFill="background1"/>
          </w:tcPr>
          <w:p w14:paraId="4C6D65BC"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2</w:t>
            </w:r>
          </w:p>
        </w:tc>
        <w:tc>
          <w:tcPr>
            <w:tcW w:w="1984" w:type="dxa"/>
            <w:shd w:val="clear" w:color="auto" w:fill="FFFFFF" w:themeFill="background1"/>
          </w:tcPr>
          <w:p w14:paraId="1BE4B125"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Indemnizație de maternitate</w:t>
            </w:r>
          </w:p>
        </w:tc>
        <w:tc>
          <w:tcPr>
            <w:tcW w:w="1381" w:type="dxa"/>
            <w:shd w:val="clear" w:color="auto" w:fill="FFFFFF" w:themeFill="background1"/>
          </w:tcPr>
          <w:p w14:paraId="2F6C95BC"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16.08.2022</w:t>
            </w:r>
          </w:p>
        </w:tc>
        <w:tc>
          <w:tcPr>
            <w:tcW w:w="1334" w:type="dxa"/>
            <w:shd w:val="clear" w:color="auto" w:fill="FFFFFF" w:themeFill="background1"/>
          </w:tcPr>
          <w:p w14:paraId="73B91719"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26 411.48</w:t>
            </w:r>
          </w:p>
        </w:tc>
        <w:tc>
          <w:tcPr>
            <w:tcW w:w="6077" w:type="dxa"/>
            <w:shd w:val="clear" w:color="auto" w:fill="FFFFFF" w:themeFill="background1"/>
          </w:tcPr>
          <w:p w14:paraId="1EB81711"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Venitul mediul lunar asigurat fiind de 6 396.53 lei</w:t>
            </w:r>
          </w:p>
        </w:tc>
      </w:tr>
      <w:tr w:rsidR="00DB70CA" w:rsidRPr="00B7675F" w14:paraId="670DB4EB" w14:textId="77777777" w:rsidTr="00B27804">
        <w:tc>
          <w:tcPr>
            <w:tcW w:w="520" w:type="dxa"/>
            <w:shd w:val="clear" w:color="auto" w:fill="FFFFFF" w:themeFill="background1"/>
          </w:tcPr>
          <w:p w14:paraId="636C4BE4"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3</w:t>
            </w:r>
          </w:p>
        </w:tc>
        <w:tc>
          <w:tcPr>
            <w:tcW w:w="2736" w:type="dxa"/>
            <w:shd w:val="clear" w:color="auto" w:fill="FFFFFF" w:themeFill="background1"/>
          </w:tcPr>
          <w:p w14:paraId="4CA84E4E"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3</w:t>
            </w:r>
          </w:p>
        </w:tc>
        <w:tc>
          <w:tcPr>
            <w:tcW w:w="1984" w:type="dxa"/>
            <w:shd w:val="clear" w:color="auto" w:fill="FFFFFF" w:themeFill="background1"/>
          </w:tcPr>
          <w:p w14:paraId="6FD0F66D"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Indemnizație de maternitate</w:t>
            </w:r>
          </w:p>
        </w:tc>
        <w:tc>
          <w:tcPr>
            <w:tcW w:w="1381" w:type="dxa"/>
            <w:shd w:val="clear" w:color="auto" w:fill="FFFFFF" w:themeFill="background1"/>
          </w:tcPr>
          <w:p w14:paraId="3E8AA99C"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30.05.2022</w:t>
            </w:r>
          </w:p>
        </w:tc>
        <w:tc>
          <w:tcPr>
            <w:tcW w:w="1334" w:type="dxa"/>
            <w:shd w:val="clear" w:color="auto" w:fill="FFFFFF" w:themeFill="background1"/>
          </w:tcPr>
          <w:p w14:paraId="6899A2CE"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25 580.39</w:t>
            </w:r>
          </w:p>
        </w:tc>
        <w:tc>
          <w:tcPr>
            <w:tcW w:w="6077" w:type="dxa"/>
            <w:shd w:val="clear" w:color="auto" w:fill="FFFFFF" w:themeFill="background1"/>
          </w:tcPr>
          <w:p w14:paraId="6907B09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Venitul mediul lunar asigurat fiind de 6 195.25 lei</w:t>
            </w:r>
          </w:p>
        </w:tc>
      </w:tr>
      <w:tr w:rsidR="00DB70CA" w:rsidRPr="00B7675F" w14:paraId="5017C50A" w14:textId="77777777" w:rsidTr="00B27804">
        <w:tc>
          <w:tcPr>
            <w:tcW w:w="520" w:type="dxa"/>
            <w:shd w:val="clear" w:color="auto" w:fill="FFFFFF" w:themeFill="background1"/>
          </w:tcPr>
          <w:p w14:paraId="13E27A15"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4</w:t>
            </w:r>
          </w:p>
        </w:tc>
        <w:tc>
          <w:tcPr>
            <w:tcW w:w="2736" w:type="dxa"/>
            <w:shd w:val="clear" w:color="auto" w:fill="FFFFFF" w:themeFill="background1"/>
          </w:tcPr>
          <w:p w14:paraId="727241E1"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4</w:t>
            </w:r>
          </w:p>
        </w:tc>
        <w:tc>
          <w:tcPr>
            <w:tcW w:w="1984" w:type="dxa"/>
            <w:shd w:val="clear" w:color="auto" w:fill="FFFFFF" w:themeFill="background1"/>
          </w:tcPr>
          <w:p w14:paraId="2456552B"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Indemnizație paternală</w:t>
            </w:r>
          </w:p>
        </w:tc>
        <w:tc>
          <w:tcPr>
            <w:tcW w:w="1381" w:type="dxa"/>
            <w:shd w:val="clear" w:color="auto" w:fill="FFFFFF" w:themeFill="background1"/>
          </w:tcPr>
          <w:p w14:paraId="1F0E12FD"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28.03.2022</w:t>
            </w:r>
          </w:p>
        </w:tc>
        <w:tc>
          <w:tcPr>
            <w:tcW w:w="1334" w:type="dxa"/>
            <w:shd w:val="clear" w:color="auto" w:fill="FFFFFF" w:themeFill="background1"/>
          </w:tcPr>
          <w:p w14:paraId="79FB288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2 864.47</w:t>
            </w:r>
          </w:p>
        </w:tc>
        <w:tc>
          <w:tcPr>
            <w:tcW w:w="6077" w:type="dxa"/>
            <w:shd w:val="clear" w:color="auto" w:fill="FFFFFF" w:themeFill="background1"/>
          </w:tcPr>
          <w:p w14:paraId="334DF0B3"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Baza de calcul fiind de 6 195.25 lei</w:t>
            </w:r>
          </w:p>
        </w:tc>
      </w:tr>
      <w:tr w:rsidR="00DB70CA" w:rsidRPr="00B7675F" w14:paraId="0F2DA07B" w14:textId="77777777" w:rsidTr="00B27804">
        <w:tc>
          <w:tcPr>
            <w:tcW w:w="520" w:type="dxa"/>
            <w:shd w:val="clear" w:color="auto" w:fill="FFFFFF" w:themeFill="background1"/>
          </w:tcPr>
          <w:p w14:paraId="3AEEEB7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5</w:t>
            </w:r>
          </w:p>
        </w:tc>
        <w:tc>
          <w:tcPr>
            <w:tcW w:w="2736" w:type="dxa"/>
            <w:shd w:val="clear" w:color="auto" w:fill="FFFFFF" w:themeFill="background1"/>
          </w:tcPr>
          <w:p w14:paraId="7ACB53F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5</w:t>
            </w:r>
          </w:p>
        </w:tc>
        <w:tc>
          <w:tcPr>
            <w:tcW w:w="1984" w:type="dxa"/>
            <w:shd w:val="clear" w:color="auto" w:fill="FFFFFF" w:themeFill="background1"/>
          </w:tcPr>
          <w:p w14:paraId="65605B74"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Indemnizație paternală</w:t>
            </w:r>
          </w:p>
        </w:tc>
        <w:tc>
          <w:tcPr>
            <w:tcW w:w="1381" w:type="dxa"/>
            <w:shd w:val="clear" w:color="auto" w:fill="FFFFFF" w:themeFill="background1"/>
          </w:tcPr>
          <w:p w14:paraId="3CA16AC0"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17.09.2022</w:t>
            </w:r>
          </w:p>
        </w:tc>
        <w:tc>
          <w:tcPr>
            <w:tcW w:w="1334" w:type="dxa"/>
            <w:shd w:val="clear" w:color="auto" w:fill="FFFFFF" w:themeFill="background1"/>
          </w:tcPr>
          <w:p w14:paraId="17891A06"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3 141.6</w:t>
            </w:r>
          </w:p>
        </w:tc>
        <w:tc>
          <w:tcPr>
            <w:tcW w:w="6077" w:type="dxa"/>
            <w:shd w:val="clear" w:color="auto" w:fill="FFFFFF" w:themeFill="background1"/>
          </w:tcPr>
          <w:p w14:paraId="01B81C98"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Baza de calcul fiind de 6732 lei</w:t>
            </w:r>
          </w:p>
        </w:tc>
      </w:tr>
      <w:tr w:rsidR="00DB70CA" w:rsidRPr="00B7675F" w14:paraId="74F35DB4" w14:textId="77777777" w:rsidTr="00B27804">
        <w:tc>
          <w:tcPr>
            <w:tcW w:w="520" w:type="dxa"/>
            <w:shd w:val="clear" w:color="auto" w:fill="FFFFFF" w:themeFill="background1"/>
          </w:tcPr>
          <w:p w14:paraId="6472371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6</w:t>
            </w:r>
          </w:p>
        </w:tc>
        <w:tc>
          <w:tcPr>
            <w:tcW w:w="2736" w:type="dxa"/>
            <w:shd w:val="clear" w:color="auto" w:fill="FFFFFF" w:themeFill="background1"/>
          </w:tcPr>
          <w:p w14:paraId="0CB79AB7"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6</w:t>
            </w:r>
          </w:p>
        </w:tc>
        <w:tc>
          <w:tcPr>
            <w:tcW w:w="1984" w:type="dxa"/>
            <w:shd w:val="clear" w:color="auto" w:fill="FFFFFF" w:themeFill="background1"/>
          </w:tcPr>
          <w:p w14:paraId="7AB7048A" w14:textId="77777777" w:rsidR="00DB70CA" w:rsidRPr="0038225D" w:rsidRDefault="00DB70CA" w:rsidP="00490517">
            <w:pPr>
              <w:pStyle w:val="Default"/>
              <w:jc w:val="both"/>
              <w:rPr>
                <w:rFonts w:asciiTheme="majorHAnsi" w:hAnsiTheme="majorHAnsi" w:cstheme="majorHAnsi"/>
                <w:color w:val="auto"/>
                <w:sz w:val="20"/>
                <w:szCs w:val="20"/>
                <w:lang w:val="ro-MD"/>
              </w:rPr>
            </w:pPr>
            <w:r w:rsidRPr="00B7675F">
              <w:rPr>
                <w:rFonts w:asciiTheme="majorHAnsi" w:hAnsiTheme="majorHAnsi" w:cstheme="majorHAnsi"/>
                <w:color w:val="auto"/>
                <w:sz w:val="20"/>
                <w:szCs w:val="20"/>
                <w:lang w:val="ro-MD"/>
              </w:rPr>
              <w:t>Indemnizație lunară pentru creșterea copilului pent</w:t>
            </w:r>
            <w:r w:rsidRPr="0038225D">
              <w:rPr>
                <w:rFonts w:asciiTheme="majorHAnsi" w:hAnsiTheme="majorHAnsi" w:cstheme="majorHAnsi"/>
                <w:color w:val="auto"/>
                <w:sz w:val="20"/>
                <w:szCs w:val="20"/>
                <w:lang w:val="ro-MD"/>
              </w:rPr>
              <w:t>ru perioada de 12 luni</w:t>
            </w:r>
          </w:p>
        </w:tc>
        <w:tc>
          <w:tcPr>
            <w:tcW w:w="1381" w:type="dxa"/>
            <w:shd w:val="clear" w:color="auto" w:fill="FFFFFF" w:themeFill="background1"/>
          </w:tcPr>
          <w:p w14:paraId="5A362CD3" w14:textId="77777777" w:rsidR="00DB70CA" w:rsidRPr="00E15964" w:rsidRDefault="00DB70CA" w:rsidP="00490517">
            <w:pPr>
              <w:pStyle w:val="Default"/>
              <w:jc w:val="both"/>
              <w:rPr>
                <w:rFonts w:asciiTheme="majorHAnsi" w:hAnsiTheme="majorHAnsi" w:cstheme="majorHAnsi"/>
                <w:color w:val="auto"/>
                <w:sz w:val="20"/>
                <w:szCs w:val="20"/>
                <w:lang w:val="ro-MD"/>
              </w:rPr>
            </w:pPr>
            <w:r w:rsidRPr="00E15964">
              <w:rPr>
                <w:rFonts w:asciiTheme="majorHAnsi" w:hAnsiTheme="majorHAnsi" w:cstheme="majorHAnsi"/>
                <w:color w:val="auto"/>
                <w:sz w:val="20"/>
                <w:szCs w:val="20"/>
                <w:lang w:val="ro-MD"/>
              </w:rPr>
              <w:t>20.12.2022</w:t>
            </w:r>
          </w:p>
        </w:tc>
        <w:tc>
          <w:tcPr>
            <w:tcW w:w="1334" w:type="dxa"/>
            <w:shd w:val="clear" w:color="auto" w:fill="FFFFFF" w:themeFill="background1"/>
          </w:tcPr>
          <w:p w14:paraId="6B627CE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5 756.88</w:t>
            </w:r>
          </w:p>
        </w:tc>
        <w:tc>
          <w:tcPr>
            <w:tcW w:w="6077" w:type="dxa"/>
            <w:shd w:val="clear" w:color="auto" w:fill="FFFFFF" w:themeFill="background1"/>
          </w:tcPr>
          <w:p w14:paraId="3C5DC8F6" w14:textId="23CB4BFC"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Beneficiarul a solicitat indemnizație pentru creșterea copilului pentru perioada de 12 luni</w:t>
            </w:r>
            <w:r w:rsidR="002D2A2D">
              <w:rPr>
                <w:rFonts w:asciiTheme="majorHAnsi" w:hAnsiTheme="majorHAnsi" w:cstheme="majorHAnsi"/>
                <w:color w:val="auto"/>
                <w:sz w:val="20"/>
                <w:szCs w:val="20"/>
                <w:lang w:val="ro-MD"/>
              </w:rPr>
              <w:t>,</w:t>
            </w:r>
            <w:r w:rsidRPr="00736448">
              <w:rPr>
                <w:rFonts w:asciiTheme="majorHAnsi" w:hAnsiTheme="majorHAnsi" w:cstheme="majorHAnsi"/>
                <w:color w:val="auto"/>
                <w:sz w:val="20"/>
                <w:szCs w:val="20"/>
                <w:lang w:val="ro-MD"/>
              </w:rPr>
              <w:t xml:space="preserve"> ceea ce constituie 90% din venitul mediu lunar asigurat care a constituit 6 396.53 lei</w:t>
            </w:r>
          </w:p>
        </w:tc>
      </w:tr>
      <w:tr w:rsidR="00DB70CA" w:rsidRPr="00B7675F" w14:paraId="65196121" w14:textId="77777777" w:rsidTr="00B27804">
        <w:tc>
          <w:tcPr>
            <w:tcW w:w="520" w:type="dxa"/>
            <w:shd w:val="clear" w:color="auto" w:fill="FFFFFF" w:themeFill="background1"/>
          </w:tcPr>
          <w:p w14:paraId="375EC883"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7</w:t>
            </w:r>
          </w:p>
        </w:tc>
        <w:tc>
          <w:tcPr>
            <w:tcW w:w="2736" w:type="dxa"/>
            <w:shd w:val="clear" w:color="auto" w:fill="FFFFFF" w:themeFill="background1"/>
          </w:tcPr>
          <w:p w14:paraId="4A3F28D3"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7</w:t>
            </w:r>
          </w:p>
        </w:tc>
        <w:tc>
          <w:tcPr>
            <w:tcW w:w="1984" w:type="dxa"/>
            <w:shd w:val="clear" w:color="auto" w:fill="FFFFFF" w:themeFill="background1"/>
          </w:tcPr>
          <w:p w14:paraId="740DFB52"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B7675F">
              <w:rPr>
                <w:rFonts w:asciiTheme="majorHAnsi" w:hAnsiTheme="majorHAnsi" w:cstheme="majorHAnsi"/>
                <w:color w:val="auto"/>
                <w:sz w:val="20"/>
                <w:szCs w:val="20"/>
                <w:lang w:val="ro-MD"/>
              </w:rPr>
              <w:t>Indemnizație lunar</w:t>
            </w:r>
            <w:r w:rsidRPr="0038225D">
              <w:rPr>
                <w:rFonts w:asciiTheme="majorHAnsi" w:hAnsiTheme="majorHAnsi" w:cstheme="majorHAnsi"/>
                <w:color w:val="auto"/>
                <w:sz w:val="20"/>
                <w:szCs w:val="20"/>
                <w:lang w:val="ro-MD"/>
              </w:rPr>
              <w:t>ă pentru creșterea copilului până la 2 ani și 2 luni</w:t>
            </w:r>
          </w:p>
        </w:tc>
        <w:tc>
          <w:tcPr>
            <w:tcW w:w="1381" w:type="dxa"/>
            <w:shd w:val="clear" w:color="auto" w:fill="FFFFFF" w:themeFill="background1"/>
          </w:tcPr>
          <w:p w14:paraId="576F5C5E"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28.04.2022</w:t>
            </w:r>
          </w:p>
        </w:tc>
        <w:tc>
          <w:tcPr>
            <w:tcW w:w="1334" w:type="dxa"/>
            <w:shd w:val="clear" w:color="auto" w:fill="FFFFFF" w:themeFill="background1"/>
          </w:tcPr>
          <w:p w14:paraId="66376B6C"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3 596.38</w:t>
            </w:r>
          </w:p>
          <w:p w14:paraId="7720EFF0"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1 798.19</w:t>
            </w:r>
          </w:p>
          <w:p w14:paraId="45A1C4FF" w14:textId="77777777" w:rsidR="00DB70CA" w:rsidRPr="00736448" w:rsidRDefault="00DB70CA" w:rsidP="00490517">
            <w:pPr>
              <w:pStyle w:val="Default"/>
              <w:jc w:val="both"/>
              <w:rPr>
                <w:rFonts w:asciiTheme="majorHAnsi" w:hAnsiTheme="majorHAnsi" w:cstheme="majorHAnsi"/>
                <w:color w:val="auto"/>
                <w:sz w:val="20"/>
                <w:szCs w:val="20"/>
                <w:lang w:val="ro-MD"/>
              </w:rPr>
            </w:pPr>
          </w:p>
        </w:tc>
        <w:tc>
          <w:tcPr>
            <w:tcW w:w="6077" w:type="dxa"/>
            <w:shd w:val="clear" w:color="auto" w:fill="FFFFFF" w:themeFill="background1"/>
          </w:tcPr>
          <w:p w14:paraId="6A0F3962" w14:textId="48751245" w:rsidR="00DB70CA" w:rsidRPr="00736448" w:rsidRDefault="00DB70CA" w:rsidP="002D2A2D">
            <w:pPr>
              <w:pStyle w:val="Default"/>
              <w:jc w:val="both"/>
              <w:rPr>
                <w:rFonts w:asciiTheme="majorHAnsi" w:hAnsiTheme="majorHAnsi" w:cstheme="majorHAnsi"/>
                <w:color w:val="auto"/>
                <w:sz w:val="20"/>
                <w:szCs w:val="20"/>
                <w:shd w:val="clear" w:color="auto" w:fill="FFFFFF"/>
                <w:lang w:val="ro-MD"/>
              </w:rPr>
            </w:pPr>
            <w:r w:rsidRPr="00736448">
              <w:rPr>
                <w:rFonts w:asciiTheme="majorHAnsi" w:hAnsiTheme="majorHAnsi" w:cstheme="majorHAnsi"/>
                <w:color w:val="auto"/>
                <w:sz w:val="20"/>
                <w:szCs w:val="20"/>
                <w:lang w:val="ro-MD"/>
              </w:rPr>
              <w:t>Beneficiarul a solicitat indemnizație pentru creșterea copilului până la 2 ani și 2 luni, în acest caz până la împlinirea vârstei de 1 an a copilului indemnizație lunară se va stabili în cuantum de 60% din baza de calcul, din ziua următoare de împlinire a vârstei de 1 an până la împlinirea vârstei de 2 ani și 2 luni a copilului indemnizația se va stabili în cuantum de 30% din baza de calcul care constituie 5 993.97 lei</w:t>
            </w:r>
          </w:p>
        </w:tc>
      </w:tr>
      <w:tr w:rsidR="00DB70CA" w:rsidRPr="00B7675F" w14:paraId="0223CAF2" w14:textId="77777777" w:rsidTr="00B27804">
        <w:tc>
          <w:tcPr>
            <w:tcW w:w="520" w:type="dxa"/>
            <w:shd w:val="clear" w:color="auto" w:fill="FFFFFF" w:themeFill="background1"/>
          </w:tcPr>
          <w:p w14:paraId="19B02AD9"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8</w:t>
            </w:r>
          </w:p>
        </w:tc>
        <w:tc>
          <w:tcPr>
            <w:tcW w:w="2736" w:type="dxa"/>
            <w:shd w:val="clear" w:color="auto" w:fill="FFFFFF" w:themeFill="background1"/>
          </w:tcPr>
          <w:p w14:paraId="166883FA"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8</w:t>
            </w:r>
          </w:p>
        </w:tc>
        <w:tc>
          <w:tcPr>
            <w:tcW w:w="1984" w:type="dxa"/>
            <w:shd w:val="clear" w:color="auto" w:fill="FFFFFF" w:themeFill="background1"/>
          </w:tcPr>
          <w:p w14:paraId="429BC9B0" w14:textId="77777777" w:rsidR="00DB70CA" w:rsidRPr="00B7675F" w:rsidRDefault="00DB70CA" w:rsidP="00490517">
            <w:pPr>
              <w:pStyle w:val="Default"/>
              <w:jc w:val="both"/>
              <w:rPr>
                <w:rFonts w:asciiTheme="majorHAnsi" w:hAnsiTheme="majorHAnsi" w:cstheme="majorHAnsi"/>
                <w:color w:val="auto"/>
                <w:sz w:val="20"/>
                <w:szCs w:val="20"/>
                <w:lang w:val="ro-MD"/>
              </w:rPr>
            </w:pPr>
            <w:r w:rsidRPr="00B7675F">
              <w:rPr>
                <w:rFonts w:asciiTheme="majorHAnsi" w:hAnsiTheme="majorHAnsi" w:cstheme="majorHAnsi"/>
                <w:color w:val="auto"/>
                <w:sz w:val="20"/>
                <w:szCs w:val="20"/>
                <w:lang w:val="ro-MD"/>
              </w:rPr>
              <w:t>Indemnizație pentru incapacitate temporară de muncă</w:t>
            </w:r>
          </w:p>
        </w:tc>
        <w:tc>
          <w:tcPr>
            <w:tcW w:w="1381" w:type="dxa"/>
            <w:shd w:val="clear" w:color="auto" w:fill="FFFFFF" w:themeFill="background1"/>
          </w:tcPr>
          <w:p w14:paraId="6D9543CB" w14:textId="77777777" w:rsidR="00DB70CA" w:rsidRPr="0038225D" w:rsidRDefault="00DB70CA" w:rsidP="00490517">
            <w:pPr>
              <w:pStyle w:val="Default"/>
              <w:jc w:val="both"/>
              <w:rPr>
                <w:rFonts w:asciiTheme="majorHAnsi" w:hAnsiTheme="majorHAnsi" w:cstheme="majorHAnsi"/>
                <w:color w:val="auto"/>
                <w:sz w:val="20"/>
                <w:szCs w:val="20"/>
                <w:lang w:val="ro-MD"/>
              </w:rPr>
            </w:pPr>
            <w:r w:rsidRPr="0038225D">
              <w:rPr>
                <w:rFonts w:asciiTheme="majorHAnsi" w:hAnsiTheme="majorHAnsi" w:cstheme="majorHAnsi"/>
                <w:color w:val="auto"/>
                <w:sz w:val="20"/>
                <w:szCs w:val="20"/>
                <w:lang w:val="ro-MD"/>
              </w:rPr>
              <w:t>26.06.2022-27.06.2022</w:t>
            </w:r>
          </w:p>
        </w:tc>
        <w:tc>
          <w:tcPr>
            <w:tcW w:w="1334" w:type="dxa"/>
            <w:shd w:val="clear" w:color="auto" w:fill="FFFFFF" w:themeFill="background1"/>
          </w:tcPr>
          <w:p w14:paraId="1256C14E"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375.74</w:t>
            </w:r>
          </w:p>
        </w:tc>
        <w:tc>
          <w:tcPr>
            <w:tcW w:w="6077" w:type="dxa"/>
            <w:shd w:val="clear" w:color="auto" w:fill="FFFFFF" w:themeFill="background1"/>
          </w:tcPr>
          <w:p w14:paraId="254278DF" w14:textId="7BD3E63F"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Venitul mediu lunar asigurat fiind de 6262.35 lei (90%</w:t>
            </w:r>
            <w:r w:rsidR="002D2A2D">
              <w:rPr>
                <w:rFonts w:asciiTheme="majorHAnsi" w:hAnsiTheme="majorHAnsi" w:cstheme="majorHAnsi"/>
                <w:color w:val="auto"/>
                <w:sz w:val="20"/>
                <w:szCs w:val="20"/>
                <w:lang w:val="ro-MD"/>
              </w:rPr>
              <w:t>,</w:t>
            </w:r>
            <w:r w:rsidRPr="00736448">
              <w:rPr>
                <w:rFonts w:asciiTheme="majorHAnsi" w:hAnsiTheme="majorHAnsi" w:cstheme="majorHAnsi"/>
                <w:color w:val="auto"/>
                <w:sz w:val="20"/>
                <w:szCs w:val="20"/>
                <w:lang w:val="ro-MD"/>
              </w:rPr>
              <w:t xml:space="preserve"> deoarece stagiul de cotizare constituie 8 ani și 8 luni)</w:t>
            </w:r>
          </w:p>
        </w:tc>
      </w:tr>
      <w:tr w:rsidR="00DB70CA" w:rsidRPr="00B7675F" w14:paraId="4E4866F3" w14:textId="77777777" w:rsidTr="00B27804">
        <w:tc>
          <w:tcPr>
            <w:tcW w:w="520" w:type="dxa"/>
            <w:shd w:val="clear" w:color="auto" w:fill="FFFFFF" w:themeFill="background1"/>
          </w:tcPr>
          <w:p w14:paraId="322D67C7"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9</w:t>
            </w:r>
          </w:p>
        </w:tc>
        <w:tc>
          <w:tcPr>
            <w:tcW w:w="2736" w:type="dxa"/>
            <w:shd w:val="clear" w:color="auto" w:fill="FFFFFF" w:themeFill="background1"/>
          </w:tcPr>
          <w:p w14:paraId="12F30A2D"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Beneficiar 9</w:t>
            </w:r>
          </w:p>
        </w:tc>
        <w:tc>
          <w:tcPr>
            <w:tcW w:w="1984" w:type="dxa"/>
            <w:shd w:val="clear" w:color="auto" w:fill="FFFFFF" w:themeFill="background1"/>
          </w:tcPr>
          <w:p w14:paraId="10DA1267" w14:textId="77777777" w:rsidR="00DB70CA" w:rsidRPr="0038225D" w:rsidRDefault="00DB70CA" w:rsidP="00490517">
            <w:pPr>
              <w:pStyle w:val="Default"/>
              <w:jc w:val="both"/>
              <w:rPr>
                <w:rFonts w:asciiTheme="majorHAnsi" w:hAnsiTheme="majorHAnsi" w:cstheme="majorHAnsi"/>
                <w:color w:val="auto"/>
                <w:sz w:val="20"/>
                <w:szCs w:val="20"/>
                <w:lang w:val="ro-MD"/>
              </w:rPr>
            </w:pPr>
            <w:r w:rsidRPr="00B7675F">
              <w:rPr>
                <w:rFonts w:asciiTheme="majorHAnsi" w:hAnsiTheme="majorHAnsi" w:cstheme="majorHAnsi"/>
                <w:color w:val="auto"/>
                <w:sz w:val="20"/>
                <w:szCs w:val="20"/>
                <w:lang w:val="ro-MD"/>
              </w:rPr>
              <w:t>Indemnizație pentru incapacitate tem</w:t>
            </w:r>
            <w:r w:rsidRPr="0038225D">
              <w:rPr>
                <w:rFonts w:asciiTheme="majorHAnsi" w:hAnsiTheme="majorHAnsi" w:cstheme="majorHAnsi"/>
                <w:color w:val="auto"/>
                <w:sz w:val="20"/>
                <w:szCs w:val="20"/>
                <w:lang w:val="ro-MD"/>
              </w:rPr>
              <w:t>porară de muncă</w:t>
            </w:r>
          </w:p>
        </w:tc>
        <w:tc>
          <w:tcPr>
            <w:tcW w:w="1381" w:type="dxa"/>
            <w:shd w:val="clear" w:color="auto" w:fill="FFFFFF" w:themeFill="background1"/>
          </w:tcPr>
          <w:p w14:paraId="1900B9C9"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14.01.2022-24.01.2022</w:t>
            </w:r>
          </w:p>
        </w:tc>
        <w:tc>
          <w:tcPr>
            <w:tcW w:w="1334" w:type="dxa"/>
            <w:shd w:val="clear" w:color="auto" w:fill="FFFFFF" w:themeFill="background1"/>
          </w:tcPr>
          <w:p w14:paraId="4BE4089E" w14:textId="77777777"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1 472.16</w:t>
            </w:r>
          </w:p>
        </w:tc>
        <w:tc>
          <w:tcPr>
            <w:tcW w:w="6077" w:type="dxa"/>
            <w:shd w:val="clear" w:color="auto" w:fill="FFFFFF" w:themeFill="background1"/>
          </w:tcPr>
          <w:p w14:paraId="062B82DF" w14:textId="399EF06D" w:rsidR="00DB70CA" w:rsidRPr="00736448" w:rsidRDefault="00DB70CA" w:rsidP="00490517">
            <w:pPr>
              <w:pStyle w:val="Default"/>
              <w:jc w:val="both"/>
              <w:rPr>
                <w:rFonts w:asciiTheme="majorHAnsi" w:hAnsiTheme="majorHAnsi" w:cstheme="majorHAnsi"/>
                <w:color w:val="auto"/>
                <w:sz w:val="20"/>
                <w:szCs w:val="20"/>
                <w:lang w:val="ro-MD"/>
              </w:rPr>
            </w:pPr>
            <w:r w:rsidRPr="00736448">
              <w:rPr>
                <w:rFonts w:asciiTheme="majorHAnsi" w:hAnsiTheme="majorHAnsi" w:cstheme="majorHAnsi"/>
                <w:color w:val="auto"/>
                <w:sz w:val="20"/>
                <w:szCs w:val="20"/>
                <w:lang w:val="ro-MD"/>
              </w:rPr>
              <w:t>Venitul mediu lunar asigurat fiind de 5 926.88 lei (70%</w:t>
            </w:r>
            <w:r w:rsidR="002D2A2D">
              <w:rPr>
                <w:rFonts w:asciiTheme="majorHAnsi" w:hAnsiTheme="majorHAnsi" w:cstheme="majorHAnsi"/>
                <w:color w:val="auto"/>
                <w:sz w:val="20"/>
                <w:szCs w:val="20"/>
                <w:lang w:val="ro-MD"/>
              </w:rPr>
              <w:t>,</w:t>
            </w:r>
            <w:r w:rsidRPr="00736448">
              <w:rPr>
                <w:rFonts w:asciiTheme="majorHAnsi" w:hAnsiTheme="majorHAnsi" w:cstheme="majorHAnsi"/>
                <w:color w:val="auto"/>
                <w:sz w:val="20"/>
                <w:szCs w:val="20"/>
                <w:lang w:val="ro-MD"/>
              </w:rPr>
              <w:t xml:space="preserve"> deoarece stagiul de cotizare constituie 6 ani și 1 lună)</w:t>
            </w:r>
          </w:p>
        </w:tc>
      </w:tr>
    </w:tbl>
    <w:p w14:paraId="6C49D8BD" w14:textId="77777777" w:rsidR="004C228A" w:rsidRPr="00736448" w:rsidRDefault="004C228A" w:rsidP="00DB70CA">
      <w:pPr>
        <w:rPr>
          <w:rFonts w:cstheme="majorHAnsi"/>
          <w:b/>
          <w:bCs/>
          <w:color w:val="000000" w:themeColor="text1"/>
          <w:sz w:val="24"/>
          <w:szCs w:val="24"/>
          <w:lang w:val="ro-MD"/>
        </w:rPr>
        <w:sectPr w:rsidR="004C228A" w:rsidRPr="00736448" w:rsidSect="004C228A">
          <w:pgSz w:w="15840" w:h="12240" w:orient="landscape"/>
          <w:pgMar w:top="1355" w:right="1140" w:bottom="851" w:left="1140" w:header="720" w:footer="720" w:gutter="0"/>
          <w:cols w:space="720"/>
          <w:titlePg/>
          <w:docGrid w:linePitch="360"/>
        </w:sectPr>
      </w:pPr>
    </w:p>
    <w:p w14:paraId="023BD9ED" w14:textId="77777777" w:rsidR="004C228A" w:rsidRPr="00736448" w:rsidRDefault="00DC25E0" w:rsidP="00444516">
      <w:pPr>
        <w:pStyle w:val="2"/>
        <w:jc w:val="right"/>
        <w:rPr>
          <w:b/>
          <w:color w:val="000000" w:themeColor="text1"/>
          <w:sz w:val="24"/>
          <w:lang w:val="ro-MD"/>
        </w:rPr>
      </w:pPr>
      <w:r w:rsidRPr="00736448">
        <w:rPr>
          <w:b/>
          <w:color w:val="000000" w:themeColor="text1"/>
          <w:sz w:val="24"/>
          <w:lang w:val="ro-MD"/>
        </w:rPr>
        <w:t>Anexa nr.</w:t>
      </w:r>
      <w:r w:rsidR="004C228A" w:rsidRPr="00736448">
        <w:rPr>
          <w:b/>
          <w:color w:val="000000" w:themeColor="text1"/>
          <w:sz w:val="24"/>
          <w:lang w:val="ro-MD"/>
        </w:rPr>
        <w:t>5</w:t>
      </w:r>
    </w:p>
    <w:p w14:paraId="3ED8B10F" w14:textId="614514FD" w:rsidR="00DC25E0" w:rsidRPr="00736448" w:rsidRDefault="004C228A" w:rsidP="004C228A">
      <w:pPr>
        <w:jc w:val="center"/>
        <w:rPr>
          <w:rFonts w:asciiTheme="majorHAnsi" w:hAnsiTheme="majorHAnsi"/>
          <w:b/>
          <w:sz w:val="24"/>
          <w:lang w:val="ro-MD"/>
        </w:rPr>
      </w:pPr>
      <w:r w:rsidRPr="00736448">
        <w:rPr>
          <w:rFonts w:asciiTheme="majorHAnsi" w:hAnsiTheme="majorHAnsi"/>
          <w:b/>
          <w:sz w:val="24"/>
          <w:lang w:val="ro-MD"/>
        </w:rPr>
        <w:t xml:space="preserve">Informații privind cabinetele avocaților care nu au declarat și achitat contribuții </w:t>
      </w:r>
      <w:r w:rsidR="002D2A2D">
        <w:rPr>
          <w:rFonts w:asciiTheme="majorHAnsi" w:hAnsiTheme="majorHAnsi"/>
          <w:b/>
          <w:sz w:val="24"/>
          <w:lang w:val="ro-MD"/>
        </w:rPr>
        <w:t xml:space="preserve">la </w:t>
      </w:r>
      <w:r w:rsidRPr="00736448">
        <w:rPr>
          <w:rFonts w:asciiTheme="majorHAnsi" w:hAnsiTheme="majorHAnsi"/>
          <w:b/>
          <w:sz w:val="24"/>
          <w:lang w:val="ro-MD"/>
        </w:rPr>
        <w:t>BASS</w:t>
      </w:r>
    </w:p>
    <w:tbl>
      <w:tblPr>
        <w:tblW w:w="10723" w:type="dxa"/>
        <w:tblInd w:w="-545" w:type="dxa"/>
        <w:tblLook w:val="04A0" w:firstRow="1" w:lastRow="0" w:firstColumn="1" w:lastColumn="0" w:noHBand="0" w:noVBand="1"/>
      </w:tblPr>
      <w:tblGrid>
        <w:gridCol w:w="560"/>
        <w:gridCol w:w="1420"/>
        <w:gridCol w:w="1273"/>
        <w:gridCol w:w="1682"/>
        <w:gridCol w:w="1108"/>
        <w:gridCol w:w="1800"/>
        <w:gridCol w:w="1350"/>
        <w:gridCol w:w="1530"/>
      </w:tblGrid>
      <w:tr w:rsidR="00DC25E0" w:rsidRPr="00B7675F" w14:paraId="4E6C4492" w14:textId="77777777" w:rsidTr="00911B93">
        <w:trPr>
          <w:trHeight w:val="20"/>
        </w:trPr>
        <w:tc>
          <w:tcPr>
            <w:tcW w:w="560" w:type="dxa"/>
            <w:vMerge w:val="restart"/>
            <w:tcBorders>
              <w:top w:val="single" w:sz="4" w:space="0" w:color="auto"/>
              <w:left w:val="single" w:sz="4" w:space="0" w:color="auto"/>
              <w:right w:val="single" w:sz="4" w:space="0" w:color="auto"/>
            </w:tcBorders>
            <w:shd w:val="clear" w:color="auto" w:fill="auto"/>
            <w:vAlign w:val="center"/>
            <w:hideMark/>
          </w:tcPr>
          <w:p w14:paraId="1A0D5655" w14:textId="4E4AC4B8" w:rsidR="00DC25E0" w:rsidRPr="00736448" w:rsidRDefault="00DC25E0" w:rsidP="00E15964">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 xml:space="preserve">Nr. </w:t>
            </w:r>
            <w:r w:rsidR="00E15964">
              <w:rPr>
                <w:rFonts w:asciiTheme="majorHAnsi" w:eastAsia="Times New Roman" w:hAnsiTheme="majorHAnsi" w:cs="Calibri"/>
                <w:b/>
                <w:bCs/>
                <w:color w:val="000000"/>
                <w:sz w:val="20"/>
                <w:szCs w:val="20"/>
                <w:lang w:val="ro-MD"/>
              </w:rPr>
              <w:t>crt.</w:t>
            </w:r>
          </w:p>
        </w:tc>
        <w:tc>
          <w:tcPr>
            <w:tcW w:w="1420" w:type="dxa"/>
            <w:vMerge w:val="restart"/>
            <w:tcBorders>
              <w:top w:val="single" w:sz="4" w:space="0" w:color="auto"/>
              <w:left w:val="single" w:sz="4" w:space="0" w:color="auto"/>
              <w:right w:val="single" w:sz="4" w:space="0" w:color="auto"/>
            </w:tcBorders>
            <w:shd w:val="clear" w:color="auto" w:fill="auto"/>
            <w:vAlign w:val="center"/>
            <w:hideMark/>
          </w:tcPr>
          <w:p w14:paraId="0CB5B21B"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Cabinetul avocatului</w:t>
            </w:r>
          </w:p>
        </w:tc>
        <w:tc>
          <w:tcPr>
            <w:tcW w:w="1273" w:type="dxa"/>
            <w:vMerge w:val="restart"/>
            <w:tcBorders>
              <w:top w:val="single" w:sz="4" w:space="0" w:color="auto"/>
              <w:left w:val="single" w:sz="4" w:space="0" w:color="auto"/>
              <w:right w:val="single" w:sz="4" w:space="0" w:color="auto"/>
            </w:tcBorders>
            <w:shd w:val="clear" w:color="auto" w:fill="auto"/>
            <w:vAlign w:val="center"/>
            <w:hideMark/>
          </w:tcPr>
          <w:p w14:paraId="317E6444"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Data înregistrării activității</w:t>
            </w:r>
          </w:p>
        </w:tc>
        <w:tc>
          <w:tcPr>
            <w:tcW w:w="2790" w:type="dxa"/>
            <w:gridSpan w:val="2"/>
            <w:tcBorders>
              <w:top w:val="single" w:sz="4" w:space="0" w:color="auto"/>
              <w:left w:val="nil"/>
              <w:bottom w:val="single" w:sz="4" w:space="0" w:color="auto"/>
              <w:right w:val="single" w:sz="4" w:space="0" w:color="auto"/>
            </w:tcBorders>
            <w:shd w:val="clear" w:color="auto" w:fill="auto"/>
            <w:vAlign w:val="center"/>
          </w:tcPr>
          <w:p w14:paraId="58D94FDB"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Anul 2021</w:t>
            </w:r>
          </w:p>
        </w:tc>
        <w:tc>
          <w:tcPr>
            <w:tcW w:w="3150" w:type="dxa"/>
            <w:gridSpan w:val="2"/>
            <w:tcBorders>
              <w:top w:val="single" w:sz="4" w:space="0" w:color="auto"/>
              <w:left w:val="nil"/>
              <w:bottom w:val="single" w:sz="4" w:space="0" w:color="auto"/>
              <w:right w:val="single" w:sz="4" w:space="0" w:color="auto"/>
            </w:tcBorders>
            <w:shd w:val="clear" w:color="auto" w:fill="auto"/>
            <w:vAlign w:val="center"/>
          </w:tcPr>
          <w:p w14:paraId="23D96585"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Anul 2022</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14:paraId="66185470"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Total contribuții de asigurări sociale datorate (lei)</w:t>
            </w:r>
          </w:p>
        </w:tc>
      </w:tr>
      <w:tr w:rsidR="00DC25E0" w:rsidRPr="00B7675F" w14:paraId="7725973B" w14:textId="77777777" w:rsidTr="00911B93">
        <w:trPr>
          <w:trHeight w:val="244"/>
        </w:trPr>
        <w:tc>
          <w:tcPr>
            <w:tcW w:w="560" w:type="dxa"/>
            <w:vMerge/>
            <w:tcBorders>
              <w:left w:val="single" w:sz="4" w:space="0" w:color="auto"/>
              <w:bottom w:val="nil"/>
              <w:right w:val="single" w:sz="4" w:space="0" w:color="auto"/>
            </w:tcBorders>
            <w:shd w:val="clear" w:color="auto" w:fill="auto"/>
            <w:vAlign w:val="center"/>
          </w:tcPr>
          <w:p w14:paraId="2A8F86DB"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420" w:type="dxa"/>
            <w:vMerge/>
            <w:tcBorders>
              <w:left w:val="single" w:sz="4" w:space="0" w:color="auto"/>
              <w:right w:val="single" w:sz="4" w:space="0" w:color="auto"/>
            </w:tcBorders>
            <w:shd w:val="clear" w:color="auto" w:fill="auto"/>
            <w:vAlign w:val="center"/>
          </w:tcPr>
          <w:p w14:paraId="5F355606"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273" w:type="dxa"/>
            <w:vMerge/>
            <w:tcBorders>
              <w:left w:val="single" w:sz="4" w:space="0" w:color="auto"/>
              <w:right w:val="single" w:sz="4" w:space="0" w:color="auto"/>
            </w:tcBorders>
            <w:shd w:val="clear" w:color="auto" w:fill="auto"/>
            <w:vAlign w:val="center"/>
          </w:tcPr>
          <w:p w14:paraId="1C32158C"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682" w:type="dxa"/>
            <w:vMerge w:val="restart"/>
            <w:tcBorders>
              <w:top w:val="single" w:sz="4" w:space="0" w:color="auto"/>
              <w:left w:val="nil"/>
              <w:right w:val="single" w:sz="4" w:space="0" w:color="auto"/>
            </w:tcBorders>
            <w:shd w:val="clear" w:color="auto" w:fill="auto"/>
            <w:vAlign w:val="center"/>
          </w:tcPr>
          <w:p w14:paraId="48716EE1"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Dările de seamă (IPC21) neprezentate (luna)</w:t>
            </w:r>
          </w:p>
        </w:tc>
        <w:tc>
          <w:tcPr>
            <w:tcW w:w="1108" w:type="dxa"/>
            <w:vMerge w:val="restart"/>
            <w:tcBorders>
              <w:top w:val="single" w:sz="4" w:space="0" w:color="auto"/>
              <w:left w:val="nil"/>
              <w:right w:val="single" w:sz="4" w:space="0" w:color="auto"/>
            </w:tcBorders>
            <w:shd w:val="clear" w:color="auto" w:fill="auto"/>
            <w:vAlign w:val="center"/>
          </w:tcPr>
          <w:p w14:paraId="42B79178"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Contribuții de asigurări sociale aferente (lei)</w:t>
            </w:r>
          </w:p>
        </w:tc>
        <w:tc>
          <w:tcPr>
            <w:tcW w:w="1800" w:type="dxa"/>
            <w:vMerge w:val="restart"/>
            <w:tcBorders>
              <w:top w:val="single" w:sz="4" w:space="0" w:color="auto"/>
              <w:left w:val="nil"/>
              <w:right w:val="single" w:sz="4" w:space="0" w:color="auto"/>
            </w:tcBorders>
            <w:shd w:val="clear" w:color="auto" w:fill="auto"/>
            <w:vAlign w:val="center"/>
          </w:tcPr>
          <w:p w14:paraId="1754795F"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Dări de seamă (IPC21) neprezentate (luna)</w:t>
            </w:r>
          </w:p>
        </w:tc>
        <w:tc>
          <w:tcPr>
            <w:tcW w:w="1350" w:type="dxa"/>
            <w:vMerge w:val="restart"/>
            <w:tcBorders>
              <w:top w:val="single" w:sz="4" w:space="0" w:color="auto"/>
              <w:left w:val="nil"/>
              <w:right w:val="single" w:sz="4" w:space="0" w:color="auto"/>
            </w:tcBorders>
            <w:shd w:val="clear" w:color="auto" w:fill="auto"/>
            <w:vAlign w:val="center"/>
          </w:tcPr>
          <w:p w14:paraId="1EC0DDA6"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Contribuții de asigurări sociale aferente (lei)</w:t>
            </w:r>
          </w:p>
        </w:tc>
        <w:tc>
          <w:tcPr>
            <w:tcW w:w="1530" w:type="dxa"/>
            <w:vMerge/>
            <w:tcBorders>
              <w:left w:val="single" w:sz="4" w:space="0" w:color="auto"/>
              <w:right w:val="single" w:sz="4" w:space="0" w:color="auto"/>
            </w:tcBorders>
            <w:shd w:val="clear" w:color="auto" w:fill="auto"/>
            <w:vAlign w:val="center"/>
          </w:tcPr>
          <w:p w14:paraId="6803DC41"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r>
      <w:tr w:rsidR="00DC25E0" w:rsidRPr="00B7675F" w14:paraId="3E5772D3"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827A8AB"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 </w:t>
            </w:r>
          </w:p>
        </w:tc>
        <w:tc>
          <w:tcPr>
            <w:tcW w:w="1420" w:type="dxa"/>
            <w:vMerge/>
            <w:tcBorders>
              <w:left w:val="single" w:sz="4" w:space="0" w:color="auto"/>
              <w:bottom w:val="single" w:sz="4" w:space="0" w:color="000000"/>
              <w:right w:val="single" w:sz="4" w:space="0" w:color="auto"/>
            </w:tcBorders>
            <w:shd w:val="clear" w:color="auto" w:fill="auto"/>
            <w:vAlign w:val="center"/>
            <w:hideMark/>
          </w:tcPr>
          <w:p w14:paraId="247E9A3D" w14:textId="77777777" w:rsidR="00DC25E0" w:rsidRPr="00736448" w:rsidRDefault="00DC25E0" w:rsidP="00911B93">
            <w:pPr>
              <w:spacing w:after="0" w:line="240" w:lineRule="auto"/>
              <w:rPr>
                <w:rFonts w:asciiTheme="majorHAnsi" w:eastAsia="Times New Roman" w:hAnsiTheme="majorHAnsi" w:cs="Calibri"/>
                <w:color w:val="000000"/>
                <w:sz w:val="20"/>
                <w:szCs w:val="20"/>
                <w:lang w:val="ro-MD"/>
              </w:rPr>
            </w:pPr>
          </w:p>
        </w:tc>
        <w:tc>
          <w:tcPr>
            <w:tcW w:w="1273" w:type="dxa"/>
            <w:vMerge/>
            <w:tcBorders>
              <w:left w:val="single" w:sz="4" w:space="0" w:color="auto"/>
              <w:bottom w:val="single" w:sz="4" w:space="0" w:color="000000"/>
              <w:right w:val="single" w:sz="4" w:space="0" w:color="auto"/>
            </w:tcBorders>
            <w:shd w:val="clear" w:color="auto" w:fill="auto"/>
            <w:vAlign w:val="center"/>
            <w:hideMark/>
          </w:tcPr>
          <w:p w14:paraId="27EFE237" w14:textId="77777777" w:rsidR="00DC25E0" w:rsidRPr="00736448" w:rsidRDefault="00DC25E0" w:rsidP="00911B93">
            <w:pPr>
              <w:spacing w:after="0" w:line="240" w:lineRule="auto"/>
              <w:rPr>
                <w:rFonts w:asciiTheme="majorHAnsi" w:eastAsia="Times New Roman" w:hAnsiTheme="majorHAnsi" w:cs="Calibri"/>
                <w:color w:val="000000"/>
                <w:sz w:val="20"/>
                <w:szCs w:val="20"/>
                <w:lang w:val="ro-MD"/>
              </w:rPr>
            </w:pPr>
          </w:p>
        </w:tc>
        <w:tc>
          <w:tcPr>
            <w:tcW w:w="1682" w:type="dxa"/>
            <w:vMerge/>
            <w:tcBorders>
              <w:left w:val="nil"/>
              <w:bottom w:val="single" w:sz="4" w:space="0" w:color="auto"/>
              <w:right w:val="single" w:sz="4" w:space="0" w:color="auto"/>
            </w:tcBorders>
            <w:shd w:val="clear" w:color="auto" w:fill="auto"/>
            <w:vAlign w:val="bottom"/>
            <w:hideMark/>
          </w:tcPr>
          <w:p w14:paraId="38C61978"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108" w:type="dxa"/>
            <w:vMerge/>
            <w:tcBorders>
              <w:left w:val="single" w:sz="4" w:space="0" w:color="auto"/>
              <w:bottom w:val="single" w:sz="4" w:space="0" w:color="auto"/>
              <w:right w:val="single" w:sz="4" w:space="0" w:color="auto"/>
            </w:tcBorders>
            <w:shd w:val="clear" w:color="auto" w:fill="auto"/>
            <w:vAlign w:val="bottom"/>
          </w:tcPr>
          <w:p w14:paraId="22CBE0FE"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800" w:type="dxa"/>
            <w:vMerge/>
            <w:tcBorders>
              <w:left w:val="single" w:sz="4" w:space="0" w:color="auto"/>
              <w:bottom w:val="single" w:sz="4" w:space="0" w:color="auto"/>
              <w:right w:val="single" w:sz="4" w:space="0" w:color="auto"/>
            </w:tcBorders>
            <w:shd w:val="clear" w:color="auto" w:fill="auto"/>
            <w:vAlign w:val="bottom"/>
            <w:hideMark/>
          </w:tcPr>
          <w:p w14:paraId="0283464C"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350" w:type="dxa"/>
            <w:vMerge/>
            <w:tcBorders>
              <w:left w:val="single" w:sz="4" w:space="0" w:color="auto"/>
              <w:bottom w:val="single" w:sz="4" w:space="0" w:color="auto"/>
              <w:right w:val="single" w:sz="4" w:space="0" w:color="auto"/>
            </w:tcBorders>
            <w:shd w:val="clear" w:color="auto" w:fill="auto"/>
            <w:vAlign w:val="bottom"/>
          </w:tcPr>
          <w:p w14:paraId="012C72CF"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530" w:type="dxa"/>
            <w:vMerge/>
            <w:tcBorders>
              <w:left w:val="single" w:sz="4" w:space="0" w:color="auto"/>
              <w:bottom w:val="single" w:sz="4" w:space="0" w:color="000000"/>
              <w:right w:val="single" w:sz="4" w:space="0" w:color="auto"/>
            </w:tcBorders>
            <w:shd w:val="clear" w:color="auto" w:fill="auto"/>
            <w:vAlign w:val="center"/>
            <w:hideMark/>
          </w:tcPr>
          <w:p w14:paraId="213D0E39" w14:textId="77777777" w:rsidR="00DC25E0" w:rsidRPr="00736448" w:rsidRDefault="00DC25E0" w:rsidP="00911B93">
            <w:pPr>
              <w:spacing w:after="0" w:line="240" w:lineRule="auto"/>
              <w:rPr>
                <w:rFonts w:asciiTheme="majorHAnsi" w:eastAsia="Times New Roman" w:hAnsiTheme="majorHAnsi" w:cs="Calibri"/>
                <w:color w:val="000000"/>
                <w:sz w:val="20"/>
                <w:szCs w:val="20"/>
                <w:lang w:val="ro-MD"/>
              </w:rPr>
            </w:pPr>
          </w:p>
        </w:tc>
      </w:tr>
      <w:tr w:rsidR="00DC25E0" w:rsidRPr="00B7675F" w14:paraId="0B251DA6"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3BDCD258"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w:t>
            </w:r>
          </w:p>
        </w:tc>
        <w:tc>
          <w:tcPr>
            <w:tcW w:w="1420" w:type="dxa"/>
            <w:tcBorders>
              <w:top w:val="nil"/>
              <w:left w:val="nil"/>
              <w:bottom w:val="single" w:sz="4" w:space="0" w:color="auto"/>
              <w:right w:val="single" w:sz="4" w:space="0" w:color="auto"/>
            </w:tcBorders>
            <w:shd w:val="clear" w:color="auto" w:fill="auto"/>
            <w:vAlign w:val="bottom"/>
            <w:hideMark/>
          </w:tcPr>
          <w:p w14:paraId="217E5948"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w:t>
            </w:r>
          </w:p>
        </w:tc>
        <w:tc>
          <w:tcPr>
            <w:tcW w:w="1273" w:type="dxa"/>
            <w:tcBorders>
              <w:top w:val="nil"/>
              <w:left w:val="nil"/>
              <w:bottom w:val="single" w:sz="4" w:space="0" w:color="auto"/>
              <w:right w:val="single" w:sz="4" w:space="0" w:color="auto"/>
            </w:tcBorders>
            <w:shd w:val="clear" w:color="auto" w:fill="auto"/>
            <w:vAlign w:val="bottom"/>
            <w:hideMark/>
          </w:tcPr>
          <w:p w14:paraId="0733D46F"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3/2/2021</w:t>
            </w:r>
          </w:p>
        </w:tc>
        <w:tc>
          <w:tcPr>
            <w:tcW w:w="1682" w:type="dxa"/>
            <w:tcBorders>
              <w:top w:val="nil"/>
              <w:left w:val="nil"/>
              <w:bottom w:val="single" w:sz="4" w:space="0" w:color="auto"/>
              <w:right w:val="single" w:sz="4" w:space="0" w:color="auto"/>
            </w:tcBorders>
            <w:shd w:val="clear" w:color="auto" w:fill="auto"/>
            <w:vAlign w:val="bottom"/>
            <w:hideMark/>
          </w:tcPr>
          <w:p w14:paraId="6A695F6B"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martie-decembrie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677E7571"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800" w:type="dxa"/>
            <w:tcBorders>
              <w:top w:val="nil"/>
              <w:left w:val="nil"/>
              <w:bottom w:val="single" w:sz="4" w:space="0" w:color="auto"/>
              <w:right w:val="single" w:sz="4" w:space="0" w:color="auto"/>
            </w:tcBorders>
            <w:shd w:val="clear" w:color="auto" w:fill="auto"/>
            <w:noWrap/>
            <w:vAlign w:val="bottom"/>
            <w:hideMark/>
          </w:tcPr>
          <w:p w14:paraId="796C6DA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ianuarie-decembrie</w:t>
            </w:r>
          </w:p>
        </w:tc>
        <w:tc>
          <w:tcPr>
            <w:tcW w:w="1350" w:type="dxa"/>
            <w:tcBorders>
              <w:top w:val="nil"/>
              <w:left w:val="nil"/>
              <w:bottom w:val="single" w:sz="4" w:space="0" w:color="auto"/>
              <w:right w:val="single" w:sz="4" w:space="0" w:color="auto"/>
            </w:tcBorders>
            <w:shd w:val="clear" w:color="auto" w:fill="auto"/>
            <w:noWrap/>
            <w:vAlign w:val="bottom"/>
            <w:hideMark/>
          </w:tcPr>
          <w:p w14:paraId="4FB6A3D0"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24255.0</w:t>
            </w:r>
          </w:p>
        </w:tc>
        <w:tc>
          <w:tcPr>
            <w:tcW w:w="1530" w:type="dxa"/>
            <w:tcBorders>
              <w:top w:val="nil"/>
              <w:left w:val="nil"/>
              <w:bottom w:val="single" w:sz="4" w:space="0" w:color="auto"/>
              <w:right w:val="single" w:sz="4" w:space="0" w:color="auto"/>
            </w:tcBorders>
            <w:shd w:val="clear" w:color="auto" w:fill="auto"/>
            <w:noWrap/>
            <w:vAlign w:val="bottom"/>
            <w:hideMark/>
          </w:tcPr>
          <w:p w14:paraId="2CB732D0"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44467.5</w:t>
            </w:r>
          </w:p>
        </w:tc>
      </w:tr>
      <w:tr w:rsidR="00DC25E0" w:rsidRPr="00B7675F" w14:paraId="13DE040A"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29EF12BE"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2</w:t>
            </w:r>
          </w:p>
        </w:tc>
        <w:tc>
          <w:tcPr>
            <w:tcW w:w="1420" w:type="dxa"/>
            <w:tcBorders>
              <w:top w:val="nil"/>
              <w:left w:val="nil"/>
              <w:bottom w:val="single" w:sz="4" w:space="0" w:color="auto"/>
              <w:right w:val="single" w:sz="4" w:space="0" w:color="auto"/>
            </w:tcBorders>
            <w:shd w:val="clear" w:color="auto" w:fill="auto"/>
            <w:vAlign w:val="bottom"/>
            <w:hideMark/>
          </w:tcPr>
          <w:p w14:paraId="53AEC7A8"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2</w:t>
            </w:r>
          </w:p>
        </w:tc>
        <w:tc>
          <w:tcPr>
            <w:tcW w:w="1273" w:type="dxa"/>
            <w:tcBorders>
              <w:top w:val="nil"/>
              <w:left w:val="nil"/>
              <w:bottom w:val="single" w:sz="4" w:space="0" w:color="auto"/>
              <w:right w:val="single" w:sz="4" w:space="0" w:color="auto"/>
            </w:tcBorders>
            <w:shd w:val="clear" w:color="auto" w:fill="auto"/>
            <w:vAlign w:val="bottom"/>
            <w:hideMark/>
          </w:tcPr>
          <w:p w14:paraId="732E608E"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3/4/2021</w:t>
            </w:r>
          </w:p>
        </w:tc>
        <w:tc>
          <w:tcPr>
            <w:tcW w:w="1682" w:type="dxa"/>
            <w:tcBorders>
              <w:top w:val="nil"/>
              <w:left w:val="nil"/>
              <w:bottom w:val="single" w:sz="4" w:space="0" w:color="auto"/>
              <w:right w:val="single" w:sz="4" w:space="0" w:color="auto"/>
            </w:tcBorders>
            <w:shd w:val="clear" w:color="auto" w:fill="auto"/>
            <w:vAlign w:val="bottom"/>
            <w:hideMark/>
          </w:tcPr>
          <w:p w14:paraId="553B1056"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55EE8AA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3B4B347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octombrie-decembrie</w:t>
            </w:r>
          </w:p>
        </w:tc>
        <w:tc>
          <w:tcPr>
            <w:tcW w:w="1350" w:type="dxa"/>
            <w:tcBorders>
              <w:top w:val="nil"/>
              <w:left w:val="nil"/>
              <w:bottom w:val="single" w:sz="4" w:space="0" w:color="auto"/>
              <w:right w:val="single" w:sz="4" w:space="0" w:color="auto"/>
            </w:tcBorders>
            <w:shd w:val="clear" w:color="auto" w:fill="auto"/>
            <w:noWrap/>
            <w:vAlign w:val="bottom"/>
            <w:hideMark/>
          </w:tcPr>
          <w:p w14:paraId="4F2796DC"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6063.8</w:t>
            </w:r>
          </w:p>
        </w:tc>
        <w:tc>
          <w:tcPr>
            <w:tcW w:w="1530" w:type="dxa"/>
            <w:tcBorders>
              <w:top w:val="nil"/>
              <w:left w:val="nil"/>
              <w:bottom w:val="single" w:sz="4" w:space="0" w:color="auto"/>
              <w:right w:val="single" w:sz="4" w:space="0" w:color="auto"/>
            </w:tcBorders>
            <w:shd w:val="clear" w:color="auto" w:fill="auto"/>
            <w:noWrap/>
            <w:vAlign w:val="bottom"/>
            <w:hideMark/>
          </w:tcPr>
          <w:p w14:paraId="3CD35E86"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6063.75</w:t>
            </w:r>
          </w:p>
        </w:tc>
      </w:tr>
      <w:tr w:rsidR="00DC25E0" w:rsidRPr="00B7675F" w14:paraId="4F509907"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74DA071"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3</w:t>
            </w:r>
          </w:p>
        </w:tc>
        <w:tc>
          <w:tcPr>
            <w:tcW w:w="1420" w:type="dxa"/>
            <w:tcBorders>
              <w:top w:val="nil"/>
              <w:left w:val="nil"/>
              <w:bottom w:val="single" w:sz="4" w:space="0" w:color="auto"/>
              <w:right w:val="single" w:sz="4" w:space="0" w:color="auto"/>
            </w:tcBorders>
            <w:shd w:val="clear" w:color="auto" w:fill="auto"/>
            <w:vAlign w:val="bottom"/>
            <w:hideMark/>
          </w:tcPr>
          <w:p w14:paraId="0810DA5C"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3</w:t>
            </w:r>
          </w:p>
        </w:tc>
        <w:tc>
          <w:tcPr>
            <w:tcW w:w="1273" w:type="dxa"/>
            <w:tcBorders>
              <w:top w:val="nil"/>
              <w:left w:val="nil"/>
              <w:bottom w:val="single" w:sz="4" w:space="0" w:color="auto"/>
              <w:right w:val="single" w:sz="4" w:space="0" w:color="auto"/>
            </w:tcBorders>
            <w:shd w:val="clear" w:color="auto" w:fill="auto"/>
            <w:vAlign w:val="bottom"/>
            <w:hideMark/>
          </w:tcPr>
          <w:p w14:paraId="09959D98"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3/9/2021</w:t>
            </w:r>
          </w:p>
        </w:tc>
        <w:tc>
          <w:tcPr>
            <w:tcW w:w="1682" w:type="dxa"/>
            <w:tcBorders>
              <w:top w:val="nil"/>
              <w:left w:val="nil"/>
              <w:bottom w:val="single" w:sz="4" w:space="0" w:color="auto"/>
              <w:right w:val="single" w:sz="4" w:space="0" w:color="auto"/>
            </w:tcBorders>
            <w:shd w:val="clear" w:color="auto" w:fill="auto"/>
            <w:vAlign w:val="bottom"/>
            <w:hideMark/>
          </w:tcPr>
          <w:p w14:paraId="4BCB7D1A"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martie-decembrie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588B20B7"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800" w:type="dxa"/>
            <w:tcBorders>
              <w:top w:val="nil"/>
              <w:left w:val="nil"/>
              <w:bottom w:val="single" w:sz="4" w:space="0" w:color="auto"/>
              <w:right w:val="single" w:sz="4" w:space="0" w:color="auto"/>
            </w:tcBorders>
            <w:shd w:val="clear" w:color="auto" w:fill="auto"/>
            <w:noWrap/>
            <w:vAlign w:val="bottom"/>
            <w:hideMark/>
          </w:tcPr>
          <w:p w14:paraId="6C72F740"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ianuarie-august</w:t>
            </w:r>
          </w:p>
        </w:tc>
        <w:tc>
          <w:tcPr>
            <w:tcW w:w="1350" w:type="dxa"/>
            <w:tcBorders>
              <w:top w:val="nil"/>
              <w:left w:val="nil"/>
              <w:bottom w:val="single" w:sz="4" w:space="0" w:color="auto"/>
              <w:right w:val="single" w:sz="4" w:space="0" w:color="auto"/>
            </w:tcBorders>
            <w:shd w:val="clear" w:color="auto" w:fill="auto"/>
            <w:noWrap/>
            <w:vAlign w:val="bottom"/>
            <w:hideMark/>
          </w:tcPr>
          <w:p w14:paraId="11844C3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16170.0</w:t>
            </w:r>
          </w:p>
        </w:tc>
        <w:tc>
          <w:tcPr>
            <w:tcW w:w="1530" w:type="dxa"/>
            <w:tcBorders>
              <w:top w:val="nil"/>
              <w:left w:val="nil"/>
              <w:bottom w:val="single" w:sz="4" w:space="0" w:color="auto"/>
              <w:right w:val="single" w:sz="4" w:space="0" w:color="auto"/>
            </w:tcBorders>
            <w:shd w:val="clear" w:color="auto" w:fill="auto"/>
            <w:noWrap/>
            <w:vAlign w:val="bottom"/>
            <w:hideMark/>
          </w:tcPr>
          <w:p w14:paraId="1B6D688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36382.5</w:t>
            </w:r>
          </w:p>
        </w:tc>
      </w:tr>
      <w:tr w:rsidR="00DC25E0" w:rsidRPr="00B7675F" w14:paraId="4DCA3FB0"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20B7709"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4</w:t>
            </w:r>
          </w:p>
        </w:tc>
        <w:tc>
          <w:tcPr>
            <w:tcW w:w="1420" w:type="dxa"/>
            <w:tcBorders>
              <w:top w:val="nil"/>
              <w:left w:val="nil"/>
              <w:bottom w:val="single" w:sz="4" w:space="0" w:color="auto"/>
              <w:right w:val="single" w:sz="4" w:space="0" w:color="auto"/>
            </w:tcBorders>
            <w:shd w:val="clear" w:color="auto" w:fill="auto"/>
            <w:vAlign w:val="bottom"/>
            <w:hideMark/>
          </w:tcPr>
          <w:p w14:paraId="6CE277C6"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4</w:t>
            </w:r>
          </w:p>
        </w:tc>
        <w:tc>
          <w:tcPr>
            <w:tcW w:w="1273" w:type="dxa"/>
            <w:tcBorders>
              <w:top w:val="nil"/>
              <w:left w:val="nil"/>
              <w:bottom w:val="single" w:sz="4" w:space="0" w:color="auto"/>
              <w:right w:val="single" w:sz="4" w:space="0" w:color="auto"/>
            </w:tcBorders>
            <w:shd w:val="clear" w:color="auto" w:fill="auto"/>
            <w:vAlign w:val="bottom"/>
            <w:hideMark/>
          </w:tcPr>
          <w:p w14:paraId="4719C929"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3/9/2021</w:t>
            </w:r>
          </w:p>
        </w:tc>
        <w:tc>
          <w:tcPr>
            <w:tcW w:w="1682" w:type="dxa"/>
            <w:tcBorders>
              <w:top w:val="nil"/>
              <w:left w:val="nil"/>
              <w:bottom w:val="single" w:sz="4" w:space="0" w:color="auto"/>
              <w:right w:val="single" w:sz="4" w:space="0" w:color="auto"/>
            </w:tcBorders>
            <w:shd w:val="clear" w:color="auto" w:fill="auto"/>
            <w:vAlign w:val="bottom"/>
            <w:hideMark/>
          </w:tcPr>
          <w:p w14:paraId="434708D4" w14:textId="62D5293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mar</w:t>
            </w:r>
            <w:r w:rsidR="00E15964">
              <w:rPr>
                <w:rFonts w:asciiTheme="majorHAnsi" w:eastAsia="Times New Roman" w:hAnsiTheme="majorHAnsi" w:cs="Times New Roman"/>
                <w:color w:val="000000"/>
                <w:sz w:val="20"/>
                <w:szCs w:val="20"/>
                <w:lang w:val="ro-MD"/>
              </w:rPr>
              <w:t>t</w:t>
            </w:r>
            <w:r w:rsidRPr="00736448">
              <w:rPr>
                <w:rFonts w:asciiTheme="majorHAnsi" w:eastAsia="Times New Roman" w:hAnsiTheme="majorHAnsi" w:cs="Times New Roman"/>
                <w:color w:val="000000"/>
                <w:sz w:val="20"/>
                <w:szCs w:val="20"/>
                <w:lang w:val="ro-MD"/>
              </w:rPr>
              <w:t>ie-iunie</w:t>
            </w:r>
          </w:p>
        </w:tc>
        <w:tc>
          <w:tcPr>
            <w:tcW w:w="1108" w:type="dxa"/>
            <w:tcBorders>
              <w:top w:val="nil"/>
              <w:left w:val="nil"/>
              <w:bottom w:val="single" w:sz="4" w:space="0" w:color="auto"/>
              <w:right w:val="single" w:sz="4" w:space="0" w:color="auto"/>
            </w:tcBorders>
            <w:shd w:val="clear" w:color="auto" w:fill="auto"/>
            <w:noWrap/>
            <w:vAlign w:val="bottom"/>
            <w:hideMark/>
          </w:tcPr>
          <w:p w14:paraId="172A8C2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c>
          <w:tcPr>
            <w:tcW w:w="1800" w:type="dxa"/>
            <w:tcBorders>
              <w:top w:val="nil"/>
              <w:left w:val="nil"/>
              <w:bottom w:val="single" w:sz="4" w:space="0" w:color="auto"/>
              <w:right w:val="single" w:sz="4" w:space="0" w:color="auto"/>
            </w:tcBorders>
            <w:shd w:val="clear" w:color="auto" w:fill="auto"/>
            <w:noWrap/>
            <w:vAlign w:val="bottom"/>
            <w:hideMark/>
          </w:tcPr>
          <w:p w14:paraId="5650680C"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350" w:type="dxa"/>
            <w:tcBorders>
              <w:top w:val="nil"/>
              <w:left w:val="nil"/>
              <w:bottom w:val="single" w:sz="4" w:space="0" w:color="auto"/>
              <w:right w:val="single" w:sz="4" w:space="0" w:color="auto"/>
            </w:tcBorders>
            <w:shd w:val="clear" w:color="auto" w:fill="auto"/>
            <w:noWrap/>
            <w:vAlign w:val="bottom"/>
            <w:hideMark/>
          </w:tcPr>
          <w:p w14:paraId="65B47C0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530" w:type="dxa"/>
            <w:tcBorders>
              <w:top w:val="nil"/>
              <w:left w:val="nil"/>
              <w:bottom w:val="single" w:sz="4" w:space="0" w:color="auto"/>
              <w:right w:val="single" w:sz="4" w:space="0" w:color="auto"/>
            </w:tcBorders>
            <w:shd w:val="clear" w:color="auto" w:fill="auto"/>
            <w:noWrap/>
            <w:vAlign w:val="bottom"/>
            <w:hideMark/>
          </w:tcPr>
          <w:p w14:paraId="58083446"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r>
      <w:tr w:rsidR="00DC25E0" w:rsidRPr="00B7675F" w14:paraId="5D6D5D6A"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2FA301B"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5</w:t>
            </w:r>
          </w:p>
        </w:tc>
        <w:tc>
          <w:tcPr>
            <w:tcW w:w="1420" w:type="dxa"/>
            <w:tcBorders>
              <w:top w:val="nil"/>
              <w:left w:val="nil"/>
              <w:bottom w:val="single" w:sz="4" w:space="0" w:color="auto"/>
              <w:right w:val="single" w:sz="4" w:space="0" w:color="auto"/>
            </w:tcBorders>
            <w:shd w:val="clear" w:color="auto" w:fill="auto"/>
            <w:vAlign w:val="bottom"/>
            <w:hideMark/>
          </w:tcPr>
          <w:p w14:paraId="33146E9A"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5</w:t>
            </w:r>
          </w:p>
        </w:tc>
        <w:tc>
          <w:tcPr>
            <w:tcW w:w="1273" w:type="dxa"/>
            <w:tcBorders>
              <w:top w:val="nil"/>
              <w:left w:val="nil"/>
              <w:bottom w:val="single" w:sz="4" w:space="0" w:color="auto"/>
              <w:right w:val="single" w:sz="4" w:space="0" w:color="auto"/>
            </w:tcBorders>
            <w:shd w:val="clear" w:color="auto" w:fill="auto"/>
            <w:vAlign w:val="bottom"/>
            <w:hideMark/>
          </w:tcPr>
          <w:p w14:paraId="31E3C7EA"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3/11/2021</w:t>
            </w:r>
          </w:p>
        </w:tc>
        <w:tc>
          <w:tcPr>
            <w:tcW w:w="1682" w:type="dxa"/>
            <w:tcBorders>
              <w:top w:val="nil"/>
              <w:left w:val="nil"/>
              <w:bottom w:val="single" w:sz="4" w:space="0" w:color="auto"/>
              <w:right w:val="single" w:sz="4" w:space="0" w:color="auto"/>
            </w:tcBorders>
            <w:shd w:val="clear" w:color="auto" w:fill="auto"/>
            <w:vAlign w:val="bottom"/>
            <w:hideMark/>
          </w:tcPr>
          <w:p w14:paraId="0A7917CE"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martie-decembrie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6292EB5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800" w:type="dxa"/>
            <w:tcBorders>
              <w:top w:val="nil"/>
              <w:left w:val="nil"/>
              <w:bottom w:val="single" w:sz="4" w:space="0" w:color="auto"/>
              <w:right w:val="single" w:sz="4" w:space="0" w:color="auto"/>
            </w:tcBorders>
            <w:shd w:val="clear" w:color="auto" w:fill="auto"/>
            <w:noWrap/>
            <w:vAlign w:val="bottom"/>
            <w:hideMark/>
          </w:tcPr>
          <w:p w14:paraId="395C2B19"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ianuarie-decembrie</w:t>
            </w:r>
          </w:p>
        </w:tc>
        <w:tc>
          <w:tcPr>
            <w:tcW w:w="1350" w:type="dxa"/>
            <w:tcBorders>
              <w:top w:val="nil"/>
              <w:left w:val="nil"/>
              <w:bottom w:val="single" w:sz="4" w:space="0" w:color="auto"/>
              <w:right w:val="single" w:sz="4" w:space="0" w:color="auto"/>
            </w:tcBorders>
            <w:shd w:val="clear" w:color="auto" w:fill="auto"/>
            <w:noWrap/>
            <w:vAlign w:val="bottom"/>
            <w:hideMark/>
          </w:tcPr>
          <w:p w14:paraId="1FEE2F88"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24255.0</w:t>
            </w:r>
          </w:p>
        </w:tc>
        <w:tc>
          <w:tcPr>
            <w:tcW w:w="1530" w:type="dxa"/>
            <w:tcBorders>
              <w:top w:val="nil"/>
              <w:left w:val="nil"/>
              <w:bottom w:val="single" w:sz="4" w:space="0" w:color="auto"/>
              <w:right w:val="single" w:sz="4" w:space="0" w:color="auto"/>
            </w:tcBorders>
            <w:shd w:val="clear" w:color="auto" w:fill="auto"/>
            <w:noWrap/>
            <w:vAlign w:val="bottom"/>
            <w:hideMark/>
          </w:tcPr>
          <w:p w14:paraId="0FA238E5"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44467.5</w:t>
            </w:r>
          </w:p>
        </w:tc>
      </w:tr>
      <w:tr w:rsidR="00DC25E0" w:rsidRPr="00B7675F" w14:paraId="30B918ED"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7A59C80"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6</w:t>
            </w:r>
          </w:p>
        </w:tc>
        <w:tc>
          <w:tcPr>
            <w:tcW w:w="1420" w:type="dxa"/>
            <w:tcBorders>
              <w:top w:val="nil"/>
              <w:left w:val="nil"/>
              <w:bottom w:val="single" w:sz="4" w:space="0" w:color="auto"/>
              <w:right w:val="single" w:sz="4" w:space="0" w:color="auto"/>
            </w:tcBorders>
            <w:shd w:val="clear" w:color="auto" w:fill="auto"/>
            <w:vAlign w:val="bottom"/>
            <w:hideMark/>
          </w:tcPr>
          <w:p w14:paraId="3771B10B"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6</w:t>
            </w:r>
          </w:p>
        </w:tc>
        <w:tc>
          <w:tcPr>
            <w:tcW w:w="1273" w:type="dxa"/>
            <w:tcBorders>
              <w:top w:val="nil"/>
              <w:left w:val="nil"/>
              <w:bottom w:val="single" w:sz="4" w:space="0" w:color="auto"/>
              <w:right w:val="single" w:sz="4" w:space="0" w:color="auto"/>
            </w:tcBorders>
            <w:shd w:val="clear" w:color="auto" w:fill="auto"/>
            <w:vAlign w:val="bottom"/>
            <w:hideMark/>
          </w:tcPr>
          <w:p w14:paraId="1FA1C4F8"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3/25/2021</w:t>
            </w:r>
          </w:p>
        </w:tc>
        <w:tc>
          <w:tcPr>
            <w:tcW w:w="1682" w:type="dxa"/>
            <w:tcBorders>
              <w:top w:val="nil"/>
              <w:left w:val="nil"/>
              <w:bottom w:val="single" w:sz="4" w:space="0" w:color="auto"/>
              <w:right w:val="single" w:sz="4" w:space="0" w:color="auto"/>
            </w:tcBorders>
            <w:shd w:val="clear" w:color="auto" w:fill="auto"/>
            <w:vAlign w:val="bottom"/>
            <w:hideMark/>
          </w:tcPr>
          <w:p w14:paraId="1C0E2CFF"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martie-decembrie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66E0F060"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18191.25</w:t>
            </w:r>
          </w:p>
        </w:tc>
        <w:tc>
          <w:tcPr>
            <w:tcW w:w="1800" w:type="dxa"/>
            <w:tcBorders>
              <w:top w:val="nil"/>
              <w:left w:val="nil"/>
              <w:bottom w:val="single" w:sz="4" w:space="0" w:color="auto"/>
              <w:right w:val="single" w:sz="4" w:space="0" w:color="auto"/>
            </w:tcBorders>
            <w:shd w:val="clear" w:color="auto" w:fill="auto"/>
            <w:noWrap/>
            <w:vAlign w:val="bottom"/>
            <w:hideMark/>
          </w:tcPr>
          <w:p w14:paraId="5E72867D"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ianuarie-octombrie</w:t>
            </w:r>
          </w:p>
        </w:tc>
        <w:tc>
          <w:tcPr>
            <w:tcW w:w="1350" w:type="dxa"/>
            <w:tcBorders>
              <w:top w:val="nil"/>
              <w:left w:val="nil"/>
              <w:bottom w:val="single" w:sz="4" w:space="0" w:color="auto"/>
              <w:right w:val="single" w:sz="4" w:space="0" w:color="auto"/>
            </w:tcBorders>
            <w:shd w:val="clear" w:color="auto" w:fill="auto"/>
            <w:noWrap/>
            <w:vAlign w:val="bottom"/>
            <w:hideMark/>
          </w:tcPr>
          <w:p w14:paraId="6A9E4DA9"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530" w:type="dxa"/>
            <w:tcBorders>
              <w:top w:val="nil"/>
              <w:left w:val="nil"/>
              <w:bottom w:val="single" w:sz="4" w:space="0" w:color="auto"/>
              <w:right w:val="single" w:sz="4" w:space="0" w:color="auto"/>
            </w:tcBorders>
            <w:shd w:val="clear" w:color="auto" w:fill="auto"/>
            <w:noWrap/>
            <w:vAlign w:val="bottom"/>
            <w:hideMark/>
          </w:tcPr>
          <w:p w14:paraId="56164DF2"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38403.8</w:t>
            </w:r>
          </w:p>
        </w:tc>
      </w:tr>
      <w:tr w:rsidR="00DC25E0" w:rsidRPr="00B7675F" w14:paraId="3A58759C"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7FE1809"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7</w:t>
            </w:r>
          </w:p>
        </w:tc>
        <w:tc>
          <w:tcPr>
            <w:tcW w:w="1420" w:type="dxa"/>
            <w:tcBorders>
              <w:top w:val="nil"/>
              <w:left w:val="nil"/>
              <w:bottom w:val="single" w:sz="4" w:space="0" w:color="auto"/>
              <w:right w:val="single" w:sz="4" w:space="0" w:color="auto"/>
            </w:tcBorders>
            <w:shd w:val="clear" w:color="auto" w:fill="auto"/>
            <w:vAlign w:val="bottom"/>
            <w:hideMark/>
          </w:tcPr>
          <w:p w14:paraId="79ECE63C"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7</w:t>
            </w:r>
          </w:p>
        </w:tc>
        <w:tc>
          <w:tcPr>
            <w:tcW w:w="1273" w:type="dxa"/>
            <w:tcBorders>
              <w:top w:val="nil"/>
              <w:left w:val="nil"/>
              <w:bottom w:val="single" w:sz="4" w:space="0" w:color="auto"/>
              <w:right w:val="single" w:sz="4" w:space="0" w:color="auto"/>
            </w:tcBorders>
            <w:shd w:val="clear" w:color="auto" w:fill="auto"/>
            <w:vAlign w:val="bottom"/>
            <w:hideMark/>
          </w:tcPr>
          <w:p w14:paraId="10498B41"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4/6/2021</w:t>
            </w:r>
          </w:p>
        </w:tc>
        <w:tc>
          <w:tcPr>
            <w:tcW w:w="1682" w:type="dxa"/>
            <w:tcBorders>
              <w:top w:val="nil"/>
              <w:left w:val="nil"/>
              <w:bottom w:val="single" w:sz="4" w:space="0" w:color="auto"/>
              <w:right w:val="single" w:sz="4" w:space="0" w:color="auto"/>
            </w:tcBorders>
            <w:shd w:val="clear" w:color="auto" w:fill="auto"/>
            <w:vAlign w:val="bottom"/>
            <w:hideMark/>
          </w:tcPr>
          <w:p w14:paraId="706FEF0A"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113235D7"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4E483F76"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iunie-decembrie</w:t>
            </w:r>
          </w:p>
        </w:tc>
        <w:tc>
          <w:tcPr>
            <w:tcW w:w="1350" w:type="dxa"/>
            <w:tcBorders>
              <w:top w:val="nil"/>
              <w:left w:val="nil"/>
              <w:bottom w:val="single" w:sz="4" w:space="0" w:color="auto"/>
              <w:right w:val="single" w:sz="4" w:space="0" w:color="auto"/>
            </w:tcBorders>
            <w:shd w:val="clear" w:color="auto" w:fill="auto"/>
            <w:noWrap/>
            <w:vAlign w:val="bottom"/>
            <w:hideMark/>
          </w:tcPr>
          <w:p w14:paraId="44B78136"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14148.75</w:t>
            </w:r>
          </w:p>
        </w:tc>
        <w:tc>
          <w:tcPr>
            <w:tcW w:w="1530" w:type="dxa"/>
            <w:tcBorders>
              <w:top w:val="nil"/>
              <w:left w:val="nil"/>
              <w:bottom w:val="single" w:sz="4" w:space="0" w:color="auto"/>
              <w:right w:val="single" w:sz="4" w:space="0" w:color="auto"/>
            </w:tcBorders>
            <w:shd w:val="clear" w:color="auto" w:fill="auto"/>
            <w:noWrap/>
            <w:vAlign w:val="bottom"/>
            <w:hideMark/>
          </w:tcPr>
          <w:p w14:paraId="4EE4CB4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14148.75</w:t>
            </w:r>
          </w:p>
        </w:tc>
      </w:tr>
      <w:tr w:rsidR="00DC25E0" w:rsidRPr="00B7675F" w14:paraId="0B748605"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EA4A854"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8</w:t>
            </w:r>
          </w:p>
        </w:tc>
        <w:tc>
          <w:tcPr>
            <w:tcW w:w="1420" w:type="dxa"/>
            <w:tcBorders>
              <w:top w:val="nil"/>
              <w:left w:val="nil"/>
              <w:bottom w:val="single" w:sz="4" w:space="0" w:color="auto"/>
              <w:right w:val="single" w:sz="4" w:space="0" w:color="auto"/>
            </w:tcBorders>
            <w:shd w:val="clear" w:color="auto" w:fill="auto"/>
            <w:vAlign w:val="bottom"/>
            <w:hideMark/>
          </w:tcPr>
          <w:p w14:paraId="3DDA835F"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8</w:t>
            </w:r>
          </w:p>
        </w:tc>
        <w:tc>
          <w:tcPr>
            <w:tcW w:w="1273" w:type="dxa"/>
            <w:tcBorders>
              <w:top w:val="nil"/>
              <w:left w:val="nil"/>
              <w:bottom w:val="single" w:sz="4" w:space="0" w:color="auto"/>
              <w:right w:val="single" w:sz="4" w:space="0" w:color="auto"/>
            </w:tcBorders>
            <w:shd w:val="clear" w:color="auto" w:fill="auto"/>
            <w:vAlign w:val="bottom"/>
            <w:hideMark/>
          </w:tcPr>
          <w:p w14:paraId="02EE99E0"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4/16/2021</w:t>
            </w:r>
          </w:p>
        </w:tc>
        <w:tc>
          <w:tcPr>
            <w:tcW w:w="1682" w:type="dxa"/>
            <w:tcBorders>
              <w:top w:val="nil"/>
              <w:left w:val="nil"/>
              <w:bottom w:val="single" w:sz="4" w:space="0" w:color="auto"/>
              <w:right w:val="single" w:sz="4" w:space="0" w:color="auto"/>
            </w:tcBorders>
            <w:shd w:val="clear" w:color="auto" w:fill="auto"/>
            <w:vAlign w:val="bottom"/>
            <w:hideMark/>
          </w:tcPr>
          <w:p w14:paraId="1691C8FF"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aprilie-decembrie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71D88EF7"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17113.25</w:t>
            </w:r>
          </w:p>
        </w:tc>
        <w:tc>
          <w:tcPr>
            <w:tcW w:w="1800" w:type="dxa"/>
            <w:tcBorders>
              <w:top w:val="nil"/>
              <w:left w:val="nil"/>
              <w:bottom w:val="single" w:sz="4" w:space="0" w:color="auto"/>
              <w:right w:val="single" w:sz="4" w:space="0" w:color="auto"/>
            </w:tcBorders>
            <w:shd w:val="clear" w:color="auto" w:fill="auto"/>
            <w:noWrap/>
            <w:vAlign w:val="bottom"/>
            <w:hideMark/>
          </w:tcPr>
          <w:p w14:paraId="1BF190A5"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ianuarie-martie</w:t>
            </w:r>
          </w:p>
        </w:tc>
        <w:tc>
          <w:tcPr>
            <w:tcW w:w="1350" w:type="dxa"/>
            <w:tcBorders>
              <w:top w:val="nil"/>
              <w:left w:val="nil"/>
              <w:bottom w:val="single" w:sz="4" w:space="0" w:color="auto"/>
              <w:right w:val="single" w:sz="4" w:space="0" w:color="auto"/>
            </w:tcBorders>
            <w:shd w:val="clear" w:color="auto" w:fill="auto"/>
            <w:noWrap/>
            <w:vAlign w:val="bottom"/>
            <w:hideMark/>
          </w:tcPr>
          <w:p w14:paraId="1D46C79C"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6063.8</w:t>
            </w:r>
          </w:p>
        </w:tc>
        <w:tc>
          <w:tcPr>
            <w:tcW w:w="1530" w:type="dxa"/>
            <w:tcBorders>
              <w:top w:val="nil"/>
              <w:left w:val="nil"/>
              <w:bottom w:val="single" w:sz="4" w:space="0" w:color="auto"/>
              <w:right w:val="single" w:sz="4" w:space="0" w:color="auto"/>
            </w:tcBorders>
            <w:shd w:val="clear" w:color="auto" w:fill="auto"/>
            <w:noWrap/>
            <w:vAlign w:val="bottom"/>
            <w:hideMark/>
          </w:tcPr>
          <w:p w14:paraId="3F6471F4"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23177.0</w:t>
            </w:r>
          </w:p>
        </w:tc>
      </w:tr>
      <w:tr w:rsidR="00DC25E0" w:rsidRPr="00B7675F" w14:paraId="4BD42DC7"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10462245"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9</w:t>
            </w:r>
          </w:p>
        </w:tc>
        <w:tc>
          <w:tcPr>
            <w:tcW w:w="1420" w:type="dxa"/>
            <w:tcBorders>
              <w:top w:val="nil"/>
              <w:left w:val="nil"/>
              <w:bottom w:val="single" w:sz="4" w:space="0" w:color="auto"/>
              <w:right w:val="single" w:sz="4" w:space="0" w:color="auto"/>
            </w:tcBorders>
            <w:shd w:val="clear" w:color="auto" w:fill="auto"/>
            <w:vAlign w:val="bottom"/>
            <w:hideMark/>
          </w:tcPr>
          <w:p w14:paraId="6D9D6A3C"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9</w:t>
            </w:r>
          </w:p>
        </w:tc>
        <w:tc>
          <w:tcPr>
            <w:tcW w:w="1273" w:type="dxa"/>
            <w:tcBorders>
              <w:top w:val="nil"/>
              <w:left w:val="nil"/>
              <w:bottom w:val="single" w:sz="4" w:space="0" w:color="auto"/>
              <w:right w:val="single" w:sz="4" w:space="0" w:color="auto"/>
            </w:tcBorders>
            <w:shd w:val="clear" w:color="auto" w:fill="auto"/>
            <w:vAlign w:val="bottom"/>
            <w:hideMark/>
          </w:tcPr>
          <w:p w14:paraId="4B017057"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4/26/2021</w:t>
            </w:r>
          </w:p>
        </w:tc>
        <w:tc>
          <w:tcPr>
            <w:tcW w:w="1682" w:type="dxa"/>
            <w:tcBorders>
              <w:top w:val="nil"/>
              <w:left w:val="nil"/>
              <w:bottom w:val="single" w:sz="4" w:space="0" w:color="auto"/>
              <w:right w:val="single" w:sz="4" w:space="0" w:color="auto"/>
            </w:tcBorders>
            <w:shd w:val="clear" w:color="auto" w:fill="auto"/>
            <w:vAlign w:val="bottom"/>
            <w:hideMark/>
          </w:tcPr>
          <w:p w14:paraId="113F8CDB"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mai-august</w:t>
            </w:r>
          </w:p>
        </w:tc>
        <w:tc>
          <w:tcPr>
            <w:tcW w:w="1108" w:type="dxa"/>
            <w:tcBorders>
              <w:top w:val="nil"/>
              <w:left w:val="nil"/>
              <w:bottom w:val="single" w:sz="4" w:space="0" w:color="auto"/>
              <w:right w:val="single" w:sz="4" w:space="0" w:color="auto"/>
            </w:tcBorders>
            <w:shd w:val="clear" w:color="auto" w:fill="auto"/>
            <w:noWrap/>
            <w:vAlign w:val="bottom"/>
            <w:hideMark/>
          </w:tcPr>
          <w:p w14:paraId="4E0B5977"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c>
          <w:tcPr>
            <w:tcW w:w="1800" w:type="dxa"/>
            <w:tcBorders>
              <w:top w:val="nil"/>
              <w:left w:val="nil"/>
              <w:bottom w:val="single" w:sz="4" w:space="0" w:color="auto"/>
              <w:right w:val="single" w:sz="4" w:space="0" w:color="auto"/>
            </w:tcBorders>
            <w:shd w:val="clear" w:color="auto" w:fill="auto"/>
            <w:noWrap/>
            <w:vAlign w:val="bottom"/>
            <w:hideMark/>
          </w:tcPr>
          <w:p w14:paraId="2474150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350" w:type="dxa"/>
            <w:tcBorders>
              <w:top w:val="nil"/>
              <w:left w:val="nil"/>
              <w:bottom w:val="single" w:sz="4" w:space="0" w:color="auto"/>
              <w:right w:val="single" w:sz="4" w:space="0" w:color="auto"/>
            </w:tcBorders>
            <w:shd w:val="clear" w:color="auto" w:fill="auto"/>
            <w:noWrap/>
            <w:vAlign w:val="bottom"/>
            <w:hideMark/>
          </w:tcPr>
          <w:p w14:paraId="14569AFC"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530" w:type="dxa"/>
            <w:tcBorders>
              <w:top w:val="nil"/>
              <w:left w:val="nil"/>
              <w:bottom w:val="single" w:sz="4" w:space="0" w:color="auto"/>
              <w:right w:val="single" w:sz="4" w:space="0" w:color="auto"/>
            </w:tcBorders>
            <w:shd w:val="clear" w:color="auto" w:fill="auto"/>
            <w:noWrap/>
            <w:vAlign w:val="bottom"/>
            <w:hideMark/>
          </w:tcPr>
          <w:p w14:paraId="5984844C"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r>
      <w:tr w:rsidR="00DC25E0" w:rsidRPr="00B7675F" w14:paraId="26359E89"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25ED00CA"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10</w:t>
            </w:r>
          </w:p>
        </w:tc>
        <w:tc>
          <w:tcPr>
            <w:tcW w:w="1420" w:type="dxa"/>
            <w:tcBorders>
              <w:top w:val="nil"/>
              <w:left w:val="nil"/>
              <w:bottom w:val="single" w:sz="4" w:space="0" w:color="auto"/>
              <w:right w:val="single" w:sz="4" w:space="0" w:color="auto"/>
            </w:tcBorders>
            <w:shd w:val="clear" w:color="auto" w:fill="auto"/>
            <w:vAlign w:val="bottom"/>
            <w:hideMark/>
          </w:tcPr>
          <w:p w14:paraId="10440287"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10</w:t>
            </w:r>
          </w:p>
        </w:tc>
        <w:tc>
          <w:tcPr>
            <w:tcW w:w="1273" w:type="dxa"/>
            <w:tcBorders>
              <w:top w:val="nil"/>
              <w:left w:val="nil"/>
              <w:bottom w:val="single" w:sz="4" w:space="0" w:color="auto"/>
              <w:right w:val="single" w:sz="4" w:space="0" w:color="auto"/>
            </w:tcBorders>
            <w:shd w:val="clear" w:color="auto" w:fill="auto"/>
            <w:vAlign w:val="bottom"/>
            <w:hideMark/>
          </w:tcPr>
          <w:p w14:paraId="1C21B0EA"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5/17/2021</w:t>
            </w:r>
          </w:p>
        </w:tc>
        <w:tc>
          <w:tcPr>
            <w:tcW w:w="1682" w:type="dxa"/>
            <w:tcBorders>
              <w:top w:val="nil"/>
              <w:left w:val="nil"/>
              <w:bottom w:val="single" w:sz="4" w:space="0" w:color="auto"/>
              <w:right w:val="single" w:sz="4" w:space="0" w:color="auto"/>
            </w:tcBorders>
            <w:shd w:val="clear" w:color="auto" w:fill="auto"/>
            <w:vAlign w:val="bottom"/>
            <w:hideMark/>
          </w:tcPr>
          <w:p w14:paraId="538CB981"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58B5620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vAlign w:val="bottom"/>
            <w:hideMark/>
          </w:tcPr>
          <w:p w14:paraId="417F84E8"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 februarie, martie, octombrie</w:t>
            </w:r>
          </w:p>
        </w:tc>
        <w:tc>
          <w:tcPr>
            <w:tcW w:w="1350" w:type="dxa"/>
            <w:tcBorders>
              <w:top w:val="nil"/>
              <w:left w:val="nil"/>
              <w:bottom w:val="single" w:sz="4" w:space="0" w:color="auto"/>
              <w:right w:val="single" w:sz="4" w:space="0" w:color="auto"/>
            </w:tcBorders>
            <w:shd w:val="clear" w:color="auto" w:fill="auto"/>
            <w:noWrap/>
            <w:vAlign w:val="bottom"/>
            <w:hideMark/>
          </w:tcPr>
          <w:p w14:paraId="541A9F9B"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c>
          <w:tcPr>
            <w:tcW w:w="1530" w:type="dxa"/>
            <w:tcBorders>
              <w:top w:val="nil"/>
              <w:left w:val="nil"/>
              <w:bottom w:val="single" w:sz="4" w:space="0" w:color="auto"/>
              <w:right w:val="single" w:sz="4" w:space="0" w:color="auto"/>
            </w:tcBorders>
            <w:shd w:val="clear" w:color="auto" w:fill="auto"/>
            <w:noWrap/>
            <w:vAlign w:val="bottom"/>
            <w:hideMark/>
          </w:tcPr>
          <w:p w14:paraId="1C69E9A8"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r>
      <w:tr w:rsidR="00DC25E0" w:rsidRPr="00B7675F" w14:paraId="31781BF7"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720FB2B3"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11</w:t>
            </w:r>
          </w:p>
        </w:tc>
        <w:tc>
          <w:tcPr>
            <w:tcW w:w="1420" w:type="dxa"/>
            <w:tcBorders>
              <w:top w:val="nil"/>
              <w:left w:val="nil"/>
              <w:bottom w:val="single" w:sz="4" w:space="0" w:color="auto"/>
              <w:right w:val="single" w:sz="4" w:space="0" w:color="auto"/>
            </w:tcBorders>
            <w:shd w:val="clear" w:color="auto" w:fill="auto"/>
            <w:vAlign w:val="bottom"/>
            <w:hideMark/>
          </w:tcPr>
          <w:p w14:paraId="5F47816D"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11</w:t>
            </w:r>
          </w:p>
        </w:tc>
        <w:tc>
          <w:tcPr>
            <w:tcW w:w="1273" w:type="dxa"/>
            <w:tcBorders>
              <w:top w:val="nil"/>
              <w:left w:val="nil"/>
              <w:bottom w:val="single" w:sz="4" w:space="0" w:color="auto"/>
              <w:right w:val="single" w:sz="4" w:space="0" w:color="auto"/>
            </w:tcBorders>
            <w:shd w:val="clear" w:color="auto" w:fill="auto"/>
            <w:vAlign w:val="bottom"/>
            <w:hideMark/>
          </w:tcPr>
          <w:p w14:paraId="553D0AF0"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5/27/2021</w:t>
            </w:r>
          </w:p>
        </w:tc>
        <w:tc>
          <w:tcPr>
            <w:tcW w:w="1682" w:type="dxa"/>
            <w:tcBorders>
              <w:top w:val="nil"/>
              <w:left w:val="nil"/>
              <w:bottom w:val="single" w:sz="4" w:space="0" w:color="auto"/>
              <w:right w:val="single" w:sz="4" w:space="0" w:color="auto"/>
            </w:tcBorders>
            <w:shd w:val="clear" w:color="auto" w:fill="auto"/>
            <w:vAlign w:val="bottom"/>
            <w:hideMark/>
          </w:tcPr>
          <w:p w14:paraId="21D978F3"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iunie-septembrie</w:t>
            </w:r>
          </w:p>
        </w:tc>
        <w:tc>
          <w:tcPr>
            <w:tcW w:w="1108" w:type="dxa"/>
            <w:tcBorders>
              <w:top w:val="nil"/>
              <w:left w:val="nil"/>
              <w:bottom w:val="single" w:sz="4" w:space="0" w:color="auto"/>
              <w:right w:val="single" w:sz="4" w:space="0" w:color="auto"/>
            </w:tcBorders>
            <w:shd w:val="clear" w:color="auto" w:fill="auto"/>
            <w:noWrap/>
            <w:vAlign w:val="bottom"/>
            <w:hideMark/>
          </w:tcPr>
          <w:p w14:paraId="2F01BB00"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c>
          <w:tcPr>
            <w:tcW w:w="1800" w:type="dxa"/>
            <w:tcBorders>
              <w:top w:val="nil"/>
              <w:left w:val="nil"/>
              <w:bottom w:val="single" w:sz="4" w:space="0" w:color="auto"/>
              <w:right w:val="single" w:sz="4" w:space="0" w:color="auto"/>
            </w:tcBorders>
            <w:shd w:val="clear" w:color="auto" w:fill="auto"/>
            <w:noWrap/>
            <w:vAlign w:val="bottom"/>
            <w:hideMark/>
          </w:tcPr>
          <w:p w14:paraId="706FB5BB"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350" w:type="dxa"/>
            <w:tcBorders>
              <w:top w:val="nil"/>
              <w:left w:val="nil"/>
              <w:bottom w:val="single" w:sz="4" w:space="0" w:color="auto"/>
              <w:right w:val="single" w:sz="4" w:space="0" w:color="auto"/>
            </w:tcBorders>
            <w:shd w:val="clear" w:color="auto" w:fill="auto"/>
            <w:noWrap/>
            <w:vAlign w:val="bottom"/>
            <w:hideMark/>
          </w:tcPr>
          <w:p w14:paraId="089BB2C2"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530" w:type="dxa"/>
            <w:tcBorders>
              <w:top w:val="nil"/>
              <w:left w:val="nil"/>
              <w:bottom w:val="single" w:sz="4" w:space="0" w:color="auto"/>
              <w:right w:val="single" w:sz="4" w:space="0" w:color="auto"/>
            </w:tcBorders>
            <w:shd w:val="clear" w:color="auto" w:fill="auto"/>
            <w:noWrap/>
            <w:vAlign w:val="bottom"/>
            <w:hideMark/>
          </w:tcPr>
          <w:p w14:paraId="58257EA3"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r>
      <w:tr w:rsidR="00DC25E0" w:rsidRPr="00B7675F" w14:paraId="78BF4751"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7D5AA05"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12</w:t>
            </w:r>
          </w:p>
        </w:tc>
        <w:tc>
          <w:tcPr>
            <w:tcW w:w="1420" w:type="dxa"/>
            <w:tcBorders>
              <w:top w:val="nil"/>
              <w:left w:val="nil"/>
              <w:bottom w:val="single" w:sz="4" w:space="0" w:color="auto"/>
              <w:right w:val="single" w:sz="4" w:space="0" w:color="auto"/>
            </w:tcBorders>
            <w:shd w:val="clear" w:color="auto" w:fill="auto"/>
            <w:vAlign w:val="bottom"/>
            <w:hideMark/>
          </w:tcPr>
          <w:p w14:paraId="0AE8731D"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12</w:t>
            </w:r>
          </w:p>
        </w:tc>
        <w:tc>
          <w:tcPr>
            <w:tcW w:w="1273" w:type="dxa"/>
            <w:tcBorders>
              <w:top w:val="nil"/>
              <w:left w:val="nil"/>
              <w:bottom w:val="single" w:sz="4" w:space="0" w:color="auto"/>
              <w:right w:val="single" w:sz="4" w:space="0" w:color="auto"/>
            </w:tcBorders>
            <w:shd w:val="clear" w:color="auto" w:fill="auto"/>
            <w:vAlign w:val="bottom"/>
            <w:hideMark/>
          </w:tcPr>
          <w:p w14:paraId="1294C53A"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6/15/2021</w:t>
            </w:r>
          </w:p>
        </w:tc>
        <w:tc>
          <w:tcPr>
            <w:tcW w:w="1682" w:type="dxa"/>
            <w:tcBorders>
              <w:top w:val="nil"/>
              <w:left w:val="nil"/>
              <w:bottom w:val="single" w:sz="4" w:space="0" w:color="auto"/>
              <w:right w:val="single" w:sz="4" w:space="0" w:color="auto"/>
            </w:tcBorders>
            <w:shd w:val="clear" w:color="auto" w:fill="auto"/>
            <w:vAlign w:val="bottom"/>
            <w:hideMark/>
          </w:tcPr>
          <w:p w14:paraId="705F038E"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0818555A"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vAlign w:val="bottom"/>
            <w:hideMark/>
          </w:tcPr>
          <w:p w14:paraId="288F0D6D" w14:textId="7D25C206"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iunie,</w:t>
            </w:r>
            <w:r w:rsidR="00E15964">
              <w:rPr>
                <w:rFonts w:asciiTheme="majorHAnsi" w:eastAsia="Times New Roman" w:hAnsiTheme="majorHAnsi" w:cs="Calibri"/>
                <w:color w:val="000000"/>
                <w:sz w:val="20"/>
                <w:szCs w:val="20"/>
                <w:lang w:val="ro-MD"/>
              </w:rPr>
              <w:t xml:space="preserve"> </w:t>
            </w:r>
            <w:r w:rsidRPr="00736448">
              <w:rPr>
                <w:rFonts w:asciiTheme="majorHAnsi" w:eastAsia="Times New Roman" w:hAnsiTheme="majorHAnsi" w:cs="Calibri"/>
                <w:color w:val="000000"/>
                <w:sz w:val="20"/>
                <w:szCs w:val="20"/>
                <w:lang w:val="ro-MD"/>
              </w:rPr>
              <w:t>iulie, septembrie, octombrie, noiembrie decembrie</w:t>
            </w:r>
          </w:p>
        </w:tc>
        <w:tc>
          <w:tcPr>
            <w:tcW w:w="1350" w:type="dxa"/>
            <w:tcBorders>
              <w:top w:val="nil"/>
              <w:left w:val="nil"/>
              <w:bottom w:val="single" w:sz="4" w:space="0" w:color="auto"/>
              <w:right w:val="single" w:sz="4" w:space="0" w:color="auto"/>
            </w:tcBorders>
            <w:shd w:val="clear" w:color="auto" w:fill="auto"/>
            <w:noWrap/>
            <w:vAlign w:val="bottom"/>
            <w:hideMark/>
          </w:tcPr>
          <w:p w14:paraId="1302DD20"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12127.5</w:t>
            </w:r>
          </w:p>
        </w:tc>
        <w:tc>
          <w:tcPr>
            <w:tcW w:w="1530" w:type="dxa"/>
            <w:tcBorders>
              <w:top w:val="nil"/>
              <w:left w:val="nil"/>
              <w:bottom w:val="single" w:sz="4" w:space="0" w:color="auto"/>
              <w:right w:val="single" w:sz="4" w:space="0" w:color="auto"/>
            </w:tcBorders>
            <w:shd w:val="clear" w:color="auto" w:fill="auto"/>
            <w:noWrap/>
            <w:vAlign w:val="bottom"/>
            <w:hideMark/>
          </w:tcPr>
          <w:p w14:paraId="6FE9D5E3"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12127.5</w:t>
            </w:r>
          </w:p>
        </w:tc>
      </w:tr>
      <w:tr w:rsidR="00DC25E0" w:rsidRPr="00B7675F" w14:paraId="3A9E3CE4"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5D1FF751"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13</w:t>
            </w:r>
          </w:p>
        </w:tc>
        <w:tc>
          <w:tcPr>
            <w:tcW w:w="1420" w:type="dxa"/>
            <w:tcBorders>
              <w:top w:val="nil"/>
              <w:left w:val="nil"/>
              <w:bottom w:val="single" w:sz="4" w:space="0" w:color="auto"/>
              <w:right w:val="single" w:sz="4" w:space="0" w:color="auto"/>
            </w:tcBorders>
            <w:shd w:val="clear" w:color="auto" w:fill="auto"/>
            <w:vAlign w:val="bottom"/>
            <w:hideMark/>
          </w:tcPr>
          <w:p w14:paraId="2E5FD93C"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13</w:t>
            </w:r>
          </w:p>
        </w:tc>
        <w:tc>
          <w:tcPr>
            <w:tcW w:w="1273" w:type="dxa"/>
            <w:tcBorders>
              <w:top w:val="nil"/>
              <w:left w:val="nil"/>
              <w:bottom w:val="single" w:sz="4" w:space="0" w:color="auto"/>
              <w:right w:val="single" w:sz="4" w:space="0" w:color="auto"/>
            </w:tcBorders>
            <w:shd w:val="clear" w:color="auto" w:fill="auto"/>
            <w:vAlign w:val="bottom"/>
            <w:hideMark/>
          </w:tcPr>
          <w:p w14:paraId="2E1DA179"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9/22/2021</w:t>
            </w:r>
          </w:p>
        </w:tc>
        <w:tc>
          <w:tcPr>
            <w:tcW w:w="1682" w:type="dxa"/>
            <w:tcBorders>
              <w:top w:val="nil"/>
              <w:left w:val="nil"/>
              <w:bottom w:val="single" w:sz="4" w:space="0" w:color="auto"/>
              <w:right w:val="single" w:sz="4" w:space="0" w:color="auto"/>
            </w:tcBorders>
            <w:shd w:val="clear" w:color="auto" w:fill="auto"/>
            <w:vAlign w:val="bottom"/>
            <w:hideMark/>
          </w:tcPr>
          <w:p w14:paraId="41C86E28"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octombrie-noiembrie</w:t>
            </w:r>
          </w:p>
        </w:tc>
        <w:tc>
          <w:tcPr>
            <w:tcW w:w="1108" w:type="dxa"/>
            <w:tcBorders>
              <w:top w:val="nil"/>
              <w:left w:val="nil"/>
              <w:bottom w:val="single" w:sz="4" w:space="0" w:color="auto"/>
              <w:right w:val="single" w:sz="4" w:space="0" w:color="auto"/>
            </w:tcBorders>
            <w:shd w:val="clear" w:color="auto" w:fill="auto"/>
            <w:noWrap/>
            <w:vAlign w:val="bottom"/>
            <w:hideMark/>
          </w:tcPr>
          <w:p w14:paraId="4136CE25"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c>
          <w:tcPr>
            <w:tcW w:w="1800" w:type="dxa"/>
            <w:tcBorders>
              <w:top w:val="nil"/>
              <w:left w:val="nil"/>
              <w:bottom w:val="single" w:sz="4" w:space="0" w:color="auto"/>
              <w:right w:val="single" w:sz="4" w:space="0" w:color="auto"/>
            </w:tcBorders>
            <w:shd w:val="clear" w:color="auto" w:fill="auto"/>
            <w:noWrap/>
            <w:vAlign w:val="bottom"/>
            <w:hideMark/>
          </w:tcPr>
          <w:p w14:paraId="6E8F4492"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350" w:type="dxa"/>
            <w:tcBorders>
              <w:top w:val="nil"/>
              <w:left w:val="nil"/>
              <w:bottom w:val="single" w:sz="4" w:space="0" w:color="auto"/>
              <w:right w:val="single" w:sz="4" w:space="0" w:color="auto"/>
            </w:tcBorders>
            <w:shd w:val="clear" w:color="auto" w:fill="auto"/>
            <w:noWrap/>
            <w:vAlign w:val="bottom"/>
            <w:hideMark/>
          </w:tcPr>
          <w:p w14:paraId="09467ACC"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530" w:type="dxa"/>
            <w:tcBorders>
              <w:top w:val="nil"/>
              <w:left w:val="nil"/>
              <w:bottom w:val="single" w:sz="4" w:space="0" w:color="auto"/>
              <w:right w:val="single" w:sz="4" w:space="0" w:color="auto"/>
            </w:tcBorders>
            <w:shd w:val="clear" w:color="auto" w:fill="auto"/>
            <w:noWrap/>
            <w:vAlign w:val="bottom"/>
            <w:hideMark/>
          </w:tcPr>
          <w:p w14:paraId="6FE18AF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r>
      <w:tr w:rsidR="00DC25E0" w:rsidRPr="00B7675F" w14:paraId="71B20FDA"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392D22A"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14</w:t>
            </w:r>
          </w:p>
        </w:tc>
        <w:tc>
          <w:tcPr>
            <w:tcW w:w="1420" w:type="dxa"/>
            <w:tcBorders>
              <w:top w:val="nil"/>
              <w:left w:val="nil"/>
              <w:bottom w:val="single" w:sz="4" w:space="0" w:color="auto"/>
              <w:right w:val="single" w:sz="4" w:space="0" w:color="auto"/>
            </w:tcBorders>
            <w:shd w:val="clear" w:color="auto" w:fill="auto"/>
            <w:vAlign w:val="bottom"/>
            <w:hideMark/>
          </w:tcPr>
          <w:p w14:paraId="12957F36"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14</w:t>
            </w:r>
          </w:p>
        </w:tc>
        <w:tc>
          <w:tcPr>
            <w:tcW w:w="1273" w:type="dxa"/>
            <w:tcBorders>
              <w:top w:val="nil"/>
              <w:left w:val="nil"/>
              <w:bottom w:val="single" w:sz="4" w:space="0" w:color="auto"/>
              <w:right w:val="single" w:sz="4" w:space="0" w:color="auto"/>
            </w:tcBorders>
            <w:shd w:val="clear" w:color="auto" w:fill="auto"/>
            <w:vAlign w:val="bottom"/>
            <w:hideMark/>
          </w:tcPr>
          <w:p w14:paraId="0C3DE7F4"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9/23/2021</w:t>
            </w:r>
          </w:p>
        </w:tc>
        <w:tc>
          <w:tcPr>
            <w:tcW w:w="1682" w:type="dxa"/>
            <w:tcBorders>
              <w:top w:val="nil"/>
              <w:left w:val="nil"/>
              <w:bottom w:val="single" w:sz="4" w:space="0" w:color="auto"/>
              <w:right w:val="single" w:sz="4" w:space="0" w:color="auto"/>
            </w:tcBorders>
            <w:shd w:val="clear" w:color="auto" w:fill="auto"/>
            <w:vAlign w:val="bottom"/>
            <w:hideMark/>
          </w:tcPr>
          <w:p w14:paraId="3DF82AFF"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octombrie-decembrie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74964AAE"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6063.75</w:t>
            </w:r>
          </w:p>
        </w:tc>
        <w:tc>
          <w:tcPr>
            <w:tcW w:w="1800" w:type="dxa"/>
            <w:tcBorders>
              <w:top w:val="nil"/>
              <w:left w:val="nil"/>
              <w:bottom w:val="single" w:sz="4" w:space="0" w:color="auto"/>
              <w:right w:val="single" w:sz="4" w:space="0" w:color="auto"/>
            </w:tcBorders>
            <w:shd w:val="clear" w:color="auto" w:fill="auto"/>
            <w:noWrap/>
            <w:vAlign w:val="bottom"/>
            <w:hideMark/>
          </w:tcPr>
          <w:p w14:paraId="44BBF17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350" w:type="dxa"/>
            <w:tcBorders>
              <w:top w:val="nil"/>
              <w:left w:val="nil"/>
              <w:bottom w:val="single" w:sz="4" w:space="0" w:color="auto"/>
              <w:right w:val="single" w:sz="4" w:space="0" w:color="auto"/>
            </w:tcBorders>
            <w:shd w:val="clear" w:color="auto" w:fill="auto"/>
            <w:noWrap/>
            <w:vAlign w:val="bottom"/>
            <w:hideMark/>
          </w:tcPr>
          <w:p w14:paraId="792A5C2E"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530" w:type="dxa"/>
            <w:tcBorders>
              <w:top w:val="nil"/>
              <w:left w:val="nil"/>
              <w:bottom w:val="single" w:sz="4" w:space="0" w:color="auto"/>
              <w:right w:val="single" w:sz="4" w:space="0" w:color="auto"/>
            </w:tcBorders>
            <w:shd w:val="clear" w:color="auto" w:fill="auto"/>
            <w:noWrap/>
            <w:vAlign w:val="bottom"/>
            <w:hideMark/>
          </w:tcPr>
          <w:p w14:paraId="691F52A2"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6063.75</w:t>
            </w:r>
          </w:p>
        </w:tc>
      </w:tr>
      <w:tr w:rsidR="00DC25E0" w:rsidRPr="00B7675F" w14:paraId="1954A600"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571719D3"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15</w:t>
            </w:r>
          </w:p>
        </w:tc>
        <w:tc>
          <w:tcPr>
            <w:tcW w:w="1420" w:type="dxa"/>
            <w:tcBorders>
              <w:top w:val="nil"/>
              <w:left w:val="nil"/>
              <w:bottom w:val="single" w:sz="4" w:space="0" w:color="auto"/>
              <w:right w:val="single" w:sz="4" w:space="0" w:color="auto"/>
            </w:tcBorders>
            <w:shd w:val="clear" w:color="auto" w:fill="auto"/>
            <w:vAlign w:val="bottom"/>
            <w:hideMark/>
          </w:tcPr>
          <w:p w14:paraId="2C46A8C4"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15</w:t>
            </w:r>
          </w:p>
        </w:tc>
        <w:tc>
          <w:tcPr>
            <w:tcW w:w="1273" w:type="dxa"/>
            <w:tcBorders>
              <w:top w:val="nil"/>
              <w:left w:val="nil"/>
              <w:bottom w:val="single" w:sz="4" w:space="0" w:color="auto"/>
              <w:right w:val="single" w:sz="4" w:space="0" w:color="auto"/>
            </w:tcBorders>
            <w:shd w:val="clear" w:color="auto" w:fill="auto"/>
            <w:vAlign w:val="bottom"/>
            <w:hideMark/>
          </w:tcPr>
          <w:p w14:paraId="2DC53D5F"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10/26/2021</w:t>
            </w:r>
          </w:p>
        </w:tc>
        <w:tc>
          <w:tcPr>
            <w:tcW w:w="1682" w:type="dxa"/>
            <w:tcBorders>
              <w:top w:val="nil"/>
              <w:left w:val="nil"/>
              <w:bottom w:val="single" w:sz="4" w:space="0" w:color="auto"/>
              <w:right w:val="single" w:sz="4" w:space="0" w:color="auto"/>
            </w:tcBorders>
            <w:shd w:val="clear" w:color="auto" w:fill="auto"/>
            <w:vAlign w:val="bottom"/>
            <w:hideMark/>
          </w:tcPr>
          <w:p w14:paraId="02D03B02"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noiembrie-decembrie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097478D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c>
          <w:tcPr>
            <w:tcW w:w="1800" w:type="dxa"/>
            <w:tcBorders>
              <w:top w:val="nil"/>
              <w:left w:val="nil"/>
              <w:bottom w:val="single" w:sz="4" w:space="0" w:color="auto"/>
              <w:right w:val="single" w:sz="4" w:space="0" w:color="auto"/>
            </w:tcBorders>
            <w:shd w:val="clear" w:color="auto" w:fill="auto"/>
            <w:noWrap/>
            <w:vAlign w:val="bottom"/>
            <w:hideMark/>
          </w:tcPr>
          <w:p w14:paraId="544DBEE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 martie</w:t>
            </w:r>
          </w:p>
        </w:tc>
        <w:tc>
          <w:tcPr>
            <w:tcW w:w="1350" w:type="dxa"/>
            <w:tcBorders>
              <w:top w:val="nil"/>
              <w:left w:val="nil"/>
              <w:bottom w:val="single" w:sz="4" w:space="0" w:color="auto"/>
              <w:right w:val="single" w:sz="4" w:space="0" w:color="auto"/>
            </w:tcBorders>
            <w:shd w:val="clear" w:color="auto" w:fill="auto"/>
            <w:noWrap/>
            <w:vAlign w:val="bottom"/>
            <w:hideMark/>
          </w:tcPr>
          <w:p w14:paraId="45A0B397"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c>
          <w:tcPr>
            <w:tcW w:w="1530" w:type="dxa"/>
            <w:tcBorders>
              <w:top w:val="nil"/>
              <w:left w:val="nil"/>
              <w:bottom w:val="single" w:sz="4" w:space="0" w:color="auto"/>
              <w:right w:val="single" w:sz="4" w:space="0" w:color="auto"/>
            </w:tcBorders>
            <w:shd w:val="clear" w:color="auto" w:fill="auto"/>
            <w:noWrap/>
            <w:vAlign w:val="bottom"/>
            <w:hideMark/>
          </w:tcPr>
          <w:p w14:paraId="41168E0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8085.0</w:t>
            </w:r>
          </w:p>
        </w:tc>
      </w:tr>
      <w:tr w:rsidR="00DC25E0" w:rsidRPr="00B7675F" w14:paraId="6FC2D0DB"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5F710B97"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16</w:t>
            </w:r>
          </w:p>
        </w:tc>
        <w:tc>
          <w:tcPr>
            <w:tcW w:w="1420" w:type="dxa"/>
            <w:tcBorders>
              <w:top w:val="nil"/>
              <w:left w:val="nil"/>
              <w:bottom w:val="single" w:sz="4" w:space="0" w:color="auto"/>
              <w:right w:val="single" w:sz="4" w:space="0" w:color="auto"/>
            </w:tcBorders>
            <w:shd w:val="clear" w:color="auto" w:fill="auto"/>
            <w:vAlign w:val="bottom"/>
            <w:hideMark/>
          </w:tcPr>
          <w:p w14:paraId="0ED68589"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16</w:t>
            </w:r>
          </w:p>
        </w:tc>
        <w:tc>
          <w:tcPr>
            <w:tcW w:w="1273" w:type="dxa"/>
            <w:tcBorders>
              <w:top w:val="nil"/>
              <w:left w:val="nil"/>
              <w:bottom w:val="single" w:sz="4" w:space="0" w:color="auto"/>
              <w:right w:val="single" w:sz="4" w:space="0" w:color="auto"/>
            </w:tcBorders>
            <w:shd w:val="clear" w:color="auto" w:fill="auto"/>
            <w:vAlign w:val="bottom"/>
            <w:hideMark/>
          </w:tcPr>
          <w:p w14:paraId="56CD9EE7"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10/28/2021</w:t>
            </w:r>
          </w:p>
        </w:tc>
        <w:tc>
          <w:tcPr>
            <w:tcW w:w="1682" w:type="dxa"/>
            <w:tcBorders>
              <w:top w:val="nil"/>
              <w:left w:val="nil"/>
              <w:bottom w:val="single" w:sz="4" w:space="0" w:color="auto"/>
              <w:right w:val="single" w:sz="4" w:space="0" w:color="auto"/>
            </w:tcBorders>
            <w:shd w:val="clear" w:color="auto" w:fill="auto"/>
            <w:vAlign w:val="bottom"/>
            <w:hideMark/>
          </w:tcPr>
          <w:p w14:paraId="2955DE5C"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noiembrie-decembrie</w:t>
            </w:r>
          </w:p>
        </w:tc>
        <w:tc>
          <w:tcPr>
            <w:tcW w:w="1108" w:type="dxa"/>
            <w:tcBorders>
              <w:top w:val="nil"/>
              <w:left w:val="nil"/>
              <w:bottom w:val="single" w:sz="4" w:space="0" w:color="auto"/>
              <w:right w:val="single" w:sz="4" w:space="0" w:color="auto"/>
            </w:tcBorders>
            <w:shd w:val="clear" w:color="auto" w:fill="auto"/>
            <w:noWrap/>
            <w:vAlign w:val="bottom"/>
            <w:hideMark/>
          </w:tcPr>
          <w:p w14:paraId="5E402C1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c>
          <w:tcPr>
            <w:tcW w:w="1800" w:type="dxa"/>
            <w:tcBorders>
              <w:top w:val="nil"/>
              <w:left w:val="nil"/>
              <w:bottom w:val="single" w:sz="4" w:space="0" w:color="auto"/>
              <w:right w:val="single" w:sz="4" w:space="0" w:color="auto"/>
            </w:tcBorders>
            <w:shd w:val="clear" w:color="auto" w:fill="auto"/>
            <w:noWrap/>
            <w:vAlign w:val="bottom"/>
            <w:hideMark/>
          </w:tcPr>
          <w:p w14:paraId="5EE9335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ianuarie-decembrie</w:t>
            </w:r>
          </w:p>
        </w:tc>
        <w:tc>
          <w:tcPr>
            <w:tcW w:w="1350" w:type="dxa"/>
            <w:tcBorders>
              <w:top w:val="nil"/>
              <w:left w:val="nil"/>
              <w:bottom w:val="single" w:sz="4" w:space="0" w:color="auto"/>
              <w:right w:val="single" w:sz="4" w:space="0" w:color="auto"/>
            </w:tcBorders>
            <w:shd w:val="clear" w:color="auto" w:fill="auto"/>
            <w:noWrap/>
            <w:vAlign w:val="bottom"/>
            <w:hideMark/>
          </w:tcPr>
          <w:p w14:paraId="3362A203"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24255.0</w:t>
            </w:r>
          </w:p>
        </w:tc>
        <w:tc>
          <w:tcPr>
            <w:tcW w:w="1530" w:type="dxa"/>
            <w:tcBorders>
              <w:top w:val="nil"/>
              <w:left w:val="nil"/>
              <w:bottom w:val="single" w:sz="4" w:space="0" w:color="auto"/>
              <w:right w:val="single" w:sz="4" w:space="0" w:color="auto"/>
            </w:tcBorders>
            <w:shd w:val="clear" w:color="auto" w:fill="auto"/>
            <w:noWrap/>
            <w:vAlign w:val="bottom"/>
            <w:hideMark/>
          </w:tcPr>
          <w:p w14:paraId="69EE2308"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28297.5</w:t>
            </w:r>
          </w:p>
        </w:tc>
      </w:tr>
      <w:tr w:rsidR="00DC25E0" w:rsidRPr="00B7675F" w14:paraId="78CF6576"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1FD3516E"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17</w:t>
            </w:r>
          </w:p>
        </w:tc>
        <w:tc>
          <w:tcPr>
            <w:tcW w:w="1420" w:type="dxa"/>
            <w:tcBorders>
              <w:top w:val="nil"/>
              <w:left w:val="nil"/>
              <w:bottom w:val="single" w:sz="4" w:space="0" w:color="auto"/>
              <w:right w:val="single" w:sz="4" w:space="0" w:color="auto"/>
            </w:tcBorders>
            <w:shd w:val="clear" w:color="auto" w:fill="auto"/>
            <w:vAlign w:val="bottom"/>
            <w:hideMark/>
          </w:tcPr>
          <w:p w14:paraId="08E7A3C9"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17</w:t>
            </w:r>
          </w:p>
        </w:tc>
        <w:tc>
          <w:tcPr>
            <w:tcW w:w="1273" w:type="dxa"/>
            <w:tcBorders>
              <w:top w:val="nil"/>
              <w:left w:val="nil"/>
              <w:bottom w:val="single" w:sz="4" w:space="0" w:color="auto"/>
              <w:right w:val="single" w:sz="4" w:space="0" w:color="auto"/>
            </w:tcBorders>
            <w:shd w:val="clear" w:color="auto" w:fill="auto"/>
            <w:vAlign w:val="bottom"/>
            <w:hideMark/>
          </w:tcPr>
          <w:p w14:paraId="3982F9B0"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1/28/2022</w:t>
            </w:r>
          </w:p>
        </w:tc>
        <w:tc>
          <w:tcPr>
            <w:tcW w:w="1682" w:type="dxa"/>
            <w:tcBorders>
              <w:top w:val="nil"/>
              <w:left w:val="nil"/>
              <w:bottom w:val="single" w:sz="4" w:space="0" w:color="auto"/>
              <w:right w:val="single" w:sz="4" w:space="0" w:color="auto"/>
            </w:tcBorders>
            <w:shd w:val="clear" w:color="auto" w:fill="auto"/>
            <w:vAlign w:val="bottom"/>
            <w:hideMark/>
          </w:tcPr>
          <w:p w14:paraId="70B19A18"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68717DA8"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64EE8872"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350" w:type="dxa"/>
            <w:tcBorders>
              <w:top w:val="nil"/>
              <w:left w:val="nil"/>
              <w:bottom w:val="single" w:sz="4" w:space="0" w:color="auto"/>
              <w:right w:val="single" w:sz="4" w:space="0" w:color="auto"/>
            </w:tcBorders>
            <w:shd w:val="clear" w:color="auto" w:fill="auto"/>
            <w:noWrap/>
            <w:vAlign w:val="bottom"/>
            <w:hideMark/>
          </w:tcPr>
          <w:p w14:paraId="2DF56544" w14:textId="77777777" w:rsidR="00DC25E0" w:rsidRPr="00736448" w:rsidRDefault="00DC25E0" w:rsidP="00911B93">
            <w:pPr>
              <w:spacing w:after="0" w:line="240" w:lineRule="auto"/>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530" w:type="dxa"/>
            <w:tcBorders>
              <w:top w:val="nil"/>
              <w:left w:val="nil"/>
              <w:bottom w:val="single" w:sz="4" w:space="0" w:color="auto"/>
              <w:right w:val="single" w:sz="4" w:space="0" w:color="auto"/>
            </w:tcBorders>
            <w:shd w:val="clear" w:color="auto" w:fill="auto"/>
            <w:noWrap/>
            <w:vAlign w:val="bottom"/>
            <w:hideMark/>
          </w:tcPr>
          <w:p w14:paraId="3A3AB21A" w14:textId="77777777" w:rsidR="00DC25E0" w:rsidRPr="00736448" w:rsidRDefault="00DC25E0" w:rsidP="00911B93">
            <w:pPr>
              <w:spacing w:after="0" w:line="240" w:lineRule="auto"/>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r>
      <w:tr w:rsidR="00DC25E0" w:rsidRPr="00B7675F" w14:paraId="36110613"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7744DC9"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18</w:t>
            </w:r>
          </w:p>
        </w:tc>
        <w:tc>
          <w:tcPr>
            <w:tcW w:w="1420" w:type="dxa"/>
            <w:tcBorders>
              <w:top w:val="nil"/>
              <w:left w:val="nil"/>
              <w:bottom w:val="single" w:sz="4" w:space="0" w:color="auto"/>
              <w:right w:val="single" w:sz="4" w:space="0" w:color="auto"/>
            </w:tcBorders>
            <w:shd w:val="clear" w:color="auto" w:fill="auto"/>
            <w:vAlign w:val="bottom"/>
            <w:hideMark/>
          </w:tcPr>
          <w:p w14:paraId="53D903D7"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18</w:t>
            </w:r>
          </w:p>
        </w:tc>
        <w:tc>
          <w:tcPr>
            <w:tcW w:w="1273" w:type="dxa"/>
            <w:tcBorders>
              <w:top w:val="nil"/>
              <w:left w:val="nil"/>
              <w:bottom w:val="single" w:sz="4" w:space="0" w:color="auto"/>
              <w:right w:val="single" w:sz="4" w:space="0" w:color="auto"/>
            </w:tcBorders>
            <w:shd w:val="clear" w:color="auto" w:fill="auto"/>
            <w:vAlign w:val="bottom"/>
            <w:hideMark/>
          </w:tcPr>
          <w:p w14:paraId="4775378E"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3/3/2022</w:t>
            </w:r>
          </w:p>
        </w:tc>
        <w:tc>
          <w:tcPr>
            <w:tcW w:w="1682" w:type="dxa"/>
            <w:tcBorders>
              <w:top w:val="nil"/>
              <w:left w:val="nil"/>
              <w:bottom w:val="single" w:sz="4" w:space="0" w:color="auto"/>
              <w:right w:val="single" w:sz="4" w:space="0" w:color="auto"/>
            </w:tcBorders>
            <w:shd w:val="clear" w:color="auto" w:fill="auto"/>
            <w:vAlign w:val="bottom"/>
            <w:hideMark/>
          </w:tcPr>
          <w:p w14:paraId="76E1245D"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363D0590"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5E0B2FDD"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martie-aprilie</w:t>
            </w:r>
          </w:p>
        </w:tc>
        <w:tc>
          <w:tcPr>
            <w:tcW w:w="1350" w:type="dxa"/>
            <w:tcBorders>
              <w:top w:val="nil"/>
              <w:left w:val="nil"/>
              <w:bottom w:val="single" w:sz="4" w:space="0" w:color="auto"/>
              <w:right w:val="single" w:sz="4" w:space="0" w:color="auto"/>
            </w:tcBorders>
            <w:shd w:val="clear" w:color="auto" w:fill="auto"/>
            <w:noWrap/>
            <w:vAlign w:val="bottom"/>
            <w:hideMark/>
          </w:tcPr>
          <w:p w14:paraId="6E382738"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c>
          <w:tcPr>
            <w:tcW w:w="1530" w:type="dxa"/>
            <w:tcBorders>
              <w:top w:val="nil"/>
              <w:left w:val="nil"/>
              <w:bottom w:val="single" w:sz="4" w:space="0" w:color="auto"/>
              <w:right w:val="single" w:sz="4" w:space="0" w:color="auto"/>
            </w:tcBorders>
            <w:shd w:val="clear" w:color="auto" w:fill="auto"/>
            <w:noWrap/>
            <w:vAlign w:val="bottom"/>
            <w:hideMark/>
          </w:tcPr>
          <w:p w14:paraId="7B458BCC"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4042.5</w:t>
            </w:r>
          </w:p>
        </w:tc>
      </w:tr>
      <w:tr w:rsidR="00DC25E0" w:rsidRPr="00B7675F" w14:paraId="56BE5F39"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622CF35"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19</w:t>
            </w:r>
          </w:p>
        </w:tc>
        <w:tc>
          <w:tcPr>
            <w:tcW w:w="1420" w:type="dxa"/>
            <w:tcBorders>
              <w:top w:val="nil"/>
              <w:left w:val="nil"/>
              <w:bottom w:val="single" w:sz="4" w:space="0" w:color="auto"/>
              <w:right w:val="single" w:sz="4" w:space="0" w:color="auto"/>
            </w:tcBorders>
            <w:shd w:val="clear" w:color="auto" w:fill="auto"/>
            <w:vAlign w:val="bottom"/>
            <w:hideMark/>
          </w:tcPr>
          <w:p w14:paraId="407408F5"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19</w:t>
            </w:r>
          </w:p>
        </w:tc>
        <w:tc>
          <w:tcPr>
            <w:tcW w:w="1273" w:type="dxa"/>
            <w:tcBorders>
              <w:top w:val="nil"/>
              <w:left w:val="nil"/>
              <w:bottom w:val="single" w:sz="4" w:space="0" w:color="auto"/>
              <w:right w:val="single" w:sz="4" w:space="0" w:color="auto"/>
            </w:tcBorders>
            <w:shd w:val="clear" w:color="auto" w:fill="auto"/>
            <w:vAlign w:val="bottom"/>
            <w:hideMark/>
          </w:tcPr>
          <w:p w14:paraId="3E887DA4"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4/5/2022</w:t>
            </w:r>
          </w:p>
        </w:tc>
        <w:tc>
          <w:tcPr>
            <w:tcW w:w="1682" w:type="dxa"/>
            <w:tcBorders>
              <w:top w:val="nil"/>
              <w:left w:val="nil"/>
              <w:bottom w:val="single" w:sz="4" w:space="0" w:color="auto"/>
              <w:right w:val="single" w:sz="4" w:space="0" w:color="auto"/>
            </w:tcBorders>
            <w:shd w:val="clear" w:color="auto" w:fill="auto"/>
            <w:vAlign w:val="bottom"/>
            <w:hideMark/>
          </w:tcPr>
          <w:p w14:paraId="1548BFDE"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22F55F79"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3A5C64CC"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decembrie</w:t>
            </w:r>
          </w:p>
        </w:tc>
        <w:tc>
          <w:tcPr>
            <w:tcW w:w="1350" w:type="dxa"/>
            <w:tcBorders>
              <w:top w:val="nil"/>
              <w:left w:val="nil"/>
              <w:bottom w:val="single" w:sz="4" w:space="0" w:color="auto"/>
              <w:right w:val="single" w:sz="4" w:space="0" w:color="auto"/>
            </w:tcBorders>
            <w:shd w:val="clear" w:color="auto" w:fill="auto"/>
            <w:noWrap/>
            <w:vAlign w:val="bottom"/>
            <w:hideMark/>
          </w:tcPr>
          <w:p w14:paraId="0593B6A9"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530" w:type="dxa"/>
            <w:tcBorders>
              <w:top w:val="nil"/>
              <w:left w:val="nil"/>
              <w:bottom w:val="single" w:sz="4" w:space="0" w:color="auto"/>
              <w:right w:val="single" w:sz="4" w:space="0" w:color="auto"/>
            </w:tcBorders>
            <w:shd w:val="clear" w:color="auto" w:fill="auto"/>
            <w:noWrap/>
            <w:vAlign w:val="bottom"/>
            <w:hideMark/>
          </w:tcPr>
          <w:p w14:paraId="0ED32EFD"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r>
      <w:tr w:rsidR="00DC25E0" w:rsidRPr="00B7675F" w14:paraId="152CE370"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057FA34"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20</w:t>
            </w:r>
          </w:p>
        </w:tc>
        <w:tc>
          <w:tcPr>
            <w:tcW w:w="1420" w:type="dxa"/>
            <w:tcBorders>
              <w:top w:val="nil"/>
              <w:left w:val="nil"/>
              <w:bottom w:val="single" w:sz="4" w:space="0" w:color="auto"/>
              <w:right w:val="single" w:sz="4" w:space="0" w:color="auto"/>
            </w:tcBorders>
            <w:shd w:val="clear" w:color="auto" w:fill="auto"/>
            <w:vAlign w:val="bottom"/>
            <w:hideMark/>
          </w:tcPr>
          <w:p w14:paraId="2A267755"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20</w:t>
            </w:r>
          </w:p>
        </w:tc>
        <w:tc>
          <w:tcPr>
            <w:tcW w:w="1273" w:type="dxa"/>
            <w:tcBorders>
              <w:top w:val="nil"/>
              <w:left w:val="nil"/>
              <w:bottom w:val="single" w:sz="4" w:space="0" w:color="auto"/>
              <w:right w:val="single" w:sz="4" w:space="0" w:color="auto"/>
            </w:tcBorders>
            <w:shd w:val="clear" w:color="auto" w:fill="auto"/>
            <w:vAlign w:val="bottom"/>
            <w:hideMark/>
          </w:tcPr>
          <w:p w14:paraId="20BCB493"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11/18/2022</w:t>
            </w:r>
          </w:p>
        </w:tc>
        <w:tc>
          <w:tcPr>
            <w:tcW w:w="1682" w:type="dxa"/>
            <w:tcBorders>
              <w:top w:val="nil"/>
              <w:left w:val="nil"/>
              <w:bottom w:val="single" w:sz="4" w:space="0" w:color="auto"/>
              <w:right w:val="single" w:sz="4" w:space="0" w:color="auto"/>
            </w:tcBorders>
            <w:shd w:val="clear" w:color="auto" w:fill="auto"/>
            <w:vAlign w:val="bottom"/>
            <w:hideMark/>
          </w:tcPr>
          <w:p w14:paraId="026823D4"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703326DF"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75673551"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decembrie</w:t>
            </w:r>
          </w:p>
        </w:tc>
        <w:tc>
          <w:tcPr>
            <w:tcW w:w="1350" w:type="dxa"/>
            <w:tcBorders>
              <w:top w:val="nil"/>
              <w:left w:val="nil"/>
              <w:bottom w:val="single" w:sz="4" w:space="0" w:color="auto"/>
              <w:right w:val="single" w:sz="4" w:space="0" w:color="auto"/>
            </w:tcBorders>
            <w:shd w:val="clear" w:color="auto" w:fill="auto"/>
            <w:noWrap/>
            <w:vAlign w:val="bottom"/>
            <w:hideMark/>
          </w:tcPr>
          <w:p w14:paraId="13756262"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530" w:type="dxa"/>
            <w:tcBorders>
              <w:top w:val="nil"/>
              <w:left w:val="nil"/>
              <w:bottom w:val="single" w:sz="4" w:space="0" w:color="auto"/>
              <w:right w:val="single" w:sz="4" w:space="0" w:color="auto"/>
            </w:tcBorders>
            <w:shd w:val="clear" w:color="auto" w:fill="auto"/>
            <w:noWrap/>
            <w:vAlign w:val="bottom"/>
            <w:hideMark/>
          </w:tcPr>
          <w:p w14:paraId="194C0A1E"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r>
      <w:tr w:rsidR="00DC25E0" w:rsidRPr="00B7675F" w14:paraId="515E5666"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761DFE8D"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21</w:t>
            </w:r>
          </w:p>
        </w:tc>
        <w:tc>
          <w:tcPr>
            <w:tcW w:w="1420" w:type="dxa"/>
            <w:tcBorders>
              <w:top w:val="nil"/>
              <w:left w:val="nil"/>
              <w:bottom w:val="single" w:sz="4" w:space="0" w:color="auto"/>
              <w:right w:val="single" w:sz="4" w:space="0" w:color="auto"/>
            </w:tcBorders>
            <w:shd w:val="clear" w:color="auto" w:fill="auto"/>
            <w:vAlign w:val="bottom"/>
            <w:hideMark/>
          </w:tcPr>
          <w:p w14:paraId="77BB5045"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21</w:t>
            </w:r>
          </w:p>
        </w:tc>
        <w:tc>
          <w:tcPr>
            <w:tcW w:w="1273" w:type="dxa"/>
            <w:tcBorders>
              <w:top w:val="nil"/>
              <w:left w:val="nil"/>
              <w:bottom w:val="single" w:sz="4" w:space="0" w:color="auto"/>
              <w:right w:val="single" w:sz="4" w:space="0" w:color="auto"/>
            </w:tcBorders>
            <w:shd w:val="clear" w:color="auto" w:fill="auto"/>
            <w:vAlign w:val="bottom"/>
            <w:hideMark/>
          </w:tcPr>
          <w:p w14:paraId="68035A61"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11/18/2022</w:t>
            </w:r>
          </w:p>
        </w:tc>
        <w:tc>
          <w:tcPr>
            <w:tcW w:w="1682" w:type="dxa"/>
            <w:tcBorders>
              <w:top w:val="nil"/>
              <w:left w:val="nil"/>
              <w:bottom w:val="single" w:sz="4" w:space="0" w:color="auto"/>
              <w:right w:val="single" w:sz="4" w:space="0" w:color="auto"/>
            </w:tcBorders>
            <w:shd w:val="clear" w:color="auto" w:fill="auto"/>
            <w:vAlign w:val="bottom"/>
            <w:hideMark/>
          </w:tcPr>
          <w:p w14:paraId="63AF2A0E"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51ED4DBA"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17CBAEF7"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decembrie</w:t>
            </w:r>
          </w:p>
        </w:tc>
        <w:tc>
          <w:tcPr>
            <w:tcW w:w="1350" w:type="dxa"/>
            <w:tcBorders>
              <w:top w:val="nil"/>
              <w:left w:val="nil"/>
              <w:bottom w:val="single" w:sz="4" w:space="0" w:color="auto"/>
              <w:right w:val="single" w:sz="4" w:space="0" w:color="auto"/>
            </w:tcBorders>
            <w:shd w:val="clear" w:color="auto" w:fill="auto"/>
            <w:noWrap/>
            <w:vAlign w:val="bottom"/>
            <w:hideMark/>
          </w:tcPr>
          <w:p w14:paraId="7C03FDC3"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c>
          <w:tcPr>
            <w:tcW w:w="1530" w:type="dxa"/>
            <w:tcBorders>
              <w:top w:val="nil"/>
              <w:left w:val="nil"/>
              <w:bottom w:val="single" w:sz="4" w:space="0" w:color="auto"/>
              <w:right w:val="single" w:sz="4" w:space="0" w:color="auto"/>
            </w:tcBorders>
            <w:shd w:val="clear" w:color="auto" w:fill="auto"/>
            <w:noWrap/>
            <w:vAlign w:val="bottom"/>
            <w:hideMark/>
          </w:tcPr>
          <w:p w14:paraId="402B1F58"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2021.25</w:t>
            </w:r>
          </w:p>
        </w:tc>
      </w:tr>
      <w:tr w:rsidR="00DC25E0" w:rsidRPr="00B7675F" w14:paraId="53CFFA9A"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2B256252"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22</w:t>
            </w:r>
          </w:p>
        </w:tc>
        <w:tc>
          <w:tcPr>
            <w:tcW w:w="1420" w:type="dxa"/>
            <w:tcBorders>
              <w:top w:val="nil"/>
              <w:left w:val="nil"/>
              <w:bottom w:val="single" w:sz="4" w:space="0" w:color="auto"/>
              <w:right w:val="single" w:sz="4" w:space="0" w:color="auto"/>
            </w:tcBorders>
            <w:shd w:val="clear" w:color="auto" w:fill="auto"/>
            <w:vAlign w:val="bottom"/>
            <w:hideMark/>
          </w:tcPr>
          <w:p w14:paraId="5439A068"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22</w:t>
            </w:r>
          </w:p>
        </w:tc>
        <w:tc>
          <w:tcPr>
            <w:tcW w:w="1273" w:type="dxa"/>
            <w:tcBorders>
              <w:top w:val="nil"/>
              <w:left w:val="nil"/>
              <w:bottom w:val="single" w:sz="4" w:space="0" w:color="auto"/>
              <w:right w:val="single" w:sz="4" w:space="0" w:color="auto"/>
            </w:tcBorders>
            <w:shd w:val="clear" w:color="auto" w:fill="auto"/>
            <w:vAlign w:val="bottom"/>
            <w:hideMark/>
          </w:tcPr>
          <w:p w14:paraId="41CB8D99"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12/12/2022</w:t>
            </w:r>
          </w:p>
        </w:tc>
        <w:tc>
          <w:tcPr>
            <w:tcW w:w="1682" w:type="dxa"/>
            <w:tcBorders>
              <w:top w:val="nil"/>
              <w:left w:val="nil"/>
              <w:bottom w:val="single" w:sz="4" w:space="0" w:color="auto"/>
              <w:right w:val="single" w:sz="4" w:space="0" w:color="auto"/>
            </w:tcBorders>
            <w:shd w:val="clear" w:color="auto" w:fill="auto"/>
            <w:vAlign w:val="bottom"/>
            <w:hideMark/>
          </w:tcPr>
          <w:p w14:paraId="3903FBED"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68E488AA"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225BCC3C"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decembrie</w:t>
            </w:r>
          </w:p>
        </w:tc>
        <w:tc>
          <w:tcPr>
            <w:tcW w:w="1350" w:type="dxa"/>
            <w:tcBorders>
              <w:top w:val="nil"/>
              <w:left w:val="nil"/>
              <w:bottom w:val="single" w:sz="4" w:space="0" w:color="auto"/>
              <w:right w:val="single" w:sz="4" w:space="0" w:color="auto"/>
            </w:tcBorders>
            <w:shd w:val="clear" w:color="auto" w:fill="auto"/>
            <w:noWrap/>
            <w:vAlign w:val="bottom"/>
            <w:hideMark/>
          </w:tcPr>
          <w:p w14:paraId="36B6D18B"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1239</w:t>
            </w:r>
          </w:p>
        </w:tc>
        <w:tc>
          <w:tcPr>
            <w:tcW w:w="1530" w:type="dxa"/>
            <w:tcBorders>
              <w:top w:val="nil"/>
              <w:left w:val="nil"/>
              <w:bottom w:val="single" w:sz="4" w:space="0" w:color="auto"/>
              <w:right w:val="single" w:sz="4" w:space="0" w:color="auto"/>
            </w:tcBorders>
            <w:shd w:val="clear" w:color="auto" w:fill="auto"/>
            <w:noWrap/>
            <w:vAlign w:val="bottom"/>
            <w:hideMark/>
          </w:tcPr>
          <w:p w14:paraId="1E91A0BB"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1239</w:t>
            </w:r>
          </w:p>
        </w:tc>
      </w:tr>
      <w:tr w:rsidR="00DC25E0" w:rsidRPr="00B7675F" w14:paraId="584FAB8D"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CCDC986" w14:textId="77777777" w:rsidR="00DC25E0" w:rsidRPr="00736448" w:rsidRDefault="00DC25E0" w:rsidP="00911B93">
            <w:pPr>
              <w:spacing w:after="0" w:line="240" w:lineRule="auto"/>
              <w:jc w:val="right"/>
              <w:rPr>
                <w:rFonts w:asciiTheme="majorHAnsi" w:eastAsia="Times New Roman" w:hAnsiTheme="majorHAnsi" w:cs="Times New Roman"/>
                <w:b/>
                <w:bCs/>
                <w:color w:val="000000"/>
                <w:sz w:val="20"/>
                <w:szCs w:val="20"/>
                <w:lang w:val="ro-MD"/>
              </w:rPr>
            </w:pPr>
            <w:r w:rsidRPr="00736448">
              <w:rPr>
                <w:rFonts w:asciiTheme="majorHAnsi" w:eastAsia="Times New Roman" w:hAnsiTheme="majorHAnsi" w:cs="Times New Roman"/>
                <w:b/>
                <w:bCs/>
                <w:color w:val="000000"/>
                <w:sz w:val="20"/>
                <w:szCs w:val="20"/>
                <w:lang w:val="ro-MD"/>
              </w:rPr>
              <w:t>23</w:t>
            </w:r>
          </w:p>
        </w:tc>
        <w:tc>
          <w:tcPr>
            <w:tcW w:w="1420" w:type="dxa"/>
            <w:tcBorders>
              <w:top w:val="nil"/>
              <w:left w:val="nil"/>
              <w:bottom w:val="single" w:sz="4" w:space="0" w:color="auto"/>
              <w:right w:val="single" w:sz="4" w:space="0" w:color="auto"/>
            </w:tcBorders>
            <w:shd w:val="clear" w:color="auto" w:fill="auto"/>
            <w:vAlign w:val="bottom"/>
            <w:hideMark/>
          </w:tcPr>
          <w:p w14:paraId="2DB902E1" w14:textId="77777777" w:rsidR="00DC25E0" w:rsidRPr="00736448" w:rsidRDefault="00DC25E0" w:rsidP="00911B93">
            <w:pPr>
              <w:spacing w:after="0" w:line="240" w:lineRule="auto"/>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CA nr. 23</w:t>
            </w:r>
          </w:p>
        </w:tc>
        <w:tc>
          <w:tcPr>
            <w:tcW w:w="1273" w:type="dxa"/>
            <w:tcBorders>
              <w:top w:val="nil"/>
              <w:left w:val="nil"/>
              <w:bottom w:val="single" w:sz="4" w:space="0" w:color="auto"/>
              <w:right w:val="single" w:sz="4" w:space="0" w:color="auto"/>
            </w:tcBorders>
            <w:shd w:val="clear" w:color="auto" w:fill="auto"/>
            <w:vAlign w:val="bottom"/>
            <w:hideMark/>
          </w:tcPr>
          <w:p w14:paraId="2DB04C7A" w14:textId="77777777" w:rsidR="00DC25E0" w:rsidRPr="00736448" w:rsidRDefault="00DC25E0" w:rsidP="00911B93">
            <w:pPr>
              <w:spacing w:after="0" w:line="240" w:lineRule="auto"/>
              <w:jc w:val="right"/>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12/14/2022</w:t>
            </w:r>
          </w:p>
        </w:tc>
        <w:tc>
          <w:tcPr>
            <w:tcW w:w="1682" w:type="dxa"/>
            <w:tcBorders>
              <w:top w:val="nil"/>
              <w:left w:val="nil"/>
              <w:bottom w:val="single" w:sz="4" w:space="0" w:color="auto"/>
              <w:right w:val="single" w:sz="4" w:space="0" w:color="auto"/>
            </w:tcBorders>
            <w:shd w:val="clear" w:color="auto" w:fill="auto"/>
            <w:vAlign w:val="bottom"/>
            <w:hideMark/>
          </w:tcPr>
          <w:p w14:paraId="5F72BCE2" w14:textId="77777777" w:rsidR="00DC25E0" w:rsidRPr="00736448" w:rsidRDefault="00DC25E0" w:rsidP="00911B93">
            <w:pPr>
              <w:spacing w:after="0" w:line="240" w:lineRule="auto"/>
              <w:jc w:val="center"/>
              <w:rPr>
                <w:rFonts w:asciiTheme="majorHAnsi" w:eastAsia="Times New Roman" w:hAnsiTheme="majorHAnsi" w:cs="Times New Roman"/>
                <w:color w:val="000000"/>
                <w:sz w:val="20"/>
                <w:szCs w:val="20"/>
                <w:lang w:val="ro-MD"/>
              </w:rPr>
            </w:pPr>
            <w:r w:rsidRPr="00736448">
              <w:rPr>
                <w:rFonts w:asciiTheme="majorHAnsi" w:eastAsia="Times New Roman" w:hAnsiTheme="majorHAnsi" w:cs="Times New Roman"/>
                <w:color w:val="000000"/>
                <w:sz w:val="20"/>
                <w:szCs w:val="20"/>
                <w:lang w:val="ro-MD"/>
              </w:rPr>
              <w:t>x</w:t>
            </w:r>
          </w:p>
        </w:tc>
        <w:tc>
          <w:tcPr>
            <w:tcW w:w="1108" w:type="dxa"/>
            <w:tcBorders>
              <w:top w:val="nil"/>
              <w:left w:val="nil"/>
              <w:bottom w:val="single" w:sz="4" w:space="0" w:color="auto"/>
              <w:right w:val="single" w:sz="4" w:space="0" w:color="auto"/>
            </w:tcBorders>
            <w:shd w:val="clear" w:color="auto" w:fill="auto"/>
            <w:noWrap/>
            <w:vAlign w:val="bottom"/>
            <w:hideMark/>
          </w:tcPr>
          <w:p w14:paraId="4FC51EC4"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x</w:t>
            </w:r>
          </w:p>
        </w:tc>
        <w:tc>
          <w:tcPr>
            <w:tcW w:w="1800" w:type="dxa"/>
            <w:tcBorders>
              <w:top w:val="nil"/>
              <w:left w:val="nil"/>
              <w:bottom w:val="single" w:sz="4" w:space="0" w:color="auto"/>
              <w:right w:val="single" w:sz="4" w:space="0" w:color="auto"/>
            </w:tcBorders>
            <w:shd w:val="clear" w:color="auto" w:fill="auto"/>
            <w:noWrap/>
            <w:vAlign w:val="bottom"/>
            <w:hideMark/>
          </w:tcPr>
          <w:p w14:paraId="583A17EC" w14:textId="77777777" w:rsidR="00DC25E0" w:rsidRPr="00736448" w:rsidRDefault="00DC25E0" w:rsidP="00911B93">
            <w:pPr>
              <w:spacing w:after="0" w:line="240" w:lineRule="auto"/>
              <w:jc w:val="center"/>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decembrie</w:t>
            </w:r>
          </w:p>
        </w:tc>
        <w:tc>
          <w:tcPr>
            <w:tcW w:w="1350" w:type="dxa"/>
            <w:tcBorders>
              <w:top w:val="nil"/>
              <w:left w:val="nil"/>
              <w:bottom w:val="single" w:sz="4" w:space="0" w:color="auto"/>
              <w:right w:val="single" w:sz="4" w:space="0" w:color="auto"/>
            </w:tcBorders>
            <w:shd w:val="clear" w:color="auto" w:fill="auto"/>
            <w:noWrap/>
            <w:vAlign w:val="bottom"/>
            <w:hideMark/>
          </w:tcPr>
          <w:p w14:paraId="47B4A6F4"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1109</w:t>
            </w:r>
          </w:p>
        </w:tc>
        <w:tc>
          <w:tcPr>
            <w:tcW w:w="1530" w:type="dxa"/>
            <w:tcBorders>
              <w:top w:val="nil"/>
              <w:left w:val="nil"/>
              <w:bottom w:val="single" w:sz="4" w:space="0" w:color="auto"/>
              <w:right w:val="single" w:sz="4" w:space="0" w:color="auto"/>
            </w:tcBorders>
            <w:shd w:val="clear" w:color="auto" w:fill="auto"/>
            <w:noWrap/>
            <w:vAlign w:val="bottom"/>
            <w:hideMark/>
          </w:tcPr>
          <w:p w14:paraId="7875BFE5" w14:textId="77777777" w:rsidR="00DC25E0" w:rsidRPr="00736448" w:rsidRDefault="00DC25E0" w:rsidP="00911B93">
            <w:pPr>
              <w:spacing w:after="0" w:line="240" w:lineRule="auto"/>
              <w:jc w:val="right"/>
              <w:rPr>
                <w:rFonts w:asciiTheme="majorHAnsi" w:eastAsia="Times New Roman" w:hAnsiTheme="majorHAnsi" w:cs="Calibri"/>
                <w:color w:val="000000"/>
                <w:sz w:val="20"/>
                <w:szCs w:val="20"/>
                <w:lang w:val="ro-MD"/>
              </w:rPr>
            </w:pPr>
            <w:r w:rsidRPr="00736448">
              <w:rPr>
                <w:rFonts w:asciiTheme="majorHAnsi" w:eastAsia="Times New Roman" w:hAnsiTheme="majorHAnsi" w:cs="Calibri"/>
                <w:color w:val="000000"/>
                <w:sz w:val="20"/>
                <w:szCs w:val="20"/>
                <w:lang w:val="ro-MD"/>
              </w:rPr>
              <w:t>1109</w:t>
            </w:r>
          </w:p>
        </w:tc>
      </w:tr>
      <w:tr w:rsidR="00DC25E0" w:rsidRPr="00B7675F" w14:paraId="3D9557F8" w14:textId="77777777" w:rsidTr="00911B93">
        <w:trPr>
          <w:trHeight w:val="2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037527B4" w14:textId="77777777" w:rsidR="00DC25E0" w:rsidRPr="00736448" w:rsidRDefault="00DC25E0" w:rsidP="00911B93">
            <w:pPr>
              <w:spacing w:after="0" w:line="240" w:lineRule="auto"/>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 </w:t>
            </w:r>
          </w:p>
        </w:tc>
        <w:tc>
          <w:tcPr>
            <w:tcW w:w="1420" w:type="dxa"/>
            <w:tcBorders>
              <w:top w:val="nil"/>
              <w:left w:val="nil"/>
              <w:bottom w:val="single" w:sz="4" w:space="0" w:color="auto"/>
              <w:right w:val="single" w:sz="4" w:space="0" w:color="auto"/>
            </w:tcBorders>
            <w:shd w:val="clear" w:color="auto" w:fill="auto"/>
            <w:noWrap/>
            <w:vAlign w:val="bottom"/>
            <w:hideMark/>
          </w:tcPr>
          <w:p w14:paraId="4080D1F3" w14:textId="77777777" w:rsidR="00DC25E0" w:rsidRPr="00736448" w:rsidRDefault="00DC25E0" w:rsidP="00911B93">
            <w:pPr>
              <w:spacing w:after="0" w:line="240" w:lineRule="auto"/>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 Total</w:t>
            </w:r>
          </w:p>
        </w:tc>
        <w:tc>
          <w:tcPr>
            <w:tcW w:w="1273" w:type="dxa"/>
            <w:tcBorders>
              <w:top w:val="nil"/>
              <w:left w:val="nil"/>
              <w:bottom w:val="single" w:sz="4" w:space="0" w:color="auto"/>
              <w:right w:val="single" w:sz="4" w:space="0" w:color="auto"/>
            </w:tcBorders>
            <w:shd w:val="clear" w:color="auto" w:fill="auto"/>
            <w:noWrap/>
            <w:vAlign w:val="bottom"/>
            <w:hideMark/>
          </w:tcPr>
          <w:p w14:paraId="29031B8A" w14:textId="77777777" w:rsidR="00DC25E0" w:rsidRPr="00736448" w:rsidRDefault="00DC25E0" w:rsidP="00911B93">
            <w:pPr>
              <w:spacing w:after="0" w:line="240" w:lineRule="auto"/>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 </w:t>
            </w:r>
          </w:p>
        </w:tc>
        <w:tc>
          <w:tcPr>
            <w:tcW w:w="1682" w:type="dxa"/>
            <w:tcBorders>
              <w:top w:val="nil"/>
              <w:left w:val="nil"/>
              <w:bottom w:val="single" w:sz="4" w:space="0" w:color="auto"/>
              <w:right w:val="single" w:sz="4" w:space="0" w:color="auto"/>
            </w:tcBorders>
            <w:shd w:val="clear" w:color="auto" w:fill="auto"/>
            <w:noWrap/>
            <w:vAlign w:val="bottom"/>
            <w:hideMark/>
          </w:tcPr>
          <w:p w14:paraId="774442D0"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108" w:type="dxa"/>
            <w:tcBorders>
              <w:top w:val="nil"/>
              <w:left w:val="nil"/>
              <w:bottom w:val="single" w:sz="4" w:space="0" w:color="auto"/>
              <w:right w:val="single" w:sz="4" w:space="0" w:color="auto"/>
            </w:tcBorders>
            <w:shd w:val="clear" w:color="auto" w:fill="auto"/>
            <w:noWrap/>
            <w:vAlign w:val="bottom"/>
            <w:hideMark/>
          </w:tcPr>
          <w:p w14:paraId="10C422EC" w14:textId="77777777" w:rsidR="00DC25E0" w:rsidRPr="00736448" w:rsidRDefault="00DC25E0" w:rsidP="00911B93">
            <w:pPr>
              <w:spacing w:after="0" w:line="240" w:lineRule="auto"/>
              <w:jc w:val="right"/>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138388.25</w:t>
            </w:r>
          </w:p>
        </w:tc>
        <w:tc>
          <w:tcPr>
            <w:tcW w:w="1800" w:type="dxa"/>
            <w:tcBorders>
              <w:top w:val="nil"/>
              <w:left w:val="nil"/>
              <w:bottom w:val="single" w:sz="4" w:space="0" w:color="auto"/>
              <w:right w:val="single" w:sz="4" w:space="0" w:color="auto"/>
            </w:tcBorders>
            <w:shd w:val="clear" w:color="auto" w:fill="auto"/>
            <w:noWrap/>
            <w:vAlign w:val="bottom"/>
            <w:hideMark/>
          </w:tcPr>
          <w:p w14:paraId="4F7C66DD" w14:textId="77777777" w:rsidR="00DC25E0" w:rsidRPr="00736448" w:rsidRDefault="00DC25E0" w:rsidP="00911B93">
            <w:pPr>
              <w:spacing w:after="0" w:line="240" w:lineRule="auto"/>
              <w:jc w:val="center"/>
              <w:rPr>
                <w:rFonts w:asciiTheme="majorHAnsi" w:eastAsia="Times New Roman" w:hAnsiTheme="majorHAnsi" w:cs="Calibri"/>
                <w:b/>
                <w:bCs/>
                <w:color w:val="000000"/>
                <w:sz w:val="20"/>
                <w:szCs w:val="20"/>
                <w:lang w:val="ro-MD"/>
              </w:rPr>
            </w:pPr>
          </w:p>
        </w:tc>
        <w:tc>
          <w:tcPr>
            <w:tcW w:w="1350" w:type="dxa"/>
            <w:tcBorders>
              <w:top w:val="nil"/>
              <w:left w:val="nil"/>
              <w:bottom w:val="single" w:sz="4" w:space="0" w:color="auto"/>
              <w:right w:val="single" w:sz="4" w:space="0" w:color="auto"/>
            </w:tcBorders>
            <w:shd w:val="clear" w:color="auto" w:fill="auto"/>
            <w:noWrap/>
            <w:vAlign w:val="bottom"/>
            <w:hideMark/>
          </w:tcPr>
          <w:p w14:paraId="72830FCA" w14:textId="77777777" w:rsidR="00DC25E0" w:rsidRPr="00736448" w:rsidRDefault="00DC25E0" w:rsidP="00911B93">
            <w:pPr>
              <w:spacing w:after="0" w:line="240" w:lineRule="auto"/>
              <w:jc w:val="right"/>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172133.0</w:t>
            </w:r>
          </w:p>
        </w:tc>
        <w:tc>
          <w:tcPr>
            <w:tcW w:w="1530" w:type="dxa"/>
            <w:tcBorders>
              <w:top w:val="nil"/>
              <w:left w:val="nil"/>
              <w:bottom w:val="single" w:sz="4" w:space="0" w:color="auto"/>
              <w:right w:val="single" w:sz="4" w:space="0" w:color="auto"/>
            </w:tcBorders>
            <w:shd w:val="clear" w:color="auto" w:fill="auto"/>
            <w:noWrap/>
            <w:vAlign w:val="bottom"/>
            <w:hideMark/>
          </w:tcPr>
          <w:p w14:paraId="29019A9E" w14:textId="77777777" w:rsidR="00DC25E0" w:rsidRPr="00736448" w:rsidRDefault="00DC25E0" w:rsidP="00911B93">
            <w:pPr>
              <w:spacing w:after="0" w:line="240" w:lineRule="auto"/>
              <w:jc w:val="right"/>
              <w:rPr>
                <w:rFonts w:asciiTheme="majorHAnsi" w:eastAsia="Times New Roman" w:hAnsiTheme="majorHAnsi" w:cs="Calibri"/>
                <w:b/>
                <w:bCs/>
                <w:color w:val="000000"/>
                <w:sz w:val="20"/>
                <w:szCs w:val="20"/>
                <w:lang w:val="ro-MD"/>
              </w:rPr>
            </w:pPr>
            <w:r w:rsidRPr="00736448">
              <w:rPr>
                <w:rFonts w:asciiTheme="majorHAnsi" w:eastAsia="Times New Roman" w:hAnsiTheme="majorHAnsi" w:cs="Calibri"/>
                <w:b/>
                <w:bCs/>
                <w:color w:val="000000"/>
                <w:sz w:val="20"/>
                <w:szCs w:val="20"/>
                <w:lang w:val="ro-MD"/>
              </w:rPr>
              <w:t>310521.25</w:t>
            </w:r>
          </w:p>
        </w:tc>
      </w:tr>
    </w:tbl>
    <w:p w14:paraId="5A847BFF" w14:textId="29D36315" w:rsidR="00DC25E0" w:rsidRPr="00736448" w:rsidRDefault="00DC25E0" w:rsidP="00053CBC">
      <w:pPr>
        <w:shd w:val="clear" w:color="auto" w:fill="FFFFFF" w:themeFill="background1"/>
        <w:spacing w:line="276" w:lineRule="auto"/>
        <w:jc w:val="both"/>
        <w:rPr>
          <w:rFonts w:asciiTheme="majorHAnsi" w:hAnsiTheme="majorHAnsi" w:cstheme="majorHAnsi"/>
          <w:sz w:val="24"/>
          <w:szCs w:val="24"/>
          <w:lang w:val="ro-MD"/>
        </w:rPr>
      </w:pPr>
    </w:p>
    <w:p w14:paraId="13821855" w14:textId="77777777" w:rsidR="00444516" w:rsidRPr="00736448" w:rsidRDefault="00444516" w:rsidP="00444516">
      <w:pPr>
        <w:pStyle w:val="2"/>
        <w:rPr>
          <w:rFonts w:cstheme="majorHAnsi"/>
          <w:sz w:val="24"/>
          <w:szCs w:val="24"/>
          <w:lang w:val="ro-MD"/>
        </w:rPr>
      </w:pPr>
      <w:r w:rsidRPr="00736448">
        <w:rPr>
          <w:rFonts w:cstheme="majorHAnsi"/>
          <w:sz w:val="24"/>
          <w:szCs w:val="24"/>
          <w:lang w:val="ro-MD"/>
        </w:rPr>
        <w:br w:type="page"/>
      </w:r>
    </w:p>
    <w:p w14:paraId="5C56BA00" w14:textId="4EBF0826" w:rsidR="00E46FC8" w:rsidRPr="00736448" w:rsidRDefault="00A356B8" w:rsidP="00444516">
      <w:pPr>
        <w:pStyle w:val="2"/>
        <w:jc w:val="right"/>
        <w:rPr>
          <w:rFonts w:cstheme="majorHAnsi"/>
          <w:b/>
          <w:sz w:val="24"/>
          <w:szCs w:val="24"/>
          <w:lang w:val="ro-MD"/>
        </w:rPr>
      </w:pPr>
      <w:r w:rsidRPr="00736448">
        <w:rPr>
          <w:rFonts w:cstheme="majorHAnsi"/>
          <w:b/>
          <w:sz w:val="24"/>
          <w:szCs w:val="24"/>
          <w:lang w:val="ro-MD"/>
        </w:rPr>
        <w:t>Anexa nr.</w:t>
      </w:r>
      <w:r w:rsidR="00444516" w:rsidRPr="00736448">
        <w:rPr>
          <w:rFonts w:cstheme="majorHAnsi"/>
          <w:b/>
          <w:sz w:val="24"/>
          <w:szCs w:val="24"/>
          <w:lang w:val="ro-MD"/>
        </w:rPr>
        <w:t>6</w:t>
      </w:r>
    </w:p>
    <w:p w14:paraId="11A888C7" w14:textId="21CD66F5" w:rsidR="00444516" w:rsidRPr="00736448" w:rsidRDefault="00444516" w:rsidP="00444516">
      <w:pPr>
        <w:jc w:val="center"/>
        <w:rPr>
          <w:rFonts w:asciiTheme="majorHAnsi" w:hAnsiTheme="majorHAnsi"/>
          <w:b/>
          <w:sz w:val="24"/>
          <w:szCs w:val="24"/>
          <w:lang w:val="ro-MD"/>
        </w:rPr>
      </w:pPr>
      <w:r w:rsidRPr="00736448">
        <w:rPr>
          <w:rFonts w:asciiTheme="majorHAnsi" w:hAnsiTheme="majorHAnsi"/>
          <w:b/>
          <w:sz w:val="24"/>
          <w:szCs w:val="24"/>
          <w:lang w:val="ro-MD"/>
        </w:rPr>
        <w:t>Informații privind acordurile internaționale pe baza principiului teritorialității</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508"/>
        <w:gridCol w:w="2945"/>
        <w:gridCol w:w="3946"/>
        <w:gridCol w:w="3036"/>
      </w:tblGrid>
      <w:tr w:rsidR="00E46FC8" w:rsidRPr="00B7675F" w14:paraId="6862CB80" w14:textId="77777777" w:rsidTr="00B27804">
        <w:trPr>
          <w:trHeight w:val="476"/>
          <w:jc w:val="center"/>
        </w:trPr>
        <w:tc>
          <w:tcPr>
            <w:tcW w:w="451" w:type="dxa"/>
            <w:shd w:val="clear" w:color="auto" w:fill="FFFFFF" w:themeFill="background1"/>
            <w:vAlign w:val="center"/>
          </w:tcPr>
          <w:p w14:paraId="636E4141" w14:textId="77777777" w:rsidR="00E46FC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Nr.</w:t>
            </w:r>
          </w:p>
          <w:p w14:paraId="062A8924" w14:textId="41EB3026" w:rsidR="00E15964" w:rsidRPr="00736448" w:rsidRDefault="00E15964" w:rsidP="00E46FC8">
            <w:pPr>
              <w:spacing w:after="0" w:line="276" w:lineRule="auto"/>
              <w:jc w:val="center"/>
              <w:rPr>
                <w:rFonts w:asciiTheme="majorHAnsi" w:eastAsia="Times New Roman" w:hAnsiTheme="majorHAnsi" w:cstheme="majorHAnsi"/>
                <w:b/>
                <w:sz w:val="20"/>
                <w:szCs w:val="24"/>
                <w:lang w:val="ro-MD" w:eastAsia="ro-RO"/>
              </w:rPr>
            </w:pPr>
            <w:r>
              <w:rPr>
                <w:rFonts w:asciiTheme="majorHAnsi" w:eastAsia="Times New Roman" w:hAnsiTheme="majorHAnsi" w:cstheme="majorHAnsi"/>
                <w:b/>
                <w:sz w:val="20"/>
                <w:szCs w:val="24"/>
                <w:lang w:val="ro-MD" w:eastAsia="ro-RO"/>
              </w:rPr>
              <w:t>Crt.</w:t>
            </w:r>
          </w:p>
        </w:tc>
        <w:tc>
          <w:tcPr>
            <w:tcW w:w="2964" w:type="dxa"/>
            <w:shd w:val="clear" w:color="auto" w:fill="FFFFFF" w:themeFill="background1"/>
            <w:vAlign w:val="center"/>
          </w:tcPr>
          <w:p w14:paraId="28DBD636"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Țara</w:t>
            </w:r>
          </w:p>
        </w:tc>
        <w:tc>
          <w:tcPr>
            <w:tcW w:w="3965" w:type="dxa"/>
            <w:shd w:val="clear" w:color="auto" w:fill="FFFFFF" w:themeFill="background1"/>
            <w:vAlign w:val="center"/>
          </w:tcPr>
          <w:p w14:paraId="14B5AEEF"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Data, Țara Semnării</w:t>
            </w:r>
          </w:p>
        </w:tc>
        <w:tc>
          <w:tcPr>
            <w:tcW w:w="3055" w:type="dxa"/>
            <w:shd w:val="clear" w:color="auto" w:fill="FFFFFF" w:themeFill="background1"/>
            <w:vAlign w:val="center"/>
          </w:tcPr>
          <w:p w14:paraId="1904CE15"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Data intrării în vigoare</w:t>
            </w:r>
          </w:p>
        </w:tc>
      </w:tr>
      <w:tr w:rsidR="00E46FC8" w:rsidRPr="00B7675F" w14:paraId="080EF2B2" w14:textId="77777777" w:rsidTr="00B27804">
        <w:trPr>
          <w:trHeight w:val="281"/>
          <w:jc w:val="center"/>
        </w:trPr>
        <w:tc>
          <w:tcPr>
            <w:tcW w:w="451" w:type="dxa"/>
            <w:vMerge w:val="restart"/>
            <w:shd w:val="clear" w:color="auto" w:fill="FFFFFF" w:themeFill="background1"/>
          </w:tcPr>
          <w:p w14:paraId="3125DF78"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1.</w:t>
            </w:r>
          </w:p>
        </w:tc>
        <w:tc>
          <w:tcPr>
            <w:tcW w:w="2964" w:type="dxa"/>
            <w:vMerge w:val="restart"/>
            <w:shd w:val="clear" w:color="auto" w:fill="FFFFFF" w:themeFill="background1"/>
          </w:tcPr>
          <w:p w14:paraId="14FABCA3" w14:textId="77777777" w:rsidR="00E46FC8" w:rsidRPr="00736448" w:rsidRDefault="00E46FC8" w:rsidP="00E46FC8">
            <w:pPr>
              <w:spacing w:after="0" w:line="276" w:lineRule="auto"/>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Federația Rusă</w:t>
            </w:r>
          </w:p>
        </w:tc>
        <w:tc>
          <w:tcPr>
            <w:tcW w:w="3965" w:type="dxa"/>
            <w:vMerge w:val="restart"/>
            <w:shd w:val="clear" w:color="auto" w:fill="FFFFFF" w:themeFill="background1"/>
          </w:tcPr>
          <w:p w14:paraId="72237BF9" w14:textId="77777777" w:rsidR="00E46FC8" w:rsidRPr="00736448" w:rsidRDefault="00E46FC8" w:rsidP="00E46FC8">
            <w:pPr>
              <w:spacing w:after="0" w:line="276" w:lineRule="auto"/>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10.02.1995, Moscova</w:t>
            </w:r>
          </w:p>
        </w:tc>
        <w:tc>
          <w:tcPr>
            <w:tcW w:w="3055" w:type="dxa"/>
            <w:vMerge w:val="restart"/>
            <w:shd w:val="clear" w:color="auto" w:fill="FFFFFF" w:themeFill="background1"/>
          </w:tcPr>
          <w:p w14:paraId="5657F997" w14:textId="77777777" w:rsidR="00E46FC8" w:rsidRPr="00736448" w:rsidRDefault="00E46FC8" w:rsidP="00E46FC8">
            <w:pPr>
              <w:spacing w:after="0" w:line="276" w:lineRule="auto"/>
              <w:jc w:val="center"/>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04.12.1995</w:t>
            </w:r>
          </w:p>
        </w:tc>
      </w:tr>
      <w:tr w:rsidR="00E46FC8" w:rsidRPr="00B7675F" w14:paraId="382D090D" w14:textId="77777777" w:rsidTr="00B27804">
        <w:trPr>
          <w:trHeight w:val="281"/>
          <w:jc w:val="center"/>
        </w:trPr>
        <w:tc>
          <w:tcPr>
            <w:tcW w:w="451" w:type="dxa"/>
            <w:vMerge/>
            <w:shd w:val="clear" w:color="auto" w:fill="FFFFFF" w:themeFill="background1"/>
          </w:tcPr>
          <w:p w14:paraId="40814C2A"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p>
        </w:tc>
        <w:tc>
          <w:tcPr>
            <w:tcW w:w="2964" w:type="dxa"/>
            <w:vMerge/>
            <w:shd w:val="clear" w:color="auto" w:fill="FFFFFF" w:themeFill="background1"/>
          </w:tcPr>
          <w:p w14:paraId="3B53B542" w14:textId="77777777" w:rsidR="00E46FC8" w:rsidRPr="00736448" w:rsidRDefault="00E46FC8" w:rsidP="00E46FC8">
            <w:pPr>
              <w:spacing w:after="0" w:line="276" w:lineRule="auto"/>
              <w:rPr>
                <w:rFonts w:asciiTheme="majorHAnsi" w:eastAsia="Times New Roman" w:hAnsiTheme="majorHAnsi" w:cstheme="majorHAnsi"/>
                <w:b/>
                <w:sz w:val="20"/>
                <w:szCs w:val="24"/>
                <w:lang w:val="ro-MD" w:eastAsia="ro-RO"/>
              </w:rPr>
            </w:pPr>
          </w:p>
        </w:tc>
        <w:tc>
          <w:tcPr>
            <w:tcW w:w="3965" w:type="dxa"/>
            <w:vMerge/>
            <w:shd w:val="clear" w:color="auto" w:fill="FFFFFF" w:themeFill="background1"/>
          </w:tcPr>
          <w:p w14:paraId="155D8231" w14:textId="77777777" w:rsidR="00E46FC8" w:rsidRPr="00736448" w:rsidRDefault="00E46FC8" w:rsidP="00E46FC8">
            <w:pPr>
              <w:spacing w:after="0" w:line="276" w:lineRule="auto"/>
              <w:rPr>
                <w:rFonts w:asciiTheme="majorHAnsi" w:eastAsia="Times New Roman" w:hAnsiTheme="majorHAnsi" w:cstheme="majorHAnsi"/>
                <w:sz w:val="20"/>
                <w:szCs w:val="24"/>
                <w:lang w:val="ro-MD" w:eastAsia="ro-RO"/>
              </w:rPr>
            </w:pPr>
          </w:p>
        </w:tc>
        <w:tc>
          <w:tcPr>
            <w:tcW w:w="3055" w:type="dxa"/>
            <w:vMerge/>
            <w:shd w:val="clear" w:color="auto" w:fill="FFFFFF" w:themeFill="background1"/>
          </w:tcPr>
          <w:p w14:paraId="3F5843C7" w14:textId="77777777" w:rsidR="00E46FC8" w:rsidRPr="00736448" w:rsidRDefault="00E46FC8" w:rsidP="00E46FC8">
            <w:pPr>
              <w:spacing w:after="0" w:line="276" w:lineRule="auto"/>
              <w:jc w:val="center"/>
              <w:rPr>
                <w:rFonts w:asciiTheme="majorHAnsi" w:eastAsia="Times New Roman" w:hAnsiTheme="majorHAnsi" w:cstheme="majorHAnsi"/>
                <w:sz w:val="20"/>
                <w:szCs w:val="24"/>
                <w:lang w:val="ro-MD" w:eastAsia="ro-RO"/>
              </w:rPr>
            </w:pPr>
          </w:p>
        </w:tc>
      </w:tr>
      <w:tr w:rsidR="00E46FC8" w:rsidRPr="00B7675F" w14:paraId="07FF7918" w14:textId="77777777" w:rsidTr="00B27804">
        <w:trPr>
          <w:trHeight w:val="20"/>
          <w:jc w:val="center"/>
        </w:trPr>
        <w:tc>
          <w:tcPr>
            <w:tcW w:w="451" w:type="dxa"/>
            <w:shd w:val="clear" w:color="auto" w:fill="FFFFFF" w:themeFill="background1"/>
          </w:tcPr>
          <w:p w14:paraId="32C116CF"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2.</w:t>
            </w:r>
          </w:p>
        </w:tc>
        <w:tc>
          <w:tcPr>
            <w:tcW w:w="2964" w:type="dxa"/>
            <w:shd w:val="clear" w:color="auto" w:fill="FFFFFF" w:themeFill="background1"/>
          </w:tcPr>
          <w:p w14:paraId="3494C9EF" w14:textId="77777777" w:rsidR="00E46FC8" w:rsidRPr="00736448" w:rsidRDefault="00E46FC8" w:rsidP="00E46FC8">
            <w:pPr>
              <w:spacing w:after="0" w:line="276" w:lineRule="auto"/>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Republica Uzbekistan</w:t>
            </w:r>
          </w:p>
        </w:tc>
        <w:tc>
          <w:tcPr>
            <w:tcW w:w="3965" w:type="dxa"/>
            <w:shd w:val="clear" w:color="auto" w:fill="FFFFFF" w:themeFill="background1"/>
          </w:tcPr>
          <w:p w14:paraId="4B139B48" w14:textId="77777777" w:rsidR="00E46FC8" w:rsidRPr="00736448" w:rsidRDefault="00E46FC8" w:rsidP="00E46FC8">
            <w:pPr>
              <w:spacing w:after="0" w:line="276" w:lineRule="auto"/>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30.03.1995, Chişinău</w:t>
            </w:r>
          </w:p>
        </w:tc>
        <w:tc>
          <w:tcPr>
            <w:tcW w:w="3055" w:type="dxa"/>
            <w:shd w:val="clear" w:color="auto" w:fill="FFFFFF" w:themeFill="background1"/>
          </w:tcPr>
          <w:p w14:paraId="4A39019B" w14:textId="77777777" w:rsidR="00E46FC8" w:rsidRPr="00736448" w:rsidRDefault="00E46FC8" w:rsidP="00E46FC8">
            <w:pPr>
              <w:spacing w:after="0" w:line="276" w:lineRule="auto"/>
              <w:jc w:val="center"/>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28.11.1995</w:t>
            </w:r>
          </w:p>
        </w:tc>
      </w:tr>
      <w:tr w:rsidR="00E46FC8" w:rsidRPr="00B7675F" w14:paraId="767D5464" w14:textId="77777777" w:rsidTr="00B27804">
        <w:trPr>
          <w:trHeight w:val="20"/>
          <w:jc w:val="center"/>
        </w:trPr>
        <w:tc>
          <w:tcPr>
            <w:tcW w:w="451" w:type="dxa"/>
            <w:shd w:val="clear" w:color="auto" w:fill="FFFFFF" w:themeFill="background1"/>
          </w:tcPr>
          <w:p w14:paraId="6ED542C4"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 xml:space="preserve">3. </w:t>
            </w:r>
          </w:p>
        </w:tc>
        <w:tc>
          <w:tcPr>
            <w:tcW w:w="2964" w:type="dxa"/>
            <w:shd w:val="clear" w:color="auto" w:fill="FFFFFF" w:themeFill="background1"/>
          </w:tcPr>
          <w:p w14:paraId="066F4A20" w14:textId="77777777" w:rsidR="00E46FC8" w:rsidRPr="00736448" w:rsidRDefault="00E46FC8" w:rsidP="00E46FC8">
            <w:pPr>
              <w:spacing w:after="0" w:line="276" w:lineRule="auto"/>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Ucraina</w:t>
            </w:r>
          </w:p>
        </w:tc>
        <w:tc>
          <w:tcPr>
            <w:tcW w:w="3965" w:type="dxa"/>
            <w:shd w:val="clear" w:color="auto" w:fill="FFFFFF" w:themeFill="background1"/>
          </w:tcPr>
          <w:p w14:paraId="767B56E8" w14:textId="77777777" w:rsidR="00E46FC8" w:rsidRPr="00736448" w:rsidRDefault="00E46FC8" w:rsidP="00E46FC8">
            <w:pPr>
              <w:spacing w:after="0" w:line="276" w:lineRule="auto"/>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u w:val="single"/>
                <w:lang w:val="ro-MD" w:eastAsia="ro-RO"/>
              </w:rPr>
              <w:t>Stabilirea:</w:t>
            </w:r>
            <w:r w:rsidRPr="00736448">
              <w:rPr>
                <w:rFonts w:asciiTheme="majorHAnsi" w:eastAsia="Times New Roman" w:hAnsiTheme="majorHAnsi" w:cstheme="majorHAnsi"/>
                <w:sz w:val="20"/>
                <w:szCs w:val="24"/>
                <w:lang w:val="ro-MD" w:eastAsia="ro-RO"/>
              </w:rPr>
              <w:t>29.08.1995, Chişinău</w:t>
            </w:r>
          </w:p>
          <w:p w14:paraId="74C205B4" w14:textId="77777777" w:rsidR="00E46FC8" w:rsidRPr="00736448" w:rsidRDefault="00E46FC8" w:rsidP="00E46FC8">
            <w:pPr>
              <w:spacing w:after="0" w:line="276" w:lineRule="auto"/>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u w:val="single"/>
                <w:lang w:val="ro-MD" w:eastAsia="ro-RO"/>
              </w:rPr>
              <w:t>Transferul:</w:t>
            </w:r>
            <w:r w:rsidRPr="00736448">
              <w:rPr>
                <w:rFonts w:asciiTheme="majorHAnsi" w:eastAsia="Times New Roman" w:hAnsiTheme="majorHAnsi" w:cstheme="majorHAnsi"/>
                <w:sz w:val="20"/>
                <w:szCs w:val="24"/>
                <w:lang w:val="ro-MD" w:eastAsia="ro-RO"/>
              </w:rPr>
              <w:t>23.10.1998, Chişinău</w:t>
            </w:r>
          </w:p>
        </w:tc>
        <w:tc>
          <w:tcPr>
            <w:tcW w:w="3055" w:type="dxa"/>
            <w:shd w:val="clear" w:color="auto" w:fill="FFFFFF" w:themeFill="background1"/>
          </w:tcPr>
          <w:p w14:paraId="5261BB4F" w14:textId="77777777" w:rsidR="00E46FC8" w:rsidRPr="00736448" w:rsidRDefault="00E46FC8" w:rsidP="00E46FC8">
            <w:pPr>
              <w:spacing w:after="0" w:line="276" w:lineRule="auto"/>
              <w:jc w:val="center"/>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19.10.1996</w:t>
            </w:r>
          </w:p>
          <w:p w14:paraId="0A5B955A" w14:textId="77777777" w:rsidR="00E46FC8" w:rsidRPr="00736448" w:rsidRDefault="00E46FC8" w:rsidP="00E46FC8">
            <w:pPr>
              <w:spacing w:after="0" w:line="276" w:lineRule="auto"/>
              <w:jc w:val="center"/>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23.10.1998</w:t>
            </w:r>
          </w:p>
        </w:tc>
      </w:tr>
      <w:tr w:rsidR="00E46FC8" w:rsidRPr="00B7675F" w14:paraId="1B5DF7EC" w14:textId="77777777" w:rsidTr="00B27804">
        <w:trPr>
          <w:trHeight w:val="20"/>
          <w:jc w:val="center"/>
        </w:trPr>
        <w:tc>
          <w:tcPr>
            <w:tcW w:w="451" w:type="dxa"/>
            <w:shd w:val="clear" w:color="auto" w:fill="FFFFFF" w:themeFill="background1"/>
          </w:tcPr>
          <w:p w14:paraId="411B7118" w14:textId="77777777" w:rsidR="00E46FC8" w:rsidRPr="00736448" w:rsidRDefault="00E46FC8" w:rsidP="00E46FC8">
            <w:pPr>
              <w:spacing w:after="0" w:line="276" w:lineRule="auto"/>
              <w:jc w:val="center"/>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4.</w:t>
            </w:r>
          </w:p>
        </w:tc>
        <w:tc>
          <w:tcPr>
            <w:tcW w:w="2964" w:type="dxa"/>
            <w:shd w:val="clear" w:color="auto" w:fill="FFFFFF" w:themeFill="background1"/>
          </w:tcPr>
          <w:p w14:paraId="54CE8DCB" w14:textId="77777777" w:rsidR="00E46FC8" w:rsidRPr="00736448" w:rsidRDefault="00E46FC8" w:rsidP="00E46FC8">
            <w:pPr>
              <w:spacing w:after="0" w:line="276" w:lineRule="auto"/>
              <w:rPr>
                <w:rFonts w:asciiTheme="majorHAnsi" w:eastAsia="Times New Roman" w:hAnsiTheme="majorHAnsi" w:cstheme="majorHAnsi"/>
                <w:b/>
                <w:sz w:val="20"/>
                <w:szCs w:val="24"/>
                <w:lang w:val="ro-MD" w:eastAsia="ro-RO"/>
              </w:rPr>
            </w:pPr>
            <w:r w:rsidRPr="00736448">
              <w:rPr>
                <w:rFonts w:asciiTheme="majorHAnsi" w:eastAsia="Times New Roman" w:hAnsiTheme="majorHAnsi" w:cstheme="majorHAnsi"/>
                <w:b/>
                <w:sz w:val="20"/>
                <w:szCs w:val="24"/>
                <w:lang w:val="ro-MD" w:eastAsia="ro-RO"/>
              </w:rPr>
              <w:t>Republica Azerbaidjan</w:t>
            </w:r>
          </w:p>
        </w:tc>
        <w:tc>
          <w:tcPr>
            <w:tcW w:w="3965" w:type="dxa"/>
            <w:shd w:val="clear" w:color="auto" w:fill="FFFFFF" w:themeFill="background1"/>
          </w:tcPr>
          <w:p w14:paraId="13228A0D" w14:textId="77777777" w:rsidR="00E46FC8" w:rsidRPr="00736448" w:rsidRDefault="00E46FC8" w:rsidP="00E46FC8">
            <w:pPr>
              <w:spacing w:after="0" w:line="276" w:lineRule="auto"/>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27.11.1997, Baku</w:t>
            </w:r>
          </w:p>
        </w:tc>
        <w:tc>
          <w:tcPr>
            <w:tcW w:w="3055" w:type="dxa"/>
            <w:shd w:val="clear" w:color="auto" w:fill="FFFFFF" w:themeFill="background1"/>
          </w:tcPr>
          <w:p w14:paraId="2F16DE61" w14:textId="77777777" w:rsidR="00E46FC8" w:rsidRPr="00736448" w:rsidRDefault="00E46FC8" w:rsidP="00E46FC8">
            <w:pPr>
              <w:spacing w:after="0" w:line="276" w:lineRule="auto"/>
              <w:jc w:val="center"/>
              <w:rPr>
                <w:rFonts w:asciiTheme="majorHAnsi" w:eastAsia="Times New Roman" w:hAnsiTheme="majorHAnsi" w:cstheme="majorHAnsi"/>
                <w:sz w:val="20"/>
                <w:szCs w:val="24"/>
                <w:lang w:val="ro-MD" w:eastAsia="ro-RO"/>
              </w:rPr>
            </w:pPr>
            <w:r w:rsidRPr="00736448">
              <w:rPr>
                <w:rFonts w:asciiTheme="majorHAnsi" w:eastAsia="Times New Roman" w:hAnsiTheme="majorHAnsi" w:cstheme="majorHAnsi"/>
                <w:sz w:val="20"/>
                <w:szCs w:val="24"/>
                <w:lang w:val="ro-MD" w:eastAsia="ro-RO"/>
              </w:rPr>
              <w:t>08.01.1999</w:t>
            </w:r>
          </w:p>
        </w:tc>
      </w:tr>
    </w:tbl>
    <w:p w14:paraId="4321E99B" w14:textId="333D476E" w:rsidR="0074459E" w:rsidRPr="00736448" w:rsidRDefault="0074459E" w:rsidP="0074459E">
      <w:pPr>
        <w:spacing w:after="0" w:line="240" w:lineRule="auto"/>
        <w:jc w:val="center"/>
        <w:rPr>
          <w:rFonts w:ascii="Times New Roman" w:eastAsia="Times New Roman" w:hAnsi="Times New Roman" w:cs="Times New Roman"/>
          <w:b/>
          <w:bCs/>
          <w:color w:val="000000"/>
          <w:sz w:val="24"/>
          <w:szCs w:val="24"/>
          <w:lang w:val="ro-MD"/>
        </w:rPr>
      </w:pPr>
    </w:p>
    <w:p w14:paraId="50EA1BA1" w14:textId="40D6D5BB" w:rsidR="0074459E" w:rsidRPr="00736448" w:rsidRDefault="0074459E" w:rsidP="0074459E">
      <w:pPr>
        <w:spacing w:after="0" w:line="240" w:lineRule="auto"/>
        <w:jc w:val="center"/>
        <w:rPr>
          <w:rFonts w:ascii="Times New Roman" w:eastAsia="Times New Roman" w:hAnsi="Times New Roman" w:cs="Times New Roman"/>
          <w:b/>
          <w:bCs/>
          <w:color w:val="000000"/>
          <w:sz w:val="24"/>
          <w:szCs w:val="24"/>
          <w:lang w:val="ro-MD"/>
        </w:rPr>
      </w:pPr>
    </w:p>
    <w:p w14:paraId="0CD244AC" w14:textId="27FC8F05" w:rsidR="0074459E" w:rsidRPr="00736448" w:rsidRDefault="0074459E" w:rsidP="0074459E">
      <w:pPr>
        <w:spacing w:after="0" w:line="240" w:lineRule="auto"/>
        <w:jc w:val="center"/>
        <w:rPr>
          <w:rFonts w:ascii="Times New Roman" w:eastAsia="Times New Roman" w:hAnsi="Times New Roman" w:cs="Times New Roman"/>
          <w:b/>
          <w:bCs/>
          <w:color w:val="000000"/>
          <w:sz w:val="24"/>
          <w:szCs w:val="24"/>
          <w:lang w:val="ro-MD"/>
        </w:rPr>
      </w:pPr>
    </w:p>
    <w:p w14:paraId="64ADCD12" w14:textId="461FB080" w:rsidR="00E46FC8" w:rsidRPr="00736448" w:rsidRDefault="00036557" w:rsidP="00490517">
      <w:pPr>
        <w:pStyle w:val="2"/>
        <w:jc w:val="right"/>
        <w:rPr>
          <w:rFonts w:eastAsia="Times New Roman" w:cstheme="majorHAnsi"/>
          <w:b/>
          <w:sz w:val="24"/>
          <w:szCs w:val="24"/>
          <w:lang w:val="ro-MD" w:eastAsia="ru-RU"/>
        </w:rPr>
      </w:pPr>
      <w:r w:rsidRPr="00736448">
        <w:rPr>
          <w:rFonts w:eastAsia="Times New Roman" w:cstheme="majorHAnsi"/>
          <w:b/>
          <w:sz w:val="24"/>
          <w:szCs w:val="24"/>
          <w:lang w:val="ro-MD" w:eastAsia="ru-RU"/>
        </w:rPr>
        <w:t>Anexa nr.</w:t>
      </w:r>
      <w:r w:rsidR="00C57ECC" w:rsidRPr="00736448">
        <w:rPr>
          <w:rFonts w:eastAsia="Times New Roman" w:cstheme="majorHAnsi"/>
          <w:b/>
          <w:sz w:val="24"/>
          <w:szCs w:val="24"/>
          <w:lang w:val="ro-MD" w:eastAsia="ru-RU"/>
        </w:rPr>
        <w:t>7</w:t>
      </w:r>
    </w:p>
    <w:p w14:paraId="48C2F591" w14:textId="714B2022" w:rsidR="00C57ECC" w:rsidRPr="00736448" w:rsidRDefault="00C57ECC" w:rsidP="00C57ECC">
      <w:pPr>
        <w:jc w:val="center"/>
        <w:rPr>
          <w:rFonts w:asciiTheme="majorHAnsi" w:hAnsiTheme="majorHAnsi"/>
          <w:b/>
          <w:sz w:val="24"/>
          <w:szCs w:val="24"/>
          <w:lang w:val="ro-MD"/>
        </w:rPr>
      </w:pPr>
      <w:r w:rsidRPr="00736448">
        <w:rPr>
          <w:rFonts w:asciiTheme="majorHAnsi" w:hAnsiTheme="majorHAnsi"/>
          <w:b/>
          <w:sz w:val="24"/>
          <w:szCs w:val="24"/>
          <w:lang w:val="ro-MD"/>
        </w:rPr>
        <w:t>Informații privind acordurile internaționale pe baza principiului proporționalității</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731"/>
        <w:gridCol w:w="2476"/>
        <w:gridCol w:w="2052"/>
        <w:gridCol w:w="2544"/>
        <w:gridCol w:w="2397"/>
      </w:tblGrid>
      <w:tr w:rsidR="00E46FC8" w:rsidRPr="00B7675F" w14:paraId="03CC1181" w14:textId="77777777" w:rsidTr="00B27804">
        <w:trPr>
          <w:trHeight w:val="20"/>
        </w:trPr>
        <w:tc>
          <w:tcPr>
            <w:tcW w:w="0" w:type="auto"/>
            <w:shd w:val="clear" w:color="auto" w:fill="FFFFFF" w:themeFill="background1"/>
            <w:vAlign w:val="center"/>
          </w:tcPr>
          <w:p w14:paraId="7AA1145C" w14:textId="16144671"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Nr.</w:t>
            </w:r>
            <w:r w:rsidR="00E15964">
              <w:rPr>
                <w:rFonts w:asciiTheme="majorHAnsi" w:eastAsia="Times New Roman" w:hAnsiTheme="majorHAnsi" w:cstheme="majorHAnsi"/>
                <w:b/>
                <w:sz w:val="20"/>
                <w:szCs w:val="20"/>
                <w:lang w:val="ro-MD" w:eastAsia="ro-RO"/>
              </w:rPr>
              <w:t>crt.</w:t>
            </w:r>
          </w:p>
        </w:tc>
        <w:tc>
          <w:tcPr>
            <w:tcW w:w="0" w:type="auto"/>
            <w:shd w:val="clear" w:color="auto" w:fill="FFFFFF" w:themeFill="background1"/>
            <w:vAlign w:val="center"/>
          </w:tcPr>
          <w:p w14:paraId="1097120C"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Țara</w:t>
            </w:r>
          </w:p>
        </w:tc>
        <w:tc>
          <w:tcPr>
            <w:tcW w:w="0" w:type="auto"/>
            <w:shd w:val="clear" w:color="auto" w:fill="FFFFFF" w:themeFill="background1"/>
            <w:vAlign w:val="center"/>
          </w:tcPr>
          <w:p w14:paraId="0E9C1D52"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Data, Țara Semnării</w:t>
            </w:r>
          </w:p>
        </w:tc>
        <w:tc>
          <w:tcPr>
            <w:tcW w:w="2544" w:type="dxa"/>
            <w:shd w:val="clear" w:color="auto" w:fill="FFFFFF" w:themeFill="background1"/>
            <w:vAlign w:val="center"/>
          </w:tcPr>
          <w:p w14:paraId="161D86CB"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Data intrării în vigoare</w:t>
            </w:r>
          </w:p>
        </w:tc>
        <w:tc>
          <w:tcPr>
            <w:tcW w:w="0" w:type="auto"/>
            <w:shd w:val="clear" w:color="auto" w:fill="FFFFFF" w:themeFill="background1"/>
            <w:vAlign w:val="center"/>
          </w:tcPr>
          <w:p w14:paraId="05C8CF79"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Vârsta de pensionare B/F</w:t>
            </w:r>
          </w:p>
        </w:tc>
      </w:tr>
      <w:tr w:rsidR="00E46FC8" w:rsidRPr="00B7675F" w14:paraId="5413DDC6" w14:textId="77777777" w:rsidTr="00B27804">
        <w:trPr>
          <w:trHeight w:val="244"/>
        </w:trPr>
        <w:tc>
          <w:tcPr>
            <w:tcW w:w="0" w:type="auto"/>
            <w:vMerge w:val="restart"/>
            <w:shd w:val="clear" w:color="auto" w:fill="FFFFFF" w:themeFill="background1"/>
            <w:vAlign w:val="center"/>
          </w:tcPr>
          <w:p w14:paraId="46C82C59"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w:t>
            </w:r>
          </w:p>
        </w:tc>
        <w:tc>
          <w:tcPr>
            <w:tcW w:w="0" w:type="auto"/>
            <w:vMerge w:val="restart"/>
            <w:shd w:val="clear" w:color="auto" w:fill="FFFFFF" w:themeFill="background1"/>
            <w:vAlign w:val="center"/>
          </w:tcPr>
          <w:p w14:paraId="085A2BCD"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Bulgaria</w:t>
            </w:r>
          </w:p>
        </w:tc>
        <w:tc>
          <w:tcPr>
            <w:tcW w:w="0" w:type="auto"/>
            <w:vMerge w:val="restart"/>
            <w:shd w:val="clear" w:color="auto" w:fill="FFFFFF" w:themeFill="background1"/>
            <w:vAlign w:val="center"/>
          </w:tcPr>
          <w:p w14:paraId="064F064F"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05.12.2008, Sofia</w:t>
            </w:r>
          </w:p>
        </w:tc>
        <w:tc>
          <w:tcPr>
            <w:tcW w:w="2544" w:type="dxa"/>
            <w:vMerge w:val="restart"/>
            <w:shd w:val="clear" w:color="auto" w:fill="FFFFFF" w:themeFill="background1"/>
            <w:vAlign w:val="center"/>
          </w:tcPr>
          <w:p w14:paraId="20B1A5F8"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01.11.2009</w:t>
            </w:r>
          </w:p>
        </w:tc>
        <w:tc>
          <w:tcPr>
            <w:tcW w:w="0" w:type="auto"/>
            <w:vMerge w:val="restart"/>
            <w:shd w:val="clear" w:color="auto" w:fill="FFFFFF" w:themeFill="background1"/>
            <w:vAlign w:val="center"/>
          </w:tcPr>
          <w:p w14:paraId="5A38E772"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B. 64+/ F. 61+</w:t>
            </w:r>
          </w:p>
        </w:tc>
      </w:tr>
      <w:tr w:rsidR="00E46FC8" w:rsidRPr="00B7675F" w14:paraId="4BAC6FED" w14:textId="77777777" w:rsidTr="00B27804">
        <w:trPr>
          <w:trHeight w:val="244"/>
        </w:trPr>
        <w:tc>
          <w:tcPr>
            <w:tcW w:w="0" w:type="auto"/>
            <w:vMerge/>
            <w:shd w:val="clear" w:color="auto" w:fill="FFFFFF" w:themeFill="background1"/>
            <w:vAlign w:val="center"/>
          </w:tcPr>
          <w:p w14:paraId="192FDB36"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5BF957C5"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07A90067"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p>
        </w:tc>
        <w:tc>
          <w:tcPr>
            <w:tcW w:w="2544" w:type="dxa"/>
            <w:vMerge/>
            <w:shd w:val="clear" w:color="auto" w:fill="FFFFFF" w:themeFill="background1"/>
            <w:vAlign w:val="center"/>
          </w:tcPr>
          <w:p w14:paraId="79812F1B"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c>
          <w:tcPr>
            <w:tcW w:w="0" w:type="auto"/>
            <w:vMerge/>
            <w:shd w:val="clear" w:color="auto" w:fill="FFFFFF" w:themeFill="background1"/>
            <w:vAlign w:val="center"/>
          </w:tcPr>
          <w:p w14:paraId="6BF907C8"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r>
      <w:tr w:rsidR="00E46FC8" w:rsidRPr="00B7675F" w14:paraId="70F142A0" w14:textId="77777777" w:rsidTr="00B27804">
        <w:trPr>
          <w:trHeight w:val="20"/>
        </w:trPr>
        <w:tc>
          <w:tcPr>
            <w:tcW w:w="0" w:type="auto"/>
            <w:shd w:val="clear" w:color="auto" w:fill="FFFFFF" w:themeFill="background1"/>
            <w:vAlign w:val="center"/>
          </w:tcPr>
          <w:p w14:paraId="314EC312"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2.</w:t>
            </w:r>
          </w:p>
        </w:tc>
        <w:tc>
          <w:tcPr>
            <w:tcW w:w="0" w:type="auto"/>
            <w:shd w:val="clear" w:color="auto" w:fill="FFFFFF" w:themeFill="background1"/>
            <w:vAlign w:val="center"/>
          </w:tcPr>
          <w:p w14:paraId="359E5990"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Portugheză</w:t>
            </w:r>
          </w:p>
        </w:tc>
        <w:tc>
          <w:tcPr>
            <w:tcW w:w="0" w:type="auto"/>
            <w:shd w:val="clear" w:color="auto" w:fill="FFFFFF" w:themeFill="background1"/>
            <w:vAlign w:val="center"/>
          </w:tcPr>
          <w:p w14:paraId="16DEC2DB"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11.02.2009, Lisabona</w:t>
            </w:r>
          </w:p>
        </w:tc>
        <w:tc>
          <w:tcPr>
            <w:tcW w:w="2544" w:type="dxa"/>
            <w:shd w:val="clear" w:color="auto" w:fill="FFFFFF" w:themeFill="background1"/>
            <w:vAlign w:val="center"/>
          </w:tcPr>
          <w:p w14:paraId="7AE6015B"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01.12.2010</w:t>
            </w:r>
          </w:p>
        </w:tc>
        <w:tc>
          <w:tcPr>
            <w:tcW w:w="0" w:type="auto"/>
            <w:shd w:val="clear" w:color="auto" w:fill="FFFFFF" w:themeFill="background1"/>
            <w:vAlign w:val="center"/>
          </w:tcPr>
          <w:p w14:paraId="64CEE9EE"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66 ani 06 luni/ 66 ani 06 luni</w:t>
            </w:r>
          </w:p>
        </w:tc>
      </w:tr>
      <w:tr w:rsidR="00E46FC8" w:rsidRPr="00B7675F" w14:paraId="68EAEEEF" w14:textId="77777777" w:rsidTr="00B27804">
        <w:trPr>
          <w:trHeight w:val="244"/>
        </w:trPr>
        <w:tc>
          <w:tcPr>
            <w:tcW w:w="0" w:type="auto"/>
            <w:vMerge w:val="restart"/>
            <w:shd w:val="clear" w:color="auto" w:fill="FFFFFF" w:themeFill="background1"/>
            <w:vAlign w:val="center"/>
          </w:tcPr>
          <w:p w14:paraId="7295D4EE"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3.</w:t>
            </w:r>
          </w:p>
        </w:tc>
        <w:tc>
          <w:tcPr>
            <w:tcW w:w="0" w:type="auto"/>
            <w:vMerge w:val="restart"/>
            <w:shd w:val="clear" w:color="auto" w:fill="FFFFFF" w:themeFill="background1"/>
            <w:vAlign w:val="center"/>
          </w:tcPr>
          <w:p w14:paraId="7916A25F"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România</w:t>
            </w:r>
          </w:p>
        </w:tc>
        <w:tc>
          <w:tcPr>
            <w:tcW w:w="0" w:type="auto"/>
            <w:vMerge w:val="restart"/>
            <w:shd w:val="clear" w:color="auto" w:fill="FFFFFF" w:themeFill="background1"/>
            <w:vAlign w:val="center"/>
          </w:tcPr>
          <w:p w14:paraId="746016B6"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27.04.2010, București</w:t>
            </w:r>
          </w:p>
        </w:tc>
        <w:tc>
          <w:tcPr>
            <w:tcW w:w="2544" w:type="dxa"/>
            <w:vMerge w:val="restart"/>
            <w:shd w:val="clear" w:color="auto" w:fill="FFFFFF" w:themeFill="background1"/>
            <w:vAlign w:val="center"/>
          </w:tcPr>
          <w:p w14:paraId="25543C3B"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01.09.2011</w:t>
            </w:r>
          </w:p>
        </w:tc>
        <w:tc>
          <w:tcPr>
            <w:tcW w:w="0" w:type="auto"/>
            <w:vMerge w:val="restart"/>
            <w:shd w:val="clear" w:color="auto" w:fill="FFFFFF" w:themeFill="background1"/>
            <w:vAlign w:val="center"/>
          </w:tcPr>
          <w:p w14:paraId="2B975D81"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65/61+</w:t>
            </w:r>
          </w:p>
        </w:tc>
      </w:tr>
      <w:tr w:rsidR="00E46FC8" w:rsidRPr="00B7675F" w14:paraId="340FA6D4" w14:textId="77777777" w:rsidTr="00B27804">
        <w:trPr>
          <w:trHeight w:val="244"/>
        </w:trPr>
        <w:tc>
          <w:tcPr>
            <w:tcW w:w="0" w:type="auto"/>
            <w:vMerge/>
            <w:shd w:val="clear" w:color="auto" w:fill="FFFFFF" w:themeFill="background1"/>
            <w:vAlign w:val="center"/>
          </w:tcPr>
          <w:p w14:paraId="17DD3532"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1C4E87FF"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0BC40A65"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p>
        </w:tc>
        <w:tc>
          <w:tcPr>
            <w:tcW w:w="2544" w:type="dxa"/>
            <w:vMerge/>
            <w:shd w:val="clear" w:color="auto" w:fill="FFFFFF" w:themeFill="background1"/>
            <w:vAlign w:val="center"/>
          </w:tcPr>
          <w:p w14:paraId="7ACF867A"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c>
          <w:tcPr>
            <w:tcW w:w="0" w:type="auto"/>
            <w:vMerge/>
            <w:shd w:val="clear" w:color="auto" w:fill="FFFFFF" w:themeFill="background1"/>
            <w:vAlign w:val="center"/>
          </w:tcPr>
          <w:p w14:paraId="0666E298"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r>
      <w:tr w:rsidR="00E46FC8" w:rsidRPr="00B7675F" w14:paraId="5C40D301" w14:textId="77777777" w:rsidTr="00B27804">
        <w:trPr>
          <w:trHeight w:val="20"/>
        </w:trPr>
        <w:tc>
          <w:tcPr>
            <w:tcW w:w="0" w:type="auto"/>
            <w:shd w:val="clear" w:color="auto" w:fill="FFFFFF" w:themeFill="background1"/>
            <w:vAlign w:val="center"/>
          </w:tcPr>
          <w:p w14:paraId="577FE30A"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4.</w:t>
            </w:r>
          </w:p>
        </w:tc>
        <w:tc>
          <w:tcPr>
            <w:tcW w:w="0" w:type="auto"/>
            <w:shd w:val="clear" w:color="auto" w:fill="FFFFFF" w:themeFill="background1"/>
            <w:vAlign w:val="center"/>
          </w:tcPr>
          <w:p w14:paraId="6035D02C"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Marele Ducat de Luxemburg</w:t>
            </w:r>
          </w:p>
        </w:tc>
        <w:tc>
          <w:tcPr>
            <w:tcW w:w="0" w:type="auto"/>
            <w:shd w:val="clear" w:color="auto" w:fill="FFFFFF" w:themeFill="background1"/>
            <w:vAlign w:val="center"/>
          </w:tcPr>
          <w:p w14:paraId="0B800426"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14.06.2010, Luxemburg</w:t>
            </w:r>
          </w:p>
        </w:tc>
        <w:tc>
          <w:tcPr>
            <w:tcW w:w="2544" w:type="dxa"/>
            <w:shd w:val="clear" w:color="auto" w:fill="FFFFFF" w:themeFill="background1"/>
            <w:vAlign w:val="center"/>
          </w:tcPr>
          <w:p w14:paraId="492BE951"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01.01.2012</w:t>
            </w:r>
          </w:p>
        </w:tc>
        <w:tc>
          <w:tcPr>
            <w:tcW w:w="0" w:type="auto"/>
            <w:shd w:val="clear" w:color="auto" w:fill="FFFFFF" w:themeFill="background1"/>
            <w:vAlign w:val="center"/>
          </w:tcPr>
          <w:p w14:paraId="34A29527"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65/65</w:t>
            </w:r>
          </w:p>
        </w:tc>
      </w:tr>
      <w:tr w:rsidR="00E46FC8" w:rsidRPr="00B7675F" w14:paraId="11A34372" w14:textId="77777777" w:rsidTr="00B27804">
        <w:trPr>
          <w:trHeight w:val="244"/>
        </w:trPr>
        <w:tc>
          <w:tcPr>
            <w:tcW w:w="0" w:type="auto"/>
            <w:vMerge w:val="restart"/>
            <w:shd w:val="clear" w:color="auto" w:fill="FFFFFF" w:themeFill="background1"/>
            <w:vAlign w:val="center"/>
          </w:tcPr>
          <w:p w14:paraId="3DEBC566"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5.</w:t>
            </w:r>
          </w:p>
        </w:tc>
        <w:tc>
          <w:tcPr>
            <w:tcW w:w="0" w:type="auto"/>
            <w:vMerge w:val="restart"/>
            <w:shd w:val="clear" w:color="auto" w:fill="FFFFFF" w:themeFill="background1"/>
            <w:vAlign w:val="center"/>
          </w:tcPr>
          <w:p w14:paraId="1900B372"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Estonia</w:t>
            </w:r>
          </w:p>
        </w:tc>
        <w:tc>
          <w:tcPr>
            <w:tcW w:w="0" w:type="auto"/>
            <w:vMerge w:val="restart"/>
            <w:shd w:val="clear" w:color="auto" w:fill="FFFFFF" w:themeFill="background1"/>
            <w:vAlign w:val="center"/>
          </w:tcPr>
          <w:p w14:paraId="4AF0EAA4" w14:textId="40C4379A"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19.10.2011, Tallin</w:t>
            </w:r>
            <w:r w:rsidR="00E15964">
              <w:rPr>
                <w:rFonts w:asciiTheme="majorHAnsi" w:eastAsia="Times New Roman" w:hAnsiTheme="majorHAnsi" w:cstheme="majorHAnsi"/>
                <w:sz w:val="20"/>
                <w:szCs w:val="20"/>
                <w:lang w:val="ro-MD" w:eastAsia="ro-RO"/>
              </w:rPr>
              <w:t>n</w:t>
            </w:r>
          </w:p>
        </w:tc>
        <w:tc>
          <w:tcPr>
            <w:tcW w:w="2544" w:type="dxa"/>
            <w:vMerge w:val="restart"/>
            <w:shd w:val="clear" w:color="auto" w:fill="FFFFFF" w:themeFill="background1"/>
            <w:vAlign w:val="center"/>
          </w:tcPr>
          <w:p w14:paraId="17666155"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01.08.2012</w:t>
            </w:r>
          </w:p>
        </w:tc>
        <w:tc>
          <w:tcPr>
            <w:tcW w:w="0" w:type="auto"/>
            <w:vMerge w:val="restart"/>
            <w:shd w:val="clear" w:color="auto" w:fill="FFFFFF" w:themeFill="background1"/>
            <w:vAlign w:val="center"/>
          </w:tcPr>
          <w:p w14:paraId="4DB0C5DB"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63+ /63+</w:t>
            </w:r>
          </w:p>
        </w:tc>
      </w:tr>
      <w:tr w:rsidR="00E46FC8" w:rsidRPr="00B7675F" w14:paraId="60763CAB" w14:textId="77777777" w:rsidTr="00B27804">
        <w:trPr>
          <w:trHeight w:val="244"/>
        </w:trPr>
        <w:tc>
          <w:tcPr>
            <w:tcW w:w="0" w:type="auto"/>
            <w:vMerge/>
            <w:shd w:val="clear" w:color="auto" w:fill="FFFFFF" w:themeFill="background1"/>
            <w:vAlign w:val="center"/>
          </w:tcPr>
          <w:p w14:paraId="3F5F1A92"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3E8B28AF"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7BA48CA6"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p>
        </w:tc>
        <w:tc>
          <w:tcPr>
            <w:tcW w:w="2544" w:type="dxa"/>
            <w:vMerge/>
            <w:shd w:val="clear" w:color="auto" w:fill="FFFFFF" w:themeFill="background1"/>
            <w:vAlign w:val="center"/>
          </w:tcPr>
          <w:p w14:paraId="72B4BCA7"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c>
          <w:tcPr>
            <w:tcW w:w="0" w:type="auto"/>
            <w:vMerge/>
            <w:shd w:val="clear" w:color="auto" w:fill="FFFFFF" w:themeFill="background1"/>
            <w:vAlign w:val="center"/>
          </w:tcPr>
          <w:p w14:paraId="1AB658B8"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r>
      <w:tr w:rsidR="00E46FC8" w:rsidRPr="00B7675F" w14:paraId="2B600EA3" w14:textId="77777777" w:rsidTr="00B27804">
        <w:trPr>
          <w:trHeight w:val="244"/>
        </w:trPr>
        <w:tc>
          <w:tcPr>
            <w:tcW w:w="0" w:type="auto"/>
            <w:vMerge w:val="restart"/>
            <w:shd w:val="clear" w:color="auto" w:fill="FFFFFF" w:themeFill="background1"/>
            <w:vAlign w:val="center"/>
          </w:tcPr>
          <w:p w14:paraId="3302644F"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6.</w:t>
            </w:r>
          </w:p>
        </w:tc>
        <w:tc>
          <w:tcPr>
            <w:tcW w:w="0" w:type="auto"/>
            <w:vMerge w:val="restart"/>
            <w:shd w:val="clear" w:color="auto" w:fill="FFFFFF" w:themeFill="background1"/>
            <w:vAlign w:val="center"/>
          </w:tcPr>
          <w:p w14:paraId="7DCEEBA9"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Cehă</w:t>
            </w:r>
          </w:p>
        </w:tc>
        <w:tc>
          <w:tcPr>
            <w:tcW w:w="0" w:type="auto"/>
            <w:vMerge w:val="restart"/>
            <w:shd w:val="clear" w:color="auto" w:fill="FFFFFF" w:themeFill="background1"/>
            <w:vAlign w:val="center"/>
          </w:tcPr>
          <w:p w14:paraId="06339EBF"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29.11.2011, Praga</w:t>
            </w:r>
          </w:p>
        </w:tc>
        <w:tc>
          <w:tcPr>
            <w:tcW w:w="2544" w:type="dxa"/>
            <w:vMerge w:val="restart"/>
            <w:shd w:val="clear" w:color="auto" w:fill="FFFFFF" w:themeFill="background1"/>
            <w:vAlign w:val="center"/>
          </w:tcPr>
          <w:p w14:paraId="055DABAE"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01.10.2012</w:t>
            </w:r>
          </w:p>
        </w:tc>
        <w:tc>
          <w:tcPr>
            <w:tcW w:w="0" w:type="auto"/>
            <w:vMerge w:val="restart"/>
            <w:shd w:val="clear" w:color="auto" w:fill="FFFFFF" w:themeFill="background1"/>
            <w:vAlign w:val="center"/>
          </w:tcPr>
          <w:p w14:paraId="758FDEB7"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63+ /63+</w:t>
            </w:r>
          </w:p>
        </w:tc>
      </w:tr>
      <w:tr w:rsidR="00E46FC8" w:rsidRPr="00B7675F" w14:paraId="609A2FCA" w14:textId="77777777" w:rsidTr="00B27804">
        <w:trPr>
          <w:trHeight w:val="244"/>
        </w:trPr>
        <w:tc>
          <w:tcPr>
            <w:tcW w:w="0" w:type="auto"/>
            <w:vMerge/>
            <w:shd w:val="clear" w:color="auto" w:fill="FFFFFF" w:themeFill="background1"/>
            <w:vAlign w:val="center"/>
          </w:tcPr>
          <w:p w14:paraId="1F1E5C4F"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6AC7F50C"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1410CFF6"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p>
        </w:tc>
        <w:tc>
          <w:tcPr>
            <w:tcW w:w="2544" w:type="dxa"/>
            <w:vMerge/>
            <w:shd w:val="clear" w:color="auto" w:fill="FFFFFF" w:themeFill="background1"/>
            <w:vAlign w:val="center"/>
          </w:tcPr>
          <w:p w14:paraId="6406DAEB"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c>
          <w:tcPr>
            <w:tcW w:w="0" w:type="auto"/>
            <w:vMerge/>
            <w:shd w:val="clear" w:color="auto" w:fill="FFFFFF" w:themeFill="background1"/>
            <w:vAlign w:val="center"/>
          </w:tcPr>
          <w:p w14:paraId="76095F4E"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r>
      <w:tr w:rsidR="00E46FC8" w:rsidRPr="00B7675F" w14:paraId="61D2ABA5" w14:textId="77777777" w:rsidTr="00B27804">
        <w:trPr>
          <w:trHeight w:val="20"/>
        </w:trPr>
        <w:tc>
          <w:tcPr>
            <w:tcW w:w="0" w:type="auto"/>
            <w:shd w:val="clear" w:color="auto" w:fill="FFFFFF" w:themeFill="background1"/>
            <w:vAlign w:val="center"/>
          </w:tcPr>
          <w:p w14:paraId="16284D59"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7.</w:t>
            </w:r>
          </w:p>
        </w:tc>
        <w:tc>
          <w:tcPr>
            <w:tcW w:w="0" w:type="auto"/>
            <w:shd w:val="clear" w:color="auto" w:fill="FFFFFF" w:themeFill="background1"/>
            <w:vAlign w:val="center"/>
          </w:tcPr>
          <w:p w14:paraId="232C1791"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Austria</w:t>
            </w:r>
          </w:p>
        </w:tc>
        <w:tc>
          <w:tcPr>
            <w:tcW w:w="0" w:type="auto"/>
            <w:shd w:val="clear" w:color="auto" w:fill="FFFFFF" w:themeFill="background1"/>
            <w:vAlign w:val="center"/>
          </w:tcPr>
          <w:p w14:paraId="6D90CD0C"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05.09.2011, Chişinău</w:t>
            </w:r>
          </w:p>
        </w:tc>
        <w:tc>
          <w:tcPr>
            <w:tcW w:w="2544" w:type="dxa"/>
            <w:shd w:val="clear" w:color="auto" w:fill="FFFFFF" w:themeFill="background1"/>
            <w:vAlign w:val="center"/>
          </w:tcPr>
          <w:p w14:paraId="6717281D"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01.12.2012</w:t>
            </w:r>
          </w:p>
        </w:tc>
        <w:tc>
          <w:tcPr>
            <w:tcW w:w="0" w:type="auto"/>
            <w:shd w:val="clear" w:color="auto" w:fill="FFFFFF" w:themeFill="background1"/>
            <w:vAlign w:val="center"/>
          </w:tcPr>
          <w:p w14:paraId="7E6AC9F5"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65/60</w:t>
            </w:r>
          </w:p>
        </w:tc>
      </w:tr>
      <w:tr w:rsidR="00E46FC8" w:rsidRPr="00B7675F" w14:paraId="34049DFE" w14:textId="77777777" w:rsidTr="00B27804">
        <w:trPr>
          <w:trHeight w:val="20"/>
        </w:trPr>
        <w:tc>
          <w:tcPr>
            <w:tcW w:w="0" w:type="auto"/>
            <w:shd w:val="clear" w:color="auto" w:fill="FFFFFF" w:themeFill="background1"/>
            <w:vAlign w:val="center"/>
          </w:tcPr>
          <w:p w14:paraId="6A0FCBA8"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8.</w:t>
            </w:r>
          </w:p>
        </w:tc>
        <w:tc>
          <w:tcPr>
            <w:tcW w:w="0" w:type="auto"/>
            <w:shd w:val="clear" w:color="auto" w:fill="FFFFFF" w:themeFill="background1"/>
            <w:vAlign w:val="center"/>
          </w:tcPr>
          <w:p w14:paraId="7B04C963"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Regatul Belgiei</w:t>
            </w:r>
          </w:p>
        </w:tc>
        <w:tc>
          <w:tcPr>
            <w:tcW w:w="0" w:type="auto"/>
            <w:shd w:val="clear" w:color="auto" w:fill="FFFFFF" w:themeFill="background1"/>
            <w:vAlign w:val="center"/>
          </w:tcPr>
          <w:p w14:paraId="01AEE79C"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12.09.2012, Bruxelles</w:t>
            </w:r>
          </w:p>
        </w:tc>
        <w:tc>
          <w:tcPr>
            <w:tcW w:w="2544" w:type="dxa"/>
            <w:shd w:val="clear" w:color="auto" w:fill="FFFFFF" w:themeFill="background1"/>
            <w:vAlign w:val="center"/>
          </w:tcPr>
          <w:p w14:paraId="2DF7FCE7"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01.01.2016</w:t>
            </w:r>
          </w:p>
        </w:tc>
        <w:tc>
          <w:tcPr>
            <w:tcW w:w="0" w:type="auto"/>
            <w:shd w:val="clear" w:color="auto" w:fill="FFFFFF" w:themeFill="background1"/>
            <w:vAlign w:val="center"/>
          </w:tcPr>
          <w:p w14:paraId="1DADEA5C"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65/65</w:t>
            </w:r>
          </w:p>
        </w:tc>
      </w:tr>
      <w:tr w:rsidR="00E46FC8" w:rsidRPr="00B7675F" w14:paraId="11C636B3" w14:textId="77777777" w:rsidTr="00B27804">
        <w:trPr>
          <w:trHeight w:val="20"/>
        </w:trPr>
        <w:tc>
          <w:tcPr>
            <w:tcW w:w="0" w:type="auto"/>
            <w:shd w:val="clear" w:color="auto" w:fill="FFFFFF" w:themeFill="background1"/>
            <w:vAlign w:val="center"/>
          </w:tcPr>
          <w:p w14:paraId="302DF98F"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9.</w:t>
            </w:r>
          </w:p>
        </w:tc>
        <w:tc>
          <w:tcPr>
            <w:tcW w:w="0" w:type="auto"/>
            <w:shd w:val="clear" w:color="auto" w:fill="FFFFFF" w:themeFill="background1"/>
            <w:vAlign w:val="center"/>
          </w:tcPr>
          <w:p w14:paraId="6ECBA615"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Polonă</w:t>
            </w:r>
          </w:p>
        </w:tc>
        <w:tc>
          <w:tcPr>
            <w:tcW w:w="0" w:type="auto"/>
            <w:shd w:val="clear" w:color="auto" w:fill="FFFFFF" w:themeFill="background1"/>
            <w:vAlign w:val="center"/>
          </w:tcPr>
          <w:p w14:paraId="15AF6A3E"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09.09.2013, Varşovia</w:t>
            </w:r>
          </w:p>
        </w:tc>
        <w:tc>
          <w:tcPr>
            <w:tcW w:w="2544" w:type="dxa"/>
            <w:shd w:val="clear" w:color="auto" w:fill="FFFFFF" w:themeFill="background1"/>
            <w:vAlign w:val="center"/>
          </w:tcPr>
          <w:p w14:paraId="058B94AF"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01.12.2014</w:t>
            </w:r>
          </w:p>
        </w:tc>
        <w:tc>
          <w:tcPr>
            <w:tcW w:w="0" w:type="auto"/>
            <w:shd w:val="clear" w:color="auto" w:fill="FFFFFF" w:themeFill="background1"/>
            <w:vAlign w:val="center"/>
          </w:tcPr>
          <w:p w14:paraId="56D3ADFA"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65/60</w:t>
            </w:r>
          </w:p>
        </w:tc>
      </w:tr>
      <w:tr w:rsidR="00E46FC8" w:rsidRPr="00B7675F" w14:paraId="54839E97" w14:textId="77777777" w:rsidTr="00B27804">
        <w:trPr>
          <w:trHeight w:val="20"/>
        </w:trPr>
        <w:tc>
          <w:tcPr>
            <w:tcW w:w="0" w:type="auto"/>
            <w:shd w:val="clear" w:color="auto" w:fill="FFFFFF" w:themeFill="background1"/>
            <w:vAlign w:val="center"/>
          </w:tcPr>
          <w:p w14:paraId="7C2D338F" w14:textId="1CFBEC36"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10.</w:t>
            </w:r>
          </w:p>
        </w:tc>
        <w:tc>
          <w:tcPr>
            <w:tcW w:w="0" w:type="auto"/>
            <w:shd w:val="clear" w:color="auto" w:fill="FFFFFF" w:themeFill="background1"/>
            <w:vAlign w:val="center"/>
          </w:tcPr>
          <w:p w14:paraId="6D20008A"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Ungaria</w:t>
            </w:r>
          </w:p>
        </w:tc>
        <w:tc>
          <w:tcPr>
            <w:tcW w:w="0" w:type="auto"/>
            <w:shd w:val="clear" w:color="auto" w:fill="FFFFFF" w:themeFill="background1"/>
            <w:vAlign w:val="center"/>
          </w:tcPr>
          <w:p w14:paraId="7FC19741"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28.11.2013, Chişinău</w:t>
            </w:r>
          </w:p>
        </w:tc>
        <w:tc>
          <w:tcPr>
            <w:tcW w:w="2544" w:type="dxa"/>
            <w:shd w:val="clear" w:color="auto" w:fill="FFFFFF" w:themeFill="background1"/>
            <w:vAlign w:val="center"/>
          </w:tcPr>
          <w:p w14:paraId="40D492D2"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01.11.2014</w:t>
            </w:r>
          </w:p>
        </w:tc>
        <w:tc>
          <w:tcPr>
            <w:tcW w:w="0" w:type="auto"/>
            <w:shd w:val="clear" w:color="auto" w:fill="FFFFFF" w:themeFill="background1"/>
            <w:vAlign w:val="center"/>
          </w:tcPr>
          <w:p w14:paraId="36116605" w14:textId="2569B703" w:rsidR="00E46FC8" w:rsidRPr="00736448" w:rsidRDefault="00E46FC8" w:rsidP="00E15964">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64,5/64</w:t>
            </w:r>
            <w:r w:rsidR="00E15964">
              <w:rPr>
                <w:rFonts w:asciiTheme="majorHAnsi" w:eastAsia="Times New Roman" w:hAnsiTheme="majorHAnsi" w:cstheme="majorHAnsi"/>
                <w:sz w:val="20"/>
                <w:szCs w:val="20"/>
                <w:lang w:val="ro-MD" w:eastAsia="ro-RO"/>
              </w:rPr>
              <w:t>,</w:t>
            </w:r>
            <w:r w:rsidRPr="00736448">
              <w:rPr>
                <w:rFonts w:asciiTheme="majorHAnsi" w:eastAsia="Times New Roman" w:hAnsiTheme="majorHAnsi" w:cstheme="majorHAnsi"/>
                <w:sz w:val="20"/>
                <w:szCs w:val="20"/>
                <w:lang w:val="ro-MD" w:eastAsia="ro-RO"/>
              </w:rPr>
              <w:t>5</w:t>
            </w:r>
          </w:p>
        </w:tc>
      </w:tr>
      <w:tr w:rsidR="00E46FC8" w:rsidRPr="00B7675F" w14:paraId="3260150A" w14:textId="77777777" w:rsidTr="00B27804">
        <w:trPr>
          <w:trHeight w:val="20"/>
        </w:trPr>
        <w:tc>
          <w:tcPr>
            <w:tcW w:w="0" w:type="auto"/>
            <w:shd w:val="clear" w:color="auto" w:fill="FFFFFF" w:themeFill="background1"/>
            <w:vAlign w:val="center"/>
          </w:tcPr>
          <w:p w14:paraId="5867D95A"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11.</w:t>
            </w:r>
          </w:p>
        </w:tc>
        <w:tc>
          <w:tcPr>
            <w:tcW w:w="0" w:type="auto"/>
            <w:shd w:val="clear" w:color="auto" w:fill="FFFFFF" w:themeFill="background1"/>
            <w:vAlign w:val="center"/>
          </w:tcPr>
          <w:p w14:paraId="230A2B03"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Lituania</w:t>
            </w:r>
          </w:p>
        </w:tc>
        <w:tc>
          <w:tcPr>
            <w:tcW w:w="0" w:type="auto"/>
            <w:shd w:val="clear" w:color="auto" w:fill="FFFFFF" w:themeFill="background1"/>
            <w:vAlign w:val="center"/>
          </w:tcPr>
          <w:p w14:paraId="5820D958"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01.10.2014, Chişinău</w:t>
            </w:r>
          </w:p>
        </w:tc>
        <w:tc>
          <w:tcPr>
            <w:tcW w:w="2544" w:type="dxa"/>
            <w:shd w:val="clear" w:color="auto" w:fill="FFFFFF" w:themeFill="background1"/>
            <w:vAlign w:val="center"/>
          </w:tcPr>
          <w:p w14:paraId="7F3EFB34"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04.10.2015</w:t>
            </w:r>
          </w:p>
        </w:tc>
        <w:tc>
          <w:tcPr>
            <w:tcW w:w="0" w:type="auto"/>
            <w:shd w:val="clear" w:color="auto" w:fill="FFFFFF" w:themeFill="background1"/>
            <w:vAlign w:val="center"/>
          </w:tcPr>
          <w:p w14:paraId="2E37EBDC"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64/63</w:t>
            </w:r>
          </w:p>
        </w:tc>
      </w:tr>
      <w:tr w:rsidR="00E46FC8" w:rsidRPr="00B7675F" w14:paraId="4AB86CDA" w14:textId="77777777" w:rsidTr="00B27804">
        <w:trPr>
          <w:trHeight w:val="20"/>
        </w:trPr>
        <w:tc>
          <w:tcPr>
            <w:tcW w:w="0" w:type="auto"/>
            <w:shd w:val="clear" w:color="auto" w:fill="FFFFFF" w:themeFill="background1"/>
            <w:vAlign w:val="center"/>
          </w:tcPr>
          <w:p w14:paraId="2B13EA5D"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12.</w:t>
            </w:r>
          </w:p>
        </w:tc>
        <w:tc>
          <w:tcPr>
            <w:tcW w:w="0" w:type="auto"/>
            <w:shd w:val="clear" w:color="auto" w:fill="FFFFFF" w:themeFill="background1"/>
            <w:vAlign w:val="center"/>
          </w:tcPr>
          <w:p w14:paraId="3612C16F"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Federală Germania</w:t>
            </w:r>
          </w:p>
        </w:tc>
        <w:tc>
          <w:tcPr>
            <w:tcW w:w="0" w:type="auto"/>
            <w:shd w:val="clear" w:color="auto" w:fill="FFFFFF" w:themeFill="background1"/>
            <w:vAlign w:val="center"/>
          </w:tcPr>
          <w:p w14:paraId="08939C64"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12.01.2017, Chişinău</w:t>
            </w:r>
          </w:p>
        </w:tc>
        <w:tc>
          <w:tcPr>
            <w:tcW w:w="2544" w:type="dxa"/>
            <w:shd w:val="clear" w:color="auto" w:fill="FFFFFF" w:themeFill="background1"/>
            <w:vAlign w:val="center"/>
          </w:tcPr>
          <w:p w14:paraId="21E34C5F" w14:textId="07A1A225"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01.01.2019</w:t>
            </w:r>
          </w:p>
          <w:p w14:paraId="27F59A27"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c>
          <w:tcPr>
            <w:tcW w:w="0" w:type="auto"/>
            <w:shd w:val="clear" w:color="auto" w:fill="FFFFFF" w:themeFill="background1"/>
            <w:vAlign w:val="center"/>
          </w:tcPr>
          <w:p w14:paraId="14278224"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65+ /65+</w:t>
            </w:r>
          </w:p>
        </w:tc>
      </w:tr>
      <w:tr w:rsidR="00E46FC8" w:rsidRPr="00B7675F" w14:paraId="081FEE55" w14:textId="77777777" w:rsidTr="00B27804">
        <w:trPr>
          <w:trHeight w:val="20"/>
        </w:trPr>
        <w:tc>
          <w:tcPr>
            <w:tcW w:w="0" w:type="auto"/>
            <w:shd w:val="clear" w:color="auto" w:fill="FFFFFF" w:themeFill="background1"/>
            <w:vAlign w:val="center"/>
          </w:tcPr>
          <w:p w14:paraId="2034D5DE"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13.</w:t>
            </w:r>
          </w:p>
        </w:tc>
        <w:tc>
          <w:tcPr>
            <w:tcW w:w="0" w:type="auto"/>
            <w:shd w:val="clear" w:color="auto" w:fill="FFFFFF" w:themeFill="background1"/>
            <w:vAlign w:val="center"/>
          </w:tcPr>
          <w:p w14:paraId="25FD63FE"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Turcia</w:t>
            </w:r>
          </w:p>
        </w:tc>
        <w:tc>
          <w:tcPr>
            <w:tcW w:w="0" w:type="auto"/>
            <w:shd w:val="clear" w:color="auto" w:fill="FFFFFF" w:themeFill="background1"/>
            <w:vAlign w:val="center"/>
          </w:tcPr>
          <w:p w14:paraId="04F1BF8C" w14:textId="5AD0DC1E"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05.05.2017,</w:t>
            </w:r>
            <w:r w:rsidR="00E15964">
              <w:rPr>
                <w:rFonts w:asciiTheme="majorHAnsi" w:eastAsia="Times New Roman" w:hAnsiTheme="majorHAnsi" w:cstheme="majorHAnsi"/>
                <w:sz w:val="20"/>
                <w:szCs w:val="20"/>
                <w:lang w:val="ro-MD" w:eastAsia="ro-RO"/>
              </w:rPr>
              <w:t xml:space="preserve"> </w:t>
            </w:r>
            <w:r w:rsidRPr="00736448">
              <w:rPr>
                <w:rFonts w:asciiTheme="majorHAnsi" w:eastAsia="Times New Roman" w:hAnsiTheme="majorHAnsi" w:cstheme="majorHAnsi"/>
                <w:sz w:val="20"/>
                <w:szCs w:val="20"/>
                <w:lang w:val="ro-MD" w:eastAsia="ro-RO"/>
              </w:rPr>
              <w:t>Chişinău</w:t>
            </w:r>
          </w:p>
        </w:tc>
        <w:tc>
          <w:tcPr>
            <w:tcW w:w="2544" w:type="dxa"/>
            <w:shd w:val="clear" w:color="auto" w:fill="FFFFFF" w:themeFill="background1"/>
            <w:vAlign w:val="center"/>
          </w:tcPr>
          <w:p w14:paraId="494E2125"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1.06.2020</w:t>
            </w:r>
          </w:p>
        </w:tc>
        <w:tc>
          <w:tcPr>
            <w:tcW w:w="0" w:type="auto"/>
            <w:shd w:val="clear" w:color="auto" w:fill="FFFFFF" w:themeFill="background1"/>
            <w:vAlign w:val="center"/>
          </w:tcPr>
          <w:p w14:paraId="555A66A0"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60/58</w:t>
            </w:r>
          </w:p>
        </w:tc>
      </w:tr>
      <w:tr w:rsidR="00E46FC8" w:rsidRPr="00B7675F" w14:paraId="6C3BA2DA" w14:textId="77777777" w:rsidTr="00B27804">
        <w:trPr>
          <w:trHeight w:val="244"/>
        </w:trPr>
        <w:tc>
          <w:tcPr>
            <w:tcW w:w="0" w:type="auto"/>
            <w:vMerge w:val="restart"/>
            <w:shd w:val="clear" w:color="auto" w:fill="FFFFFF" w:themeFill="background1"/>
            <w:vAlign w:val="center"/>
          </w:tcPr>
          <w:p w14:paraId="4C06DD10"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14.</w:t>
            </w:r>
          </w:p>
        </w:tc>
        <w:tc>
          <w:tcPr>
            <w:tcW w:w="0" w:type="auto"/>
            <w:vMerge w:val="restart"/>
            <w:shd w:val="clear" w:color="auto" w:fill="FFFFFF" w:themeFill="background1"/>
            <w:vAlign w:val="center"/>
          </w:tcPr>
          <w:p w14:paraId="3E5B92C4"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Belarus</w:t>
            </w:r>
          </w:p>
        </w:tc>
        <w:tc>
          <w:tcPr>
            <w:tcW w:w="0" w:type="auto"/>
            <w:vMerge w:val="restart"/>
            <w:shd w:val="clear" w:color="auto" w:fill="FFFFFF" w:themeFill="background1"/>
            <w:vAlign w:val="center"/>
          </w:tcPr>
          <w:p w14:paraId="5A1A4EE1"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23.10.2019, Minsk</w:t>
            </w:r>
          </w:p>
        </w:tc>
        <w:tc>
          <w:tcPr>
            <w:tcW w:w="2544" w:type="dxa"/>
            <w:vMerge w:val="restart"/>
            <w:shd w:val="clear" w:color="auto" w:fill="FFFFFF" w:themeFill="background1"/>
            <w:vAlign w:val="center"/>
          </w:tcPr>
          <w:p w14:paraId="3E50FA3C"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1.11.2020</w:t>
            </w:r>
          </w:p>
        </w:tc>
        <w:tc>
          <w:tcPr>
            <w:tcW w:w="0" w:type="auto"/>
            <w:vMerge w:val="restart"/>
            <w:shd w:val="clear" w:color="auto" w:fill="FFFFFF" w:themeFill="background1"/>
            <w:vAlign w:val="center"/>
          </w:tcPr>
          <w:p w14:paraId="439CAA3C"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62,5/57,5</w:t>
            </w:r>
          </w:p>
        </w:tc>
      </w:tr>
      <w:tr w:rsidR="00E46FC8" w:rsidRPr="00B7675F" w14:paraId="09C1A389" w14:textId="77777777" w:rsidTr="00B27804">
        <w:trPr>
          <w:trHeight w:val="244"/>
        </w:trPr>
        <w:tc>
          <w:tcPr>
            <w:tcW w:w="0" w:type="auto"/>
            <w:vMerge/>
            <w:shd w:val="clear" w:color="auto" w:fill="FFFFFF" w:themeFill="background1"/>
            <w:vAlign w:val="center"/>
          </w:tcPr>
          <w:p w14:paraId="46E363FB"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1C7F657C"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p>
        </w:tc>
        <w:tc>
          <w:tcPr>
            <w:tcW w:w="0" w:type="auto"/>
            <w:vMerge/>
            <w:shd w:val="clear" w:color="auto" w:fill="FFFFFF" w:themeFill="background1"/>
            <w:vAlign w:val="center"/>
          </w:tcPr>
          <w:p w14:paraId="5E64FC98"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p>
        </w:tc>
        <w:tc>
          <w:tcPr>
            <w:tcW w:w="2544" w:type="dxa"/>
            <w:vMerge/>
            <w:shd w:val="clear" w:color="auto" w:fill="FFFFFF" w:themeFill="background1"/>
            <w:vAlign w:val="center"/>
          </w:tcPr>
          <w:p w14:paraId="633B360C"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c>
          <w:tcPr>
            <w:tcW w:w="0" w:type="auto"/>
            <w:vMerge/>
            <w:shd w:val="clear" w:color="auto" w:fill="FFFFFF" w:themeFill="background1"/>
            <w:vAlign w:val="center"/>
          </w:tcPr>
          <w:p w14:paraId="71955A99"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r>
      <w:tr w:rsidR="00E46FC8" w:rsidRPr="00B7675F" w14:paraId="73757D3F" w14:textId="77777777" w:rsidTr="00B27804">
        <w:trPr>
          <w:trHeight w:val="20"/>
        </w:trPr>
        <w:tc>
          <w:tcPr>
            <w:tcW w:w="0" w:type="auto"/>
            <w:shd w:val="clear" w:color="auto" w:fill="FFFFFF" w:themeFill="background1"/>
            <w:vAlign w:val="center"/>
          </w:tcPr>
          <w:p w14:paraId="64AB6D4C" w14:textId="5ED626B4"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15.</w:t>
            </w:r>
          </w:p>
        </w:tc>
        <w:tc>
          <w:tcPr>
            <w:tcW w:w="0" w:type="auto"/>
            <w:shd w:val="clear" w:color="auto" w:fill="FFFFFF" w:themeFill="background1"/>
            <w:vAlign w:val="center"/>
          </w:tcPr>
          <w:p w14:paraId="1F8CF519"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Elenă</w:t>
            </w:r>
          </w:p>
        </w:tc>
        <w:tc>
          <w:tcPr>
            <w:tcW w:w="0" w:type="auto"/>
            <w:shd w:val="clear" w:color="auto" w:fill="FFFFFF" w:themeFill="background1"/>
            <w:vAlign w:val="center"/>
          </w:tcPr>
          <w:p w14:paraId="7DA3768D" w14:textId="05D86D02"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08.09.2021,</w:t>
            </w:r>
            <w:r w:rsidR="00E15964">
              <w:rPr>
                <w:rFonts w:asciiTheme="majorHAnsi" w:eastAsia="Times New Roman" w:hAnsiTheme="majorHAnsi" w:cstheme="majorHAnsi"/>
                <w:sz w:val="20"/>
                <w:szCs w:val="20"/>
                <w:lang w:val="ro-MD" w:eastAsia="ro-RO"/>
              </w:rPr>
              <w:t xml:space="preserve"> </w:t>
            </w:r>
            <w:r w:rsidRPr="00736448">
              <w:rPr>
                <w:rFonts w:asciiTheme="majorHAnsi" w:eastAsia="Times New Roman" w:hAnsiTheme="majorHAnsi" w:cstheme="majorHAnsi"/>
                <w:sz w:val="20"/>
                <w:szCs w:val="20"/>
                <w:lang w:val="ro-MD" w:eastAsia="ro-RO"/>
              </w:rPr>
              <w:t>Chișinău</w:t>
            </w:r>
          </w:p>
        </w:tc>
        <w:tc>
          <w:tcPr>
            <w:tcW w:w="2544" w:type="dxa"/>
            <w:shd w:val="clear" w:color="auto" w:fill="FFFFFF" w:themeFill="background1"/>
            <w:vAlign w:val="center"/>
          </w:tcPr>
          <w:p w14:paraId="03080174"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1.01.2023</w:t>
            </w:r>
          </w:p>
        </w:tc>
        <w:tc>
          <w:tcPr>
            <w:tcW w:w="0" w:type="auto"/>
            <w:shd w:val="clear" w:color="auto" w:fill="FFFFFF" w:themeFill="background1"/>
            <w:vAlign w:val="center"/>
          </w:tcPr>
          <w:p w14:paraId="652C66ED"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67/67</w:t>
            </w:r>
          </w:p>
        </w:tc>
      </w:tr>
      <w:tr w:rsidR="00E46FC8" w:rsidRPr="00B7675F" w14:paraId="135582D9" w14:textId="77777777" w:rsidTr="00B27804">
        <w:trPr>
          <w:trHeight w:val="20"/>
        </w:trPr>
        <w:tc>
          <w:tcPr>
            <w:tcW w:w="0" w:type="auto"/>
            <w:shd w:val="clear" w:color="auto" w:fill="FFFFFF" w:themeFill="background1"/>
            <w:vAlign w:val="center"/>
          </w:tcPr>
          <w:p w14:paraId="7D52C0FC"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16.</w:t>
            </w:r>
          </w:p>
        </w:tc>
        <w:tc>
          <w:tcPr>
            <w:tcW w:w="0" w:type="auto"/>
            <w:shd w:val="clear" w:color="auto" w:fill="FFFFFF" w:themeFill="background1"/>
            <w:vAlign w:val="center"/>
          </w:tcPr>
          <w:p w14:paraId="6AC28159"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Republica Italia</w:t>
            </w:r>
          </w:p>
        </w:tc>
        <w:tc>
          <w:tcPr>
            <w:tcW w:w="0" w:type="auto"/>
            <w:shd w:val="clear" w:color="auto" w:fill="FFFFFF" w:themeFill="background1"/>
            <w:vAlign w:val="center"/>
          </w:tcPr>
          <w:p w14:paraId="42E932A3"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18.06.2021, Roma</w:t>
            </w:r>
          </w:p>
        </w:tc>
        <w:tc>
          <w:tcPr>
            <w:tcW w:w="2544" w:type="dxa"/>
            <w:shd w:val="clear" w:color="auto" w:fill="FFFFFF" w:themeFill="background1"/>
            <w:vAlign w:val="center"/>
          </w:tcPr>
          <w:p w14:paraId="074861FF" w14:textId="639EC4B5" w:rsidR="00E46FC8" w:rsidRPr="00736448" w:rsidRDefault="00E46FC8" w:rsidP="00E15964">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 xml:space="preserve">Ratificat de RM – noiembrie 2022, nu este intrat </w:t>
            </w:r>
            <w:r w:rsidR="00E15964">
              <w:rPr>
                <w:rFonts w:asciiTheme="majorHAnsi" w:eastAsia="Times New Roman" w:hAnsiTheme="majorHAnsi" w:cstheme="majorHAnsi"/>
                <w:sz w:val="20"/>
                <w:szCs w:val="20"/>
                <w:lang w:val="ro-MD" w:eastAsia="ro-RO"/>
              </w:rPr>
              <w:t>î</w:t>
            </w:r>
            <w:r w:rsidRPr="00736448">
              <w:rPr>
                <w:rFonts w:asciiTheme="majorHAnsi" w:eastAsia="Times New Roman" w:hAnsiTheme="majorHAnsi" w:cstheme="majorHAnsi"/>
                <w:sz w:val="20"/>
                <w:szCs w:val="20"/>
                <w:lang w:val="ro-MD" w:eastAsia="ro-RO"/>
              </w:rPr>
              <w:t>n vigoare</w:t>
            </w:r>
          </w:p>
        </w:tc>
        <w:tc>
          <w:tcPr>
            <w:tcW w:w="0" w:type="auto"/>
            <w:shd w:val="clear" w:color="auto" w:fill="FFFFFF" w:themeFill="background1"/>
            <w:vAlign w:val="center"/>
          </w:tcPr>
          <w:p w14:paraId="7EE431C0"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67/67</w:t>
            </w:r>
          </w:p>
        </w:tc>
      </w:tr>
      <w:tr w:rsidR="00E46FC8" w:rsidRPr="00B7675F" w14:paraId="6F31AAC1" w14:textId="77777777" w:rsidTr="00B27804">
        <w:trPr>
          <w:trHeight w:val="20"/>
        </w:trPr>
        <w:tc>
          <w:tcPr>
            <w:tcW w:w="0" w:type="auto"/>
            <w:shd w:val="clear" w:color="auto" w:fill="FFFFFF" w:themeFill="background1"/>
            <w:vAlign w:val="center"/>
          </w:tcPr>
          <w:p w14:paraId="5289681E" w14:textId="77777777" w:rsidR="00E46FC8" w:rsidRPr="00736448" w:rsidRDefault="00E46FC8" w:rsidP="00E46FC8">
            <w:pPr>
              <w:spacing w:after="0" w:line="240" w:lineRule="auto"/>
              <w:jc w:val="center"/>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17.</w:t>
            </w:r>
          </w:p>
        </w:tc>
        <w:tc>
          <w:tcPr>
            <w:tcW w:w="0" w:type="auto"/>
            <w:shd w:val="clear" w:color="auto" w:fill="FFFFFF" w:themeFill="background1"/>
            <w:vAlign w:val="center"/>
          </w:tcPr>
          <w:p w14:paraId="7C6C23F5" w14:textId="77777777" w:rsidR="00E46FC8" w:rsidRPr="00736448" w:rsidRDefault="00E46FC8" w:rsidP="00E46FC8">
            <w:pPr>
              <w:spacing w:after="0" w:line="240" w:lineRule="auto"/>
              <w:rPr>
                <w:rFonts w:asciiTheme="majorHAnsi" w:eastAsia="Times New Roman" w:hAnsiTheme="majorHAnsi" w:cstheme="majorHAnsi"/>
                <w:b/>
                <w:sz w:val="20"/>
                <w:szCs w:val="20"/>
                <w:lang w:val="ro-MD" w:eastAsia="ro-RO"/>
              </w:rPr>
            </w:pPr>
            <w:r w:rsidRPr="00736448">
              <w:rPr>
                <w:rFonts w:asciiTheme="majorHAnsi" w:eastAsia="Times New Roman" w:hAnsiTheme="majorHAnsi" w:cstheme="majorHAnsi"/>
                <w:b/>
                <w:sz w:val="20"/>
                <w:szCs w:val="20"/>
                <w:lang w:val="ro-MD" w:eastAsia="ro-RO"/>
              </w:rPr>
              <w:t>Regatul Spaniei</w:t>
            </w:r>
          </w:p>
        </w:tc>
        <w:tc>
          <w:tcPr>
            <w:tcW w:w="0" w:type="auto"/>
            <w:shd w:val="clear" w:color="auto" w:fill="FFFFFF" w:themeFill="background1"/>
            <w:vAlign w:val="center"/>
          </w:tcPr>
          <w:p w14:paraId="5BAC5EC5" w14:textId="77777777" w:rsidR="00E46FC8" w:rsidRPr="00736448" w:rsidRDefault="00E46FC8" w:rsidP="00E46FC8">
            <w:pPr>
              <w:spacing w:after="0" w:line="240" w:lineRule="auto"/>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21.07.2022 Madrid</w:t>
            </w:r>
          </w:p>
        </w:tc>
        <w:tc>
          <w:tcPr>
            <w:tcW w:w="2544" w:type="dxa"/>
            <w:shd w:val="clear" w:color="auto" w:fill="FFFFFF" w:themeFill="background1"/>
            <w:vAlign w:val="center"/>
          </w:tcPr>
          <w:p w14:paraId="7EBC93A3" w14:textId="5CED2CB1" w:rsidR="00E46FC8" w:rsidRPr="00736448" w:rsidRDefault="00E46FC8" w:rsidP="00E15964">
            <w:pPr>
              <w:spacing w:after="0" w:line="240" w:lineRule="auto"/>
              <w:jc w:val="center"/>
              <w:rPr>
                <w:rFonts w:asciiTheme="majorHAnsi" w:eastAsia="Times New Roman" w:hAnsiTheme="majorHAnsi" w:cstheme="majorHAnsi"/>
                <w:sz w:val="20"/>
                <w:szCs w:val="20"/>
                <w:lang w:val="ro-MD" w:eastAsia="ro-RO"/>
              </w:rPr>
            </w:pPr>
            <w:r w:rsidRPr="00736448">
              <w:rPr>
                <w:rFonts w:asciiTheme="majorHAnsi" w:eastAsia="Times New Roman" w:hAnsiTheme="majorHAnsi" w:cstheme="majorHAnsi"/>
                <w:sz w:val="20"/>
                <w:szCs w:val="20"/>
                <w:lang w:val="ro-MD" w:eastAsia="ro-RO"/>
              </w:rPr>
              <w:t xml:space="preserve">Ratificat de RM – septembrie 2022, nu este intrat </w:t>
            </w:r>
            <w:r w:rsidR="00E15964">
              <w:rPr>
                <w:rFonts w:asciiTheme="majorHAnsi" w:eastAsia="Times New Roman" w:hAnsiTheme="majorHAnsi" w:cstheme="majorHAnsi"/>
                <w:sz w:val="20"/>
                <w:szCs w:val="20"/>
                <w:lang w:val="ro-MD" w:eastAsia="ro-RO"/>
              </w:rPr>
              <w:t>î</w:t>
            </w:r>
            <w:r w:rsidRPr="00736448">
              <w:rPr>
                <w:rFonts w:asciiTheme="majorHAnsi" w:eastAsia="Times New Roman" w:hAnsiTheme="majorHAnsi" w:cstheme="majorHAnsi"/>
                <w:sz w:val="20"/>
                <w:szCs w:val="20"/>
                <w:lang w:val="ro-MD" w:eastAsia="ro-RO"/>
              </w:rPr>
              <w:t>n vigoare</w:t>
            </w:r>
          </w:p>
        </w:tc>
        <w:tc>
          <w:tcPr>
            <w:tcW w:w="0" w:type="auto"/>
            <w:shd w:val="clear" w:color="auto" w:fill="FFFFFF" w:themeFill="background1"/>
            <w:vAlign w:val="center"/>
          </w:tcPr>
          <w:p w14:paraId="2378DFE2" w14:textId="77777777" w:rsidR="00E46FC8" w:rsidRPr="00736448" w:rsidRDefault="00E46FC8" w:rsidP="00E46FC8">
            <w:pPr>
              <w:spacing w:after="0" w:line="240" w:lineRule="auto"/>
              <w:jc w:val="center"/>
              <w:rPr>
                <w:rFonts w:asciiTheme="majorHAnsi" w:eastAsia="Times New Roman" w:hAnsiTheme="majorHAnsi" w:cstheme="majorHAnsi"/>
                <w:sz w:val="20"/>
                <w:szCs w:val="20"/>
                <w:lang w:val="ro-MD" w:eastAsia="ro-RO"/>
              </w:rPr>
            </w:pPr>
          </w:p>
        </w:tc>
      </w:tr>
    </w:tbl>
    <w:p w14:paraId="4781CBCA" w14:textId="5E38241C" w:rsidR="0074459E" w:rsidRPr="00736448" w:rsidRDefault="0074459E" w:rsidP="0074459E">
      <w:pPr>
        <w:spacing w:after="0" w:line="240" w:lineRule="auto"/>
        <w:jc w:val="center"/>
        <w:rPr>
          <w:rFonts w:ascii="Times New Roman" w:eastAsia="Times New Roman" w:hAnsi="Times New Roman" w:cs="Times New Roman"/>
          <w:b/>
          <w:bCs/>
          <w:color w:val="000000"/>
          <w:sz w:val="24"/>
          <w:szCs w:val="24"/>
          <w:lang w:val="ro-MD"/>
        </w:rPr>
      </w:pPr>
    </w:p>
    <w:p w14:paraId="56187336" w14:textId="77777777" w:rsidR="00A356B8" w:rsidRPr="00736448" w:rsidRDefault="00A356B8" w:rsidP="0074459E">
      <w:pPr>
        <w:spacing w:after="0" w:line="240" w:lineRule="auto"/>
        <w:jc w:val="center"/>
        <w:rPr>
          <w:rFonts w:ascii="Times New Roman" w:eastAsia="Times New Roman" w:hAnsi="Times New Roman" w:cs="Times New Roman"/>
          <w:b/>
          <w:bCs/>
          <w:color w:val="000000"/>
          <w:sz w:val="24"/>
          <w:szCs w:val="24"/>
          <w:lang w:val="ro-MD"/>
        </w:rPr>
        <w:sectPr w:rsidR="00A356B8" w:rsidRPr="00736448" w:rsidSect="00911B93">
          <w:pgSz w:w="12240" w:h="15840"/>
          <w:pgMar w:top="993" w:right="851" w:bottom="1140" w:left="1355" w:header="720" w:footer="720" w:gutter="0"/>
          <w:cols w:space="720"/>
          <w:titlePg/>
          <w:docGrid w:linePitch="360"/>
        </w:sectPr>
      </w:pPr>
    </w:p>
    <w:p w14:paraId="05F4B253" w14:textId="77777777" w:rsidR="00C57ECC" w:rsidRPr="00736448" w:rsidRDefault="00036557" w:rsidP="00C57ECC">
      <w:pPr>
        <w:pStyle w:val="2"/>
        <w:jc w:val="right"/>
        <w:rPr>
          <w:rFonts w:eastAsia="Times New Roman" w:cstheme="majorHAnsi"/>
          <w:b/>
          <w:color w:val="000000" w:themeColor="text1"/>
          <w:sz w:val="24"/>
          <w:szCs w:val="24"/>
          <w:lang w:val="ro-MD"/>
        </w:rPr>
      </w:pPr>
      <w:r w:rsidRPr="00736448">
        <w:rPr>
          <w:rFonts w:eastAsia="Times New Roman" w:cstheme="majorHAnsi"/>
          <w:b/>
          <w:color w:val="000000" w:themeColor="text1"/>
          <w:sz w:val="24"/>
          <w:szCs w:val="24"/>
          <w:lang w:val="ro-MD"/>
        </w:rPr>
        <w:t>Anexa nr.</w:t>
      </w:r>
      <w:r w:rsidR="00C57ECC" w:rsidRPr="00736448">
        <w:rPr>
          <w:rFonts w:eastAsia="Times New Roman" w:cstheme="majorHAnsi"/>
          <w:b/>
          <w:color w:val="000000" w:themeColor="text1"/>
          <w:sz w:val="24"/>
          <w:szCs w:val="24"/>
          <w:lang w:val="ro-MD"/>
        </w:rPr>
        <w:t>8</w:t>
      </w:r>
    </w:p>
    <w:p w14:paraId="1C4BE4A8" w14:textId="587EAA53" w:rsidR="00A356B8" w:rsidRPr="00736448" w:rsidRDefault="00C57ECC" w:rsidP="00DF67F0">
      <w:pPr>
        <w:pStyle w:val="3"/>
        <w:jc w:val="right"/>
        <w:rPr>
          <w:rFonts w:eastAsia="Times New Roman" w:cstheme="majorHAnsi"/>
          <w:b/>
          <w:color w:val="000000" w:themeColor="text1"/>
          <w:lang w:val="ro-MD"/>
        </w:rPr>
      </w:pPr>
      <w:r w:rsidRPr="00736448">
        <w:rPr>
          <w:rFonts w:eastAsia="Times New Roman" w:cstheme="majorHAnsi"/>
          <w:b/>
          <w:color w:val="000000" w:themeColor="text1"/>
          <w:lang w:val="ro-MD"/>
        </w:rPr>
        <w:t>Tabel</w:t>
      </w:r>
      <w:r w:rsidR="00E15964">
        <w:rPr>
          <w:rFonts w:eastAsia="Times New Roman" w:cstheme="majorHAnsi"/>
          <w:b/>
          <w:color w:val="000000" w:themeColor="text1"/>
          <w:lang w:val="ro-MD"/>
        </w:rPr>
        <w:t>ul</w:t>
      </w:r>
      <w:r w:rsidRPr="00736448">
        <w:rPr>
          <w:rFonts w:eastAsia="Times New Roman" w:cstheme="majorHAnsi"/>
          <w:b/>
          <w:color w:val="000000" w:themeColor="text1"/>
          <w:lang w:val="ro-MD"/>
        </w:rPr>
        <w:t xml:space="preserve"> nr.1 </w:t>
      </w:r>
    </w:p>
    <w:p w14:paraId="7DD7BDAD" w14:textId="641A074E" w:rsidR="00C57ECC" w:rsidRPr="00736448" w:rsidRDefault="00C57ECC" w:rsidP="00C57ECC">
      <w:pPr>
        <w:jc w:val="center"/>
        <w:rPr>
          <w:rFonts w:asciiTheme="majorHAnsi" w:hAnsiTheme="majorHAnsi"/>
          <w:b/>
          <w:sz w:val="24"/>
          <w:szCs w:val="24"/>
          <w:lang w:val="ro-MD"/>
        </w:rPr>
      </w:pPr>
      <w:r w:rsidRPr="00736448">
        <w:rPr>
          <w:rFonts w:asciiTheme="majorHAnsi" w:hAnsiTheme="majorHAnsi"/>
          <w:b/>
          <w:sz w:val="24"/>
          <w:szCs w:val="24"/>
          <w:lang w:val="ro-MD"/>
        </w:rPr>
        <w:t>Informații privind distribuirea pensiilor în baza acordurilor internaționale în anul 2020</w:t>
      </w:r>
    </w:p>
    <w:tbl>
      <w:tblPr>
        <w:tblW w:w="1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63"/>
        <w:gridCol w:w="1557"/>
        <w:gridCol w:w="1463"/>
        <w:gridCol w:w="1577"/>
        <w:gridCol w:w="1483"/>
        <w:gridCol w:w="1704"/>
        <w:gridCol w:w="1216"/>
        <w:gridCol w:w="1495"/>
        <w:gridCol w:w="1145"/>
        <w:gridCol w:w="1749"/>
        <w:gridCol w:w="1491"/>
      </w:tblGrid>
      <w:tr w:rsidR="00A356B8" w:rsidRPr="00B7675F" w14:paraId="32FA9C4F" w14:textId="77777777" w:rsidTr="00B27804">
        <w:trPr>
          <w:trHeight w:val="384"/>
        </w:trPr>
        <w:tc>
          <w:tcPr>
            <w:tcW w:w="1240" w:type="dxa"/>
            <w:shd w:val="clear" w:color="auto" w:fill="FFFFFF" w:themeFill="background1"/>
            <w:noWrap/>
            <w:vAlign w:val="bottom"/>
            <w:hideMark/>
          </w:tcPr>
          <w:p w14:paraId="268FB602"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 </w:t>
            </w:r>
          </w:p>
        </w:tc>
        <w:tc>
          <w:tcPr>
            <w:tcW w:w="3020" w:type="dxa"/>
            <w:gridSpan w:val="2"/>
            <w:shd w:val="clear" w:color="auto" w:fill="FFFFFF" w:themeFill="background1"/>
            <w:noWrap/>
            <w:vAlign w:val="center"/>
            <w:hideMark/>
          </w:tcPr>
          <w:p w14:paraId="72462E4F"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Total 2020</w:t>
            </w:r>
          </w:p>
        </w:tc>
        <w:tc>
          <w:tcPr>
            <w:tcW w:w="3060" w:type="dxa"/>
            <w:gridSpan w:val="2"/>
            <w:shd w:val="clear" w:color="auto" w:fill="FFFFFF" w:themeFill="background1"/>
            <w:noWrap/>
            <w:vAlign w:val="center"/>
            <w:hideMark/>
          </w:tcPr>
          <w:p w14:paraId="096B86C3"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pentru limită de vârstă</w:t>
            </w:r>
          </w:p>
        </w:tc>
        <w:tc>
          <w:tcPr>
            <w:tcW w:w="2920" w:type="dxa"/>
            <w:gridSpan w:val="2"/>
            <w:shd w:val="clear" w:color="auto" w:fill="FFFFFF" w:themeFill="background1"/>
            <w:noWrap/>
            <w:vAlign w:val="center"/>
            <w:hideMark/>
          </w:tcPr>
          <w:p w14:paraId="7D1D9644"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de dizabilitate</w:t>
            </w:r>
          </w:p>
        </w:tc>
        <w:tc>
          <w:tcPr>
            <w:tcW w:w="2640" w:type="dxa"/>
            <w:gridSpan w:val="2"/>
            <w:shd w:val="clear" w:color="auto" w:fill="FFFFFF" w:themeFill="background1"/>
            <w:noWrap/>
            <w:vAlign w:val="center"/>
            <w:hideMark/>
          </w:tcPr>
          <w:p w14:paraId="731AAE14"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de urmaș</w:t>
            </w:r>
          </w:p>
        </w:tc>
        <w:tc>
          <w:tcPr>
            <w:tcW w:w="3240" w:type="dxa"/>
            <w:gridSpan w:val="2"/>
            <w:shd w:val="clear" w:color="auto" w:fill="FFFFFF" w:themeFill="background1"/>
            <w:noWrap/>
            <w:vAlign w:val="center"/>
            <w:hideMark/>
          </w:tcPr>
          <w:p w14:paraId="61952D60"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care se transferă în RM</w:t>
            </w:r>
          </w:p>
        </w:tc>
      </w:tr>
      <w:tr w:rsidR="00A356B8" w:rsidRPr="00B7675F" w14:paraId="4FDEA349" w14:textId="77777777" w:rsidTr="00B27804">
        <w:trPr>
          <w:trHeight w:val="276"/>
        </w:trPr>
        <w:tc>
          <w:tcPr>
            <w:tcW w:w="1240" w:type="dxa"/>
            <w:shd w:val="clear" w:color="auto" w:fill="FFFFFF" w:themeFill="background1"/>
            <w:noWrap/>
            <w:vAlign w:val="bottom"/>
            <w:hideMark/>
          </w:tcPr>
          <w:p w14:paraId="534B53C5" w14:textId="77777777" w:rsidR="00A356B8" w:rsidRPr="00736448" w:rsidRDefault="00A356B8" w:rsidP="00A356B8">
            <w:pPr>
              <w:spacing w:after="0" w:line="240" w:lineRule="auto"/>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ȚARA</w:t>
            </w:r>
          </w:p>
        </w:tc>
        <w:tc>
          <w:tcPr>
            <w:tcW w:w="1557" w:type="dxa"/>
            <w:shd w:val="clear" w:color="auto" w:fill="FFFFFF" w:themeFill="background1"/>
            <w:noWrap/>
            <w:vAlign w:val="bottom"/>
            <w:hideMark/>
          </w:tcPr>
          <w:p w14:paraId="0BD99AF0"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63" w:type="dxa"/>
            <w:shd w:val="clear" w:color="auto" w:fill="FFFFFF" w:themeFill="background1"/>
            <w:noWrap/>
            <w:vAlign w:val="bottom"/>
            <w:hideMark/>
          </w:tcPr>
          <w:p w14:paraId="3619B205"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577" w:type="dxa"/>
            <w:shd w:val="clear" w:color="auto" w:fill="FFFFFF" w:themeFill="background1"/>
            <w:noWrap/>
            <w:vAlign w:val="bottom"/>
            <w:hideMark/>
          </w:tcPr>
          <w:p w14:paraId="12CF3293"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83" w:type="dxa"/>
            <w:shd w:val="clear" w:color="auto" w:fill="FFFFFF" w:themeFill="background1"/>
            <w:noWrap/>
            <w:vAlign w:val="bottom"/>
            <w:hideMark/>
          </w:tcPr>
          <w:p w14:paraId="31D3F331"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704" w:type="dxa"/>
            <w:shd w:val="clear" w:color="auto" w:fill="FFFFFF" w:themeFill="background1"/>
            <w:noWrap/>
            <w:vAlign w:val="bottom"/>
            <w:hideMark/>
          </w:tcPr>
          <w:p w14:paraId="2B2564B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216" w:type="dxa"/>
            <w:shd w:val="clear" w:color="auto" w:fill="FFFFFF" w:themeFill="background1"/>
            <w:noWrap/>
            <w:vAlign w:val="bottom"/>
            <w:hideMark/>
          </w:tcPr>
          <w:p w14:paraId="54955FA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495" w:type="dxa"/>
            <w:shd w:val="clear" w:color="auto" w:fill="FFFFFF" w:themeFill="background1"/>
            <w:noWrap/>
            <w:vAlign w:val="bottom"/>
            <w:hideMark/>
          </w:tcPr>
          <w:p w14:paraId="018352BA"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145" w:type="dxa"/>
            <w:shd w:val="clear" w:color="auto" w:fill="FFFFFF" w:themeFill="background1"/>
            <w:noWrap/>
            <w:vAlign w:val="bottom"/>
            <w:hideMark/>
          </w:tcPr>
          <w:p w14:paraId="260960DF"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749" w:type="dxa"/>
            <w:shd w:val="clear" w:color="auto" w:fill="FFFFFF" w:themeFill="background1"/>
            <w:noWrap/>
            <w:vAlign w:val="bottom"/>
            <w:hideMark/>
          </w:tcPr>
          <w:p w14:paraId="50D60070"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91" w:type="dxa"/>
            <w:shd w:val="clear" w:color="auto" w:fill="FFFFFF" w:themeFill="background1"/>
            <w:noWrap/>
            <w:vAlign w:val="bottom"/>
            <w:hideMark/>
          </w:tcPr>
          <w:p w14:paraId="3CDB9B39"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r>
      <w:tr w:rsidR="00A356B8" w:rsidRPr="00B7675F" w14:paraId="4AC0CB4C" w14:textId="77777777" w:rsidTr="00B27804">
        <w:trPr>
          <w:trHeight w:val="264"/>
        </w:trPr>
        <w:tc>
          <w:tcPr>
            <w:tcW w:w="1240" w:type="dxa"/>
            <w:shd w:val="clear" w:color="auto" w:fill="FFFFFF" w:themeFill="background1"/>
            <w:noWrap/>
            <w:vAlign w:val="bottom"/>
            <w:hideMark/>
          </w:tcPr>
          <w:p w14:paraId="2B2B0F9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AUSTRIA</w:t>
            </w:r>
          </w:p>
        </w:tc>
        <w:tc>
          <w:tcPr>
            <w:tcW w:w="1557" w:type="dxa"/>
            <w:shd w:val="clear" w:color="auto" w:fill="FFFFFF" w:themeFill="background1"/>
            <w:noWrap/>
            <w:vAlign w:val="bottom"/>
            <w:hideMark/>
          </w:tcPr>
          <w:p w14:paraId="2E021F8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37</w:t>
            </w:r>
          </w:p>
        </w:tc>
        <w:tc>
          <w:tcPr>
            <w:tcW w:w="1463" w:type="dxa"/>
            <w:shd w:val="clear" w:color="auto" w:fill="FFFFFF" w:themeFill="background1"/>
            <w:noWrap/>
            <w:vAlign w:val="bottom"/>
            <w:hideMark/>
          </w:tcPr>
          <w:p w14:paraId="2280215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570232.2</w:t>
            </w:r>
          </w:p>
        </w:tc>
        <w:tc>
          <w:tcPr>
            <w:tcW w:w="1577" w:type="dxa"/>
            <w:shd w:val="clear" w:color="auto" w:fill="FFFFFF" w:themeFill="background1"/>
            <w:noWrap/>
            <w:vAlign w:val="bottom"/>
            <w:hideMark/>
          </w:tcPr>
          <w:p w14:paraId="288BA8E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33</w:t>
            </w:r>
          </w:p>
        </w:tc>
        <w:tc>
          <w:tcPr>
            <w:tcW w:w="1483" w:type="dxa"/>
            <w:shd w:val="clear" w:color="auto" w:fill="FFFFFF" w:themeFill="background1"/>
            <w:noWrap/>
            <w:vAlign w:val="bottom"/>
            <w:hideMark/>
          </w:tcPr>
          <w:p w14:paraId="10DC46E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538063.53</w:t>
            </w:r>
          </w:p>
        </w:tc>
        <w:tc>
          <w:tcPr>
            <w:tcW w:w="1704" w:type="dxa"/>
            <w:shd w:val="clear" w:color="auto" w:fill="FFFFFF" w:themeFill="background1"/>
            <w:noWrap/>
            <w:vAlign w:val="bottom"/>
            <w:hideMark/>
          </w:tcPr>
          <w:p w14:paraId="6D996F6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w:t>
            </w:r>
          </w:p>
        </w:tc>
        <w:tc>
          <w:tcPr>
            <w:tcW w:w="1216" w:type="dxa"/>
            <w:shd w:val="clear" w:color="auto" w:fill="FFFFFF" w:themeFill="background1"/>
            <w:noWrap/>
            <w:vAlign w:val="bottom"/>
            <w:hideMark/>
          </w:tcPr>
          <w:p w14:paraId="3253879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32168.67</w:t>
            </w:r>
          </w:p>
        </w:tc>
        <w:tc>
          <w:tcPr>
            <w:tcW w:w="1495" w:type="dxa"/>
            <w:shd w:val="clear" w:color="auto" w:fill="FFFFFF" w:themeFill="background1"/>
            <w:noWrap/>
            <w:vAlign w:val="bottom"/>
            <w:hideMark/>
          </w:tcPr>
          <w:p w14:paraId="4985056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0F2DACB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6648CAD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11998CF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0CF6C8DC" w14:textId="77777777" w:rsidTr="00B27804">
        <w:trPr>
          <w:trHeight w:val="264"/>
        </w:trPr>
        <w:tc>
          <w:tcPr>
            <w:tcW w:w="1240" w:type="dxa"/>
            <w:shd w:val="clear" w:color="auto" w:fill="FFFFFF" w:themeFill="background1"/>
            <w:noWrap/>
            <w:vAlign w:val="bottom"/>
            <w:hideMark/>
          </w:tcPr>
          <w:p w14:paraId="614402F7"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BELGIA</w:t>
            </w:r>
          </w:p>
        </w:tc>
        <w:tc>
          <w:tcPr>
            <w:tcW w:w="1557" w:type="dxa"/>
            <w:shd w:val="clear" w:color="auto" w:fill="FFFFFF" w:themeFill="background1"/>
            <w:noWrap/>
            <w:vAlign w:val="bottom"/>
            <w:hideMark/>
          </w:tcPr>
          <w:p w14:paraId="0932AE3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463" w:type="dxa"/>
            <w:shd w:val="clear" w:color="auto" w:fill="FFFFFF" w:themeFill="background1"/>
            <w:noWrap/>
            <w:vAlign w:val="bottom"/>
            <w:hideMark/>
          </w:tcPr>
          <w:p w14:paraId="7851A6A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8327.07</w:t>
            </w:r>
          </w:p>
        </w:tc>
        <w:tc>
          <w:tcPr>
            <w:tcW w:w="1577" w:type="dxa"/>
            <w:shd w:val="clear" w:color="auto" w:fill="FFFFFF" w:themeFill="background1"/>
            <w:noWrap/>
            <w:vAlign w:val="bottom"/>
            <w:hideMark/>
          </w:tcPr>
          <w:p w14:paraId="6F73437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483" w:type="dxa"/>
            <w:shd w:val="clear" w:color="auto" w:fill="FFFFFF" w:themeFill="background1"/>
            <w:noWrap/>
            <w:vAlign w:val="bottom"/>
            <w:hideMark/>
          </w:tcPr>
          <w:p w14:paraId="33F0DEC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8327.07</w:t>
            </w:r>
          </w:p>
        </w:tc>
        <w:tc>
          <w:tcPr>
            <w:tcW w:w="1704" w:type="dxa"/>
            <w:shd w:val="clear" w:color="auto" w:fill="FFFFFF" w:themeFill="background1"/>
            <w:noWrap/>
            <w:vAlign w:val="bottom"/>
            <w:hideMark/>
          </w:tcPr>
          <w:p w14:paraId="3A9EBC4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216" w:type="dxa"/>
            <w:shd w:val="clear" w:color="auto" w:fill="FFFFFF" w:themeFill="background1"/>
            <w:noWrap/>
            <w:vAlign w:val="bottom"/>
            <w:hideMark/>
          </w:tcPr>
          <w:p w14:paraId="76A9B6A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67D1DE3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7947D0C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5322585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67A3AB7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34A65C6D" w14:textId="77777777" w:rsidTr="00B27804">
        <w:trPr>
          <w:trHeight w:val="264"/>
        </w:trPr>
        <w:tc>
          <w:tcPr>
            <w:tcW w:w="1240" w:type="dxa"/>
            <w:shd w:val="clear" w:color="auto" w:fill="FFFFFF" w:themeFill="background1"/>
            <w:noWrap/>
            <w:vAlign w:val="bottom"/>
            <w:hideMark/>
          </w:tcPr>
          <w:p w14:paraId="7284495B"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BULGARIA</w:t>
            </w:r>
          </w:p>
        </w:tc>
        <w:tc>
          <w:tcPr>
            <w:tcW w:w="1557" w:type="dxa"/>
            <w:shd w:val="clear" w:color="auto" w:fill="FFFFFF" w:themeFill="background1"/>
            <w:noWrap/>
            <w:vAlign w:val="bottom"/>
            <w:hideMark/>
          </w:tcPr>
          <w:p w14:paraId="57FF130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143</w:t>
            </w:r>
          </w:p>
        </w:tc>
        <w:tc>
          <w:tcPr>
            <w:tcW w:w="1463" w:type="dxa"/>
            <w:shd w:val="clear" w:color="auto" w:fill="FFFFFF" w:themeFill="background1"/>
            <w:noWrap/>
            <w:vAlign w:val="bottom"/>
            <w:hideMark/>
          </w:tcPr>
          <w:p w14:paraId="6F8AE89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1806511.48</w:t>
            </w:r>
          </w:p>
        </w:tc>
        <w:tc>
          <w:tcPr>
            <w:tcW w:w="1577" w:type="dxa"/>
            <w:shd w:val="clear" w:color="auto" w:fill="FFFFFF" w:themeFill="background1"/>
            <w:noWrap/>
            <w:vAlign w:val="bottom"/>
            <w:hideMark/>
          </w:tcPr>
          <w:p w14:paraId="3F0A916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122</w:t>
            </w:r>
          </w:p>
        </w:tc>
        <w:tc>
          <w:tcPr>
            <w:tcW w:w="1483" w:type="dxa"/>
            <w:shd w:val="clear" w:color="auto" w:fill="FFFFFF" w:themeFill="background1"/>
            <w:noWrap/>
            <w:vAlign w:val="bottom"/>
            <w:hideMark/>
          </w:tcPr>
          <w:p w14:paraId="1379B3A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1578629.02</w:t>
            </w:r>
          </w:p>
        </w:tc>
        <w:tc>
          <w:tcPr>
            <w:tcW w:w="1704" w:type="dxa"/>
            <w:shd w:val="clear" w:color="auto" w:fill="FFFFFF" w:themeFill="background1"/>
            <w:noWrap/>
            <w:vAlign w:val="bottom"/>
            <w:hideMark/>
          </w:tcPr>
          <w:p w14:paraId="3EEECCB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w:t>
            </w:r>
          </w:p>
        </w:tc>
        <w:tc>
          <w:tcPr>
            <w:tcW w:w="1216" w:type="dxa"/>
            <w:shd w:val="clear" w:color="auto" w:fill="FFFFFF" w:themeFill="background1"/>
            <w:noWrap/>
            <w:vAlign w:val="bottom"/>
            <w:hideMark/>
          </w:tcPr>
          <w:p w14:paraId="6A304C4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129991.8</w:t>
            </w:r>
          </w:p>
        </w:tc>
        <w:tc>
          <w:tcPr>
            <w:tcW w:w="1495" w:type="dxa"/>
            <w:shd w:val="clear" w:color="auto" w:fill="FFFFFF" w:themeFill="background1"/>
            <w:noWrap/>
            <w:vAlign w:val="bottom"/>
            <w:hideMark/>
          </w:tcPr>
          <w:p w14:paraId="59EB9B7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w:t>
            </w:r>
          </w:p>
        </w:tc>
        <w:tc>
          <w:tcPr>
            <w:tcW w:w="1145" w:type="dxa"/>
            <w:shd w:val="clear" w:color="auto" w:fill="FFFFFF" w:themeFill="background1"/>
            <w:noWrap/>
            <w:vAlign w:val="bottom"/>
            <w:hideMark/>
          </w:tcPr>
          <w:p w14:paraId="3EB8AD6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97890.66</w:t>
            </w:r>
          </w:p>
        </w:tc>
        <w:tc>
          <w:tcPr>
            <w:tcW w:w="1749" w:type="dxa"/>
            <w:shd w:val="clear" w:color="auto" w:fill="FFFFFF" w:themeFill="background1"/>
            <w:noWrap/>
            <w:vAlign w:val="bottom"/>
            <w:hideMark/>
          </w:tcPr>
          <w:p w14:paraId="4DE11B9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491" w:type="dxa"/>
            <w:shd w:val="clear" w:color="auto" w:fill="FFFFFF" w:themeFill="background1"/>
            <w:noWrap/>
            <w:vAlign w:val="bottom"/>
            <w:hideMark/>
          </w:tcPr>
          <w:p w14:paraId="4FEC3B2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171095.78</w:t>
            </w:r>
          </w:p>
        </w:tc>
      </w:tr>
      <w:tr w:rsidR="00A356B8" w:rsidRPr="00B7675F" w14:paraId="639BA975" w14:textId="77777777" w:rsidTr="00B27804">
        <w:trPr>
          <w:trHeight w:val="264"/>
        </w:trPr>
        <w:tc>
          <w:tcPr>
            <w:tcW w:w="1240" w:type="dxa"/>
            <w:shd w:val="clear" w:color="auto" w:fill="FFFFFF" w:themeFill="background1"/>
            <w:noWrap/>
            <w:vAlign w:val="bottom"/>
            <w:hideMark/>
          </w:tcPr>
          <w:p w14:paraId="6D3494D7"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CEHIA</w:t>
            </w:r>
          </w:p>
        </w:tc>
        <w:tc>
          <w:tcPr>
            <w:tcW w:w="1557" w:type="dxa"/>
            <w:shd w:val="clear" w:color="auto" w:fill="FFFFFF" w:themeFill="background1"/>
            <w:noWrap/>
            <w:vAlign w:val="bottom"/>
            <w:hideMark/>
          </w:tcPr>
          <w:p w14:paraId="153EF4B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74</w:t>
            </w:r>
          </w:p>
        </w:tc>
        <w:tc>
          <w:tcPr>
            <w:tcW w:w="1463" w:type="dxa"/>
            <w:shd w:val="clear" w:color="auto" w:fill="FFFFFF" w:themeFill="background1"/>
            <w:noWrap/>
            <w:vAlign w:val="bottom"/>
            <w:hideMark/>
          </w:tcPr>
          <w:p w14:paraId="2B3FE19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993235.63</w:t>
            </w:r>
          </w:p>
        </w:tc>
        <w:tc>
          <w:tcPr>
            <w:tcW w:w="1577" w:type="dxa"/>
            <w:shd w:val="clear" w:color="auto" w:fill="FFFFFF" w:themeFill="background1"/>
            <w:noWrap/>
            <w:vAlign w:val="bottom"/>
            <w:hideMark/>
          </w:tcPr>
          <w:p w14:paraId="4CBDF2A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56</w:t>
            </w:r>
          </w:p>
        </w:tc>
        <w:tc>
          <w:tcPr>
            <w:tcW w:w="1483" w:type="dxa"/>
            <w:shd w:val="clear" w:color="auto" w:fill="FFFFFF" w:themeFill="background1"/>
            <w:noWrap/>
            <w:vAlign w:val="bottom"/>
            <w:hideMark/>
          </w:tcPr>
          <w:p w14:paraId="2E14107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837557.9</w:t>
            </w:r>
          </w:p>
        </w:tc>
        <w:tc>
          <w:tcPr>
            <w:tcW w:w="1704" w:type="dxa"/>
            <w:shd w:val="clear" w:color="auto" w:fill="FFFFFF" w:themeFill="background1"/>
            <w:noWrap/>
            <w:vAlign w:val="bottom"/>
            <w:hideMark/>
          </w:tcPr>
          <w:p w14:paraId="52C7BC5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w:t>
            </w:r>
          </w:p>
        </w:tc>
        <w:tc>
          <w:tcPr>
            <w:tcW w:w="1216" w:type="dxa"/>
            <w:shd w:val="clear" w:color="auto" w:fill="FFFFFF" w:themeFill="background1"/>
            <w:noWrap/>
            <w:vAlign w:val="bottom"/>
            <w:hideMark/>
          </w:tcPr>
          <w:p w14:paraId="5390D75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134072.54</w:t>
            </w:r>
          </w:p>
        </w:tc>
        <w:tc>
          <w:tcPr>
            <w:tcW w:w="1495" w:type="dxa"/>
            <w:shd w:val="clear" w:color="auto" w:fill="FFFFFF" w:themeFill="background1"/>
            <w:noWrap/>
            <w:vAlign w:val="bottom"/>
            <w:hideMark/>
          </w:tcPr>
          <w:p w14:paraId="76A1922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145" w:type="dxa"/>
            <w:shd w:val="clear" w:color="auto" w:fill="FFFFFF" w:themeFill="background1"/>
            <w:noWrap/>
            <w:vAlign w:val="bottom"/>
            <w:hideMark/>
          </w:tcPr>
          <w:p w14:paraId="2F7187F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21605.19</w:t>
            </w:r>
          </w:p>
        </w:tc>
        <w:tc>
          <w:tcPr>
            <w:tcW w:w="1749" w:type="dxa"/>
            <w:shd w:val="clear" w:color="auto" w:fill="FFFFFF" w:themeFill="background1"/>
            <w:noWrap/>
            <w:vAlign w:val="bottom"/>
            <w:hideMark/>
          </w:tcPr>
          <w:p w14:paraId="3179CA7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28586EB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61E663B3" w14:textId="77777777" w:rsidTr="00B27804">
        <w:trPr>
          <w:trHeight w:val="264"/>
        </w:trPr>
        <w:tc>
          <w:tcPr>
            <w:tcW w:w="1240" w:type="dxa"/>
            <w:shd w:val="clear" w:color="auto" w:fill="FFFFFF" w:themeFill="background1"/>
            <w:noWrap/>
            <w:vAlign w:val="bottom"/>
            <w:hideMark/>
          </w:tcPr>
          <w:p w14:paraId="65C0E4F0"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ESTONIA</w:t>
            </w:r>
          </w:p>
        </w:tc>
        <w:tc>
          <w:tcPr>
            <w:tcW w:w="1557" w:type="dxa"/>
            <w:shd w:val="clear" w:color="auto" w:fill="FFFFFF" w:themeFill="background1"/>
            <w:noWrap/>
            <w:vAlign w:val="bottom"/>
            <w:hideMark/>
          </w:tcPr>
          <w:p w14:paraId="341BB98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w:t>
            </w:r>
          </w:p>
        </w:tc>
        <w:tc>
          <w:tcPr>
            <w:tcW w:w="1463" w:type="dxa"/>
            <w:shd w:val="clear" w:color="auto" w:fill="FFFFFF" w:themeFill="background1"/>
            <w:noWrap/>
            <w:vAlign w:val="bottom"/>
            <w:hideMark/>
          </w:tcPr>
          <w:p w14:paraId="26AA6BC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133941.41</w:t>
            </w:r>
          </w:p>
        </w:tc>
        <w:tc>
          <w:tcPr>
            <w:tcW w:w="1577" w:type="dxa"/>
            <w:shd w:val="clear" w:color="auto" w:fill="FFFFFF" w:themeFill="background1"/>
            <w:noWrap/>
            <w:vAlign w:val="bottom"/>
            <w:hideMark/>
          </w:tcPr>
          <w:p w14:paraId="72F5A06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w:t>
            </w:r>
          </w:p>
        </w:tc>
        <w:tc>
          <w:tcPr>
            <w:tcW w:w="1483" w:type="dxa"/>
            <w:shd w:val="clear" w:color="auto" w:fill="FFFFFF" w:themeFill="background1"/>
            <w:noWrap/>
            <w:vAlign w:val="bottom"/>
            <w:hideMark/>
          </w:tcPr>
          <w:p w14:paraId="5417C44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133941.41</w:t>
            </w:r>
          </w:p>
        </w:tc>
        <w:tc>
          <w:tcPr>
            <w:tcW w:w="1704" w:type="dxa"/>
            <w:shd w:val="clear" w:color="auto" w:fill="FFFFFF" w:themeFill="background1"/>
            <w:noWrap/>
            <w:vAlign w:val="bottom"/>
            <w:hideMark/>
          </w:tcPr>
          <w:p w14:paraId="2ED25DA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216" w:type="dxa"/>
            <w:shd w:val="clear" w:color="auto" w:fill="FFFFFF" w:themeFill="background1"/>
            <w:noWrap/>
            <w:vAlign w:val="bottom"/>
            <w:hideMark/>
          </w:tcPr>
          <w:p w14:paraId="57603C9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2201540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2801955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5FCA192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w:t>
            </w:r>
          </w:p>
        </w:tc>
        <w:tc>
          <w:tcPr>
            <w:tcW w:w="1491" w:type="dxa"/>
            <w:shd w:val="clear" w:color="auto" w:fill="FFFFFF" w:themeFill="background1"/>
            <w:noWrap/>
            <w:vAlign w:val="bottom"/>
            <w:hideMark/>
          </w:tcPr>
          <w:p w14:paraId="6734712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651547.54</w:t>
            </w:r>
          </w:p>
        </w:tc>
      </w:tr>
      <w:tr w:rsidR="00A356B8" w:rsidRPr="00B7675F" w14:paraId="68E97191" w14:textId="77777777" w:rsidTr="00B27804">
        <w:trPr>
          <w:trHeight w:val="264"/>
        </w:trPr>
        <w:tc>
          <w:tcPr>
            <w:tcW w:w="1240" w:type="dxa"/>
            <w:shd w:val="clear" w:color="auto" w:fill="FFFFFF" w:themeFill="background1"/>
            <w:noWrap/>
            <w:vAlign w:val="bottom"/>
            <w:hideMark/>
          </w:tcPr>
          <w:p w14:paraId="5E8BA523"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GERMANIA</w:t>
            </w:r>
          </w:p>
        </w:tc>
        <w:tc>
          <w:tcPr>
            <w:tcW w:w="1557" w:type="dxa"/>
            <w:shd w:val="clear" w:color="auto" w:fill="FFFFFF" w:themeFill="background1"/>
            <w:noWrap/>
            <w:vAlign w:val="bottom"/>
            <w:hideMark/>
          </w:tcPr>
          <w:p w14:paraId="2E4B2B2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391</w:t>
            </w:r>
          </w:p>
        </w:tc>
        <w:tc>
          <w:tcPr>
            <w:tcW w:w="1463" w:type="dxa"/>
            <w:shd w:val="clear" w:color="auto" w:fill="FFFFFF" w:themeFill="background1"/>
            <w:noWrap/>
            <w:vAlign w:val="bottom"/>
            <w:hideMark/>
          </w:tcPr>
          <w:p w14:paraId="14C2245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8778273.27</w:t>
            </w:r>
          </w:p>
        </w:tc>
        <w:tc>
          <w:tcPr>
            <w:tcW w:w="1577" w:type="dxa"/>
            <w:shd w:val="clear" w:color="auto" w:fill="FFFFFF" w:themeFill="background1"/>
            <w:noWrap/>
            <w:vAlign w:val="bottom"/>
            <w:hideMark/>
          </w:tcPr>
          <w:p w14:paraId="76F8326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380</w:t>
            </w:r>
          </w:p>
        </w:tc>
        <w:tc>
          <w:tcPr>
            <w:tcW w:w="1483" w:type="dxa"/>
            <w:shd w:val="clear" w:color="auto" w:fill="FFFFFF" w:themeFill="background1"/>
            <w:noWrap/>
            <w:vAlign w:val="bottom"/>
            <w:hideMark/>
          </w:tcPr>
          <w:p w14:paraId="2AB1B63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8664341.31</w:t>
            </w:r>
          </w:p>
        </w:tc>
        <w:tc>
          <w:tcPr>
            <w:tcW w:w="1704" w:type="dxa"/>
            <w:shd w:val="clear" w:color="auto" w:fill="FFFFFF" w:themeFill="background1"/>
            <w:noWrap/>
            <w:vAlign w:val="bottom"/>
            <w:hideMark/>
          </w:tcPr>
          <w:p w14:paraId="7EA822E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216" w:type="dxa"/>
            <w:shd w:val="clear" w:color="auto" w:fill="FFFFFF" w:themeFill="background1"/>
            <w:noWrap/>
            <w:vAlign w:val="bottom"/>
            <w:hideMark/>
          </w:tcPr>
          <w:p w14:paraId="13512B8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22891.87</w:t>
            </w:r>
          </w:p>
        </w:tc>
        <w:tc>
          <w:tcPr>
            <w:tcW w:w="1495" w:type="dxa"/>
            <w:shd w:val="clear" w:color="auto" w:fill="FFFFFF" w:themeFill="background1"/>
            <w:noWrap/>
            <w:vAlign w:val="bottom"/>
            <w:hideMark/>
          </w:tcPr>
          <w:p w14:paraId="2C009C7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w:t>
            </w:r>
          </w:p>
        </w:tc>
        <w:tc>
          <w:tcPr>
            <w:tcW w:w="1145" w:type="dxa"/>
            <w:shd w:val="clear" w:color="auto" w:fill="FFFFFF" w:themeFill="background1"/>
            <w:noWrap/>
            <w:vAlign w:val="bottom"/>
            <w:hideMark/>
          </w:tcPr>
          <w:p w14:paraId="2E7F255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91040.09</w:t>
            </w:r>
          </w:p>
        </w:tc>
        <w:tc>
          <w:tcPr>
            <w:tcW w:w="1749" w:type="dxa"/>
            <w:shd w:val="clear" w:color="auto" w:fill="FFFFFF" w:themeFill="background1"/>
            <w:noWrap/>
            <w:vAlign w:val="bottom"/>
            <w:hideMark/>
          </w:tcPr>
          <w:p w14:paraId="5EC88FF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4F46C46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08C727ED" w14:textId="77777777" w:rsidTr="00B27804">
        <w:trPr>
          <w:trHeight w:val="264"/>
        </w:trPr>
        <w:tc>
          <w:tcPr>
            <w:tcW w:w="1240" w:type="dxa"/>
            <w:shd w:val="clear" w:color="auto" w:fill="FFFFFF" w:themeFill="background1"/>
            <w:noWrap/>
            <w:vAlign w:val="bottom"/>
            <w:hideMark/>
          </w:tcPr>
          <w:p w14:paraId="5EB6B2D2"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LITUANIA</w:t>
            </w:r>
          </w:p>
        </w:tc>
        <w:tc>
          <w:tcPr>
            <w:tcW w:w="1557" w:type="dxa"/>
            <w:shd w:val="clear" w:color="auto" w:fill="FFFFFF" w:themeFill="background1"/>
            <w:noWrap/>
            <w:vAlign w:val="bottom"/>
            <w:hideMark/>
          </w:tcPr>
          <w:p w14:paraId="21F718C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40</w:t>
            </w:r>
          </w:p>
        </w:tc>
        <w:tc>
          <w:tcPr>
            <w:tcW w:w="1463" w:type="dxa"/>
            <w:shd w:val="clear" w:color="auto" w:fill="FFFFFF" w:themeFill="background1"/>
            <w:noWrap/>
            <w:vAlign w:val="bottom"/>
            <w:hideMark/>
          </w:tcPr>
          <w:p w14:paraId="1F7D5E4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182294.17</w:t>
            </w:r>
          </w:p>
        </w:tc>
        <w:tc>
          <w:tcPr>
            <w:tcW w:w="1577" w:type="dxa"/>
            <w:shd w:val="clear" w:color="auto" w:fill="FFFFFF" w:themeFill="background1"/>
            <w:noWrap/>
            <w:vAlign w:val="bottom"/>
            <w:hideMark/>
          </w:tcPr>
          <w:p w14:paraId="2795E20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34</w:t>
            </w:r>
          </w:p>
        </w:tc>
        <w:tc>
          <w:tcPr>
            <w:tcW w:w="1483" w:type="dxa"/>
            <w:shd w:val="clear" w:color="auto" w:fill="FFFFFF" w:themeFill="background1"/>
            <w:noWrap/>
            <w:vAlign w:val="bottom"/>
            <w:hideMark/>
          </w:tcPr>
          <w:p w14:paraId="3C0C9DB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161220.29</w:t>
            </w:r>
          </w:p>
        </w:tc>
        <w:tc>
          <w:tcPr>
            <w:tcW w:w="1704" w:type="dxa"/>
            <w:shd w:val="clear" w:color="auto" w:fill="FFFFFF" w:themeFill="background1"/>
            <w:noWrap/>
            <w:vAlign w:val="bottom"/>
            <w:hideMark/>
          </w:tcPr>
          <w:p w14:paraId="4B0ACB9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216" w:type="dxa"/>
            <w:shd w:val="clear" w:color="auto" w:fill="FFFFFF" w:themeFill="background1"/>
            <w:noWrap/>
            <w:vAlign w:val="bottom"/>
            <w:hideMark/>
          </w:tcPr>
          <w:p w14:paraId="783171D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21073.88</w:t>
            </w:r>
          </w:p>
        </w:tc>
        <w:tc>
          <w:tcPr>
            <w:tcW w:w="1495" w:type="dxa"/>
            <w:shd w:val="clear" w:color="auto" w:fill="FFFFFF" w:themeFill="background1"/>
            <w:noWrap/>
            <w:vAlign w:val="bottom"/>
            <w:hideMark/>
          </w:tcPr>
          <w:p w14:paraId="1BE8327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35E513D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3035F3D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w:t>
            </w:r>
          </w:p>
        </w:tc>
        <w:tc>
          <w:tcPr>
            <w:tcW w:w="1491" w:type="dxa"/>
            <w:shd w:val="clear" w:color="auto" w:fill="FFFFFF" w:themeFill="background1"/>
            <w:noWrap/>
            <w:vAlign w:val="bottom"/>
            <w:hideMark/>
          </w:tcPr>
          <w:p w14:paraId="20D7904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338293.89</w:t>
            </w:r>
          </w:p>
        </w:tc>
      </w:tr>
      <w:tr w:rsidR="00A356B8" w:rsidRPr="00B7675F" w14:paraId="525172CA" w14:textId="77777777" w:rsidTr="00B27804">
        <w:trPr>
          <w:trHeight w:val="264"/>
        </w:trPr>
        <w:tc>
          <w:tcPr>
            <w:tcW w:w="1240" w:type="dxa"/>
            <w:shd w:val="clear" w:color="auto" w:fill="FFFFFF" w:themeFill="background1"/>
            <w:noWrap/>
            <w:vAlign w:val="bottom"/>
            <w:hideMark/>
          </w:tcPr>
          <w:p w14:paraId="5B5355AF"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POLONIA</w:t>
            </w:r>
          </w:p>
        </w:tc>
        <w:tc>
          <w:tcPr>
            <w:tcW w:w="1557" w:type="dxa"/>
            <w:shd w:val="clear" w:color="auto" w:fill="FFFFFF" w:themeFill="background1"/>
            <w:noWrap/>
            <w:vAlign w:val="bottom"/>
            <w:hideMark/>
          </w:tcPr>
          <w:p w14:paraId="270B095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w:t>
            </w:r>
          </w:p>
        </w:tc>
        <w:tc>
          <w:tcPr>
            <w:tcW w:w="1463" w:type="dxa"/>
            <w:shd w:val="clear" w:color="auto" w:fill="FFFFFF" w:themeFill="background1"/>
            <w:noWrap/>
            <w:vAlign w:val="bottom"/>
            <w:hideMark/>
          </w:tcPr>
          <w:p w14:paraId="6D71541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200471.86</w:t>
            </w:r>
          </w:p>
        </w:tc>
        <w:tc>
          <w:tcPr>
            <w:tcW w:w="1577" w:type="dxa"/>
            <w:shd w:val="clear" w:color="auto" w:fill="FFFFFF" w:themeFill="background1"/>
            <w:noWrap/>
            <w:vAlign w:val="bottom"/>
            <w:hideMark/>
          </w:tcPr>
          <w:p w14:paraId="2FB41D9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w:t>
            </w:r>
          </w:p>
        </w:tc>
        <w:tc>
          <w:tcPr>
            <w:tcW w:w="1483" w:type="dxa"/>
            <w:shd w:val="clear" w:color="auto" w:fill="FFFFFF" w:themeFill="background1"/>
            <w:noWrap/>
            <w:vAlign w:val="bottom"/>
            <w:hideMark/>
          </w:tcPr>
          <w:p w14:paraId="2BE03A3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200471.86</w:t>
            </w:r>
          </w:p>
        </w:tc>
        <w:tc>
          <w:tcPr>
            <w:tcW w:w="1704" w:type="dxa"/>
            <w:shd w:val="clear" w:color="auto" w:fill="FFFFFF" w:themeFill="background1"/>
            <w:noWrap/>
            <w:vAlign w:val="bottom"/>
            <w:hideMark/>
          </w:tcPr>
          <w:p w14:paraId="5427373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216" w:type="dxa"/>
            <w:shd w:val="clear" w:color="auto" w:fill="FFFFFF" w:themeFill="background1"/>
            <w:noWrap/>
            <w:vAlign w:val="bottom"/>
            <w:hideMark/>
          </w:tcPr>
          <w:p w14:paraId="7F7CFE0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792A71B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6C5865A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16405CC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3E33550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55B6DD28" w14:textId="77777777" w:rsidTr="00B27804">
        <w:trPr>
          <w:trHeight w:val="264"/>
        </w:trPr>
        <w:tc>
          <w:tcPr>
            <w:tcW w:w="1240" w:type="dxa"/>
            <w:shd w:val="clear" w:color="auto" w:fill="FFFFFF" w:themeFill="background1"/>
            <w:noWrap/>
            <w:vAlign w:val="bottom"/>
            <w:hideMark/>
          </w:tcPr>
          <w:p w14:paraId="19AD7E4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PORTUGALIA</w:t>
            </w:r>
          </w:p>
        </w:tc>
        <w:tc>
          <w:tcPr>
            <w:tcW w:w="1557" w:type="dxa"/>
            <w:shd w:val="clear" w:color="auto" w:fill="FFFFFF" w:themeFill="background1"/>
            <w:noWrap/>
            <w:vAlign w:val="bottom"/>
            <w:hideMark/>
          </w:tcPr>
          <w:p w14:paraId="2FD2744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22</w:t>
            </w:r>
          </w:p>
        </w:tc>
        <w:tc>
          <w:tcPr>
            <w:tcW w:w="1463" w:type="dxa"/>
            <w:shd w:val="clear" w:color="auto" w:fill="FFFFFF" w:themeFill="background1"/>
            <w:noWrap/>
            <w:vAlign w:val="bottom"/>
            <w:hideMark/>
          </w:tcPr>
          <w:p w14:paraId="37C2FB9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354237.35</w:t>
            </w:r>
          </w:p>
        </w:tc>
        <w:tc>
          <w:tcPr>
            <w:tcW w:w="1577" w:type="dxa"/>
            <w:shd w:val="clear" w:color="auto" w:fill="FFFFFF" w:themeFill="background1"/>
            <w:noWrap/>
            <w:vAlign w:val="bottom"/>
            <w:hideMark/>
          </w:tcPr>
          <w:p w14:paraId="4E3AB41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w:t>
            </w:r>
          </w:p>
        </w:tc>
        <w:tc>
          <w:tcPr>
            <w:tcW w:w="1483" w:type="dxa"/>
            <w:shd w:val="clear" w:color="auto" w:fill="FFFFFF" w:themeFill="background1"/>
            <w:noWrap/>
            <w:vAlign w:val="bottom"/>
            <w:hideMark/>
          </w:tcPr>
          <w:p w14:paraId="3D1C715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313454.17</w:t>
            </w:r>
          </w:p>
        </w:tc>
        <w:tc>
          <w:tcPr>
            <w:tcW w:w="1704" w:type="dxa"/>
            <w:shd w:val="clear" w:color="auto" w:fill="FFFFFF" w:themeFill="background1"/>
            <w:noWrap/>
            <w:vAlign w:val="bottom"/>
            <w:hideMark/>
          </w:tcPr>
          <w:p w14:paraId="0735B27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w:t>
            </w:r>
          </w:p>
        </w:tc>
        <w:tc>
          <w:tcPr>
            <w:tcW w:w="1216" w:type="dxa"/>
            <w:shd w:val="clear" w:color="auto" w:fill="FFFFFF" w:themeFill="background1"/>
            <w:noWrap/>
            <w:vAlign w:val="bottom"/>
            <w:hideMark/>
          </w:tcPr>
          <w:p w14:paraId="320B284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40783.18</w:t>
            </w:r>
          </w:p>
        </w:tc>
        <w:tc>
          <w:tcPr>
            <w:tcW w:w="1495" w:type="dxa"/>
            <w:shd w:val="clear" w:color="auto" w:fill="FFFFFF" w:themeFill="background1"/>
            <w:noWrap/>
            <w:vAlign w:val="bottom"/>
            <w:hideMark/>
          </w:tcPr>
          <w:p w14:paraId="7114674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36CC1AC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4F2C902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7BA3CB3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6700041F" w14:textId="77777777" w:rsidTr="00B27804">
        <w:trPr>
          <w:trHeight w:val="264"/>
        </w:trPr>
        <w:tc>
          <w:tcPr>
            <w:tcW w:w="1240" w:type="dxa"/>
            <w:shd w:val="clear" w:color="auto" w:fill="FFFFFF" w:themeFill="background1"/>
            <w:noWrap/>
            <w:vAlign w:val="bottom"/>
            <w:hideMark/>
          </w:tcPr>
          <w:p w14:paraId="634F36F3" w14:textId="11D87372" w:rsidR="00A356B8" w:rsidRPr="00736448" w:rsidRDefault="00A356B8" w:rsidP="00E15964">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ROM</w:t>
            </w:r>
            <w:r w:rsidR="00E15964">
              <w:rPr>
                <w:rFonts w:asciiTheme="majorHAnsi" w:eastAsia="Times New Roman" w:hAnsiTheme="majorHAnsi" w:cstheme="majorHAnsi"/>
                <w:sz w:val="20"/>
                <w:szCs w:val="20"/>
                <w:lang w:val="ro-MD"/>
              </w:rPr>
              <w:t>Â</w:t>
            </w:r>
            <w:r w:rsidRPr="00736448">
              <w:rPr>
                <w:rFonts w:asciiTheme="majorHAnsi" w:eastAsia="Times New Roman" w:hAnsiTheme="majorHAnsi" w:cstheme="majorHAnsi"/>
                <w:sz w:val="20"/>
                <w:szCs w:val="20"/>
                <w:lang w:val="ro-MD"/>
              </w:rPr>
              <w:t>NIA</w:t>
            </w:r>
          </w:p>
        </w:tc>
        <w:tc>
          <w:tcPr>
            <w:tcW w:w="1557" w:type="dxa"/>
            <w:shd w:val="clear" w:color="auto" w:fill="FFFFFF" w:themeFill="background1"/>
            <w:noWrap/>
            <w:vAlign w:val="bottom"/>
            <w:hideMark/>
          </w:tcPr>
          <w:p w14:paraId="70FBE5E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338</w:t>
            </w:r>
          </w:p>
        </w:tc>
        <w:tc>
          <w:tcPr>
            <w:tcW w:w="1463" w:type="dxa"/>
            <w:shd w:val="clear" w:color="auto" w:fill="FFFFFF" w:themeFill="background1"/>
            <w:noWrap/>
            <w:vAlign w:val="bottom"/>
            <w:hideMark/>
          </w:tcPr>
          <w:p w14:paraId="0AB103F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7371915.48</w:t>
            </w:r>
          </w:p>
        </w:tc>
        <w:tc>
          <w:tcPr>
            <w:tcW w:w="1577" w:type="dxa"/>
            <w:shd w:val="clear" w:color="auto" w:fill="FFFFFF" w:themeFill="background1"/>
            <w:noWrap/>
            <w:vAlign w:val="bottom"/>
            <w:hideMark/>
          </w:tcPr>
          <w:p w14:paraId="43F254E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311</w:t>
            </w:r>
          </w:p>
        </w:tc>
        <w:tc>
          <w:tcPr>
            <w:tcW w:w="1483" w:type="dxa"/>
            <w:shd w:val="clear" w:color="auto" w:fill="FFFFFF" w:themeFill="background1"/>
            <w:noWrap/>
            <w:vAlign w:val="bottom"/>
            <w:hideMark/>
          </w:tcPr>
          <w:p w14:paraId="42B0F06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6770379.4</w:t>
            </w:r>
          </w:p>
        </w:tc>
        <w:tc>
          <w:tcPr>
            <w:tcW w:w="1704" w:type="dxa"/>
            <w:shd w:val="clear" w:color="auto" w:fill="FFFFFF" w:themeFill="background1"/>
            <w:noWrap/>
            <w:vAlign w:val="bottom"/>
            <w:hideMark/>
          </w:tcPr>
          <w:p w14:paraId="19034CE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w:t>
            </w:r>
          </w:p>
        </w:tc>
        <w:tc>
          <w:tcPr>
            <w:tcW w:w="1216" w:type="dxa"/>
            <w:shd w:val="clear" w:color="auto" w:fill="FFFFFF" w:themeFill="background1"/>
            <w:noWrap/>
            <w:vAlign w:val="bottom"/>
            <w:hideMark/>
          </w:tcPr>
          <w:p w14:paraId="2EA9F73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593211.8</w:t>
            </w:r>
          </w:p>
        </w:tc>
        <w:tc>
          <w:tcPr>
            <w:tcW w:w="1495" w:type="dxa"/>
            <w:shd w:val="clear" w:color="auto" w:fill="FFFFFF" w:themeFill="background1"/>
            <w:noWrap/>
            <w:vAlign w:val="bottom"/>
            <w:hideMark/>
          </w:tcPr>
          <w:p w14:paraId="497D9C6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145" w:type="dxa"/>
            <w:shd w:val="clear" w:color="auto" w:fill="FFFFFF" w:themeFill="background1"/>
            <w:noWrap/>
            <w:vAlign w:val="bottom"/>
            <w:hideMark/>
          </w:tcPr>
          <w:p w14:paraId="72E6B1D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8324.28</w:t>
            </w:r>
          </w:p>
        </w:tc>
        <w:tc>
          <w:tcPr>
            <w:tcW w:w="1749" w:type="dxa"/>
            <w:shd w:val="clear" w:color="auto" w:fill="FFFFFF" w:themeFill="background1"/>
            <w:noWrap/>
            <w:vAlign w:val="bottom"/>
            <w:hideMark/>
          </w:tcPr>
          <w:p w14:paraId="1741D12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5300F69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2490A2E4" w14:textId="77777777" w:rsidTr="00B27804">
        <w:trPr>
          <w:trHeight w:val="264"/>
        </w:trPr>
        <w:tc>
          <w:tcPr>
            <w:tcW w:w="1240" w:type="dxa"/>
            <w:shd w:val="clear" w:color="auto" w:fill="FFFFFF" w:themeFill="background1"/>
            <w:noWrap/>
            <w:vAlign w:val="bottom"/>
            <w:hideMark/>
          </w:tcPr>
          <w:p w14:paraId="06AB053D"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TURCIA</w:t>
            </w:r>
          </w:p>
        </w:tc>
        <w:tc>
          <w:tcPr>
            <w:tcW w:w="1557" w:type="dxa"/>
            <w:shd w:val="clear" w:color="auto" w:fill="FFFFFF" w:themeFill="background1"/>
            <w:noWrap/>
            <w:vAlign w:val="bottom"/>
            <w:hideMark/>
          </w:tcPr>
          <w:p w14:paraId="69F49ED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w:t>
            </w:r>
          </w:p>
        </w:tc>
        <w:tc>
          <w:tcPr>
            <w:tcW w:w="1463" w:type="dxa"/>
            <w:shd w:val="clear" w:color="auto" w:fill="FFFFFF" w:themeFill="background1"/>
            <w:noWrap/>
            <w:vAlign w:val="bottom"/>
            <w:hideMark/>
          </w:tcPr>
          <w:p w14:paraId="687DB7D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20771.69</w:t>
            </w:r>
          </w:p>
        </w:tc>
        <w:tc>
          <w:tcPr>
            <w:tcW w:w="1577" w:type="dxa"/>
            <w:shd w:val="clear" w:color="auto" w:fill="FFFFFF" w:themeFill="background1"/>
            <w:noWrap/>
            <w:vAlign w:val="bottom"/>
            <w:hideMark/>
          </w:tcPr>
          <w:p w14:paraId="3A021C2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w:t>
            </w:r>
          </w:p>
        </w:tc>
        <w:tc>
          <w:tcPr>
            <w:tcW w:w="1483" w:type="dxa"/>
            <w:shd w:val="clear" w:color="auto" w:fill="FFFFFF" w:themeFill="background1"/>
            <w:noWrap/>
            <w:vAlign w:val="bottom"/>
            <w:hideMark/>
          </w:tcPr>
          <w:p w14:paraId="7DFFD43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20771.69</w:t>
            </w:r>
          </w:p>
        </w:tc>
        <w:tc>
          <w:tcPr>
            <w:tcW w:w="1704" w:type="dxa"/>
            <w:shd w:val="clear" w:color="auto" w:fill="FFFFFF" w:themeFill="background1"/>
            <w:noWrap/>
            <w:vAlign w:val="bottom"/>
            <w:hideMark/>
          </w:tcPr>
          <w:p w14:paraId="5A7D5B6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216" w:type="dxa"/>
            <w:shd w:val="clear" w:color="auto" w:fill="FFFFFF" w:themeFill="background1"/>
            <w:noWrap/>
            <w:vAlign w:val="bottom"/>
            <w:hideMark/>
          </w:tcPr>
          <w:p w14:paraId="16298B2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52CC9BE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0E86D2D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6553C36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597CD1F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67CEBC72" w14:textId="77777777" w:rsidTr="00B27804">
        <w:trPr>
          <w:trHeight w:val="264"/>
        </w:trPr>
        <w:tc>
          <w:tcPr>
            <w:tcW w:w="1240" w:type="dxa"/>
            <w:shd w:val="clear" w:color="auto" w:fill="FFFFFF" w:themeFill="background1"/>
            <w:noWrap/>
            <w:vAlign w:val="bottom"/>
            <w:hideMark/>
          </w:tcPr>
          <w:p w14:paraId="5BC5BF5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UCRAINA</w:t>
            </w:r>
          </w:p>
        </w:tc>
        <w:tc>
          <w:tcPr>
            <w:tcW w:w="1557" w:type="dxa"/>
            <w:shd w:val="clear" w:color="auto" w:fill="FFFFFF" w:themeFill="background1"/>
            <w:noWrap/>
            <w:vAlign w:val="bottom"/>
            <w:hideMark/>
          </w:tcPr>
          <w:p w14:paraId="4C4A8DD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463" w:type="dxa"/>
            <w:shd w:val="clear" w:color="auto" w:fill="FFFFFF" w:themeFill="background1"/>
            <w:noWrap/>
            <w:vAlign w:val="bottom"/>
            <w:hideMark/>
          </w:tcPr>
          <w:p w14:paraId="6330B9D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23942.56</w:t>
            </w:r>
          </w:p>
        </w:tc>
        <w:tc>
          <w:tcPr>
            <w:tcW w:w="1577" w:type="dxa"/>
            <w:shd w:val="clear" w:color="auto" w:fill="FFFFFF" w:themeFill="background1"/>
            <w:noWrap/>
            <w:vAlign w:val="bottom"/>
            <w:hideMark/>
          </w:tcPr>
          <w:p w14:paraId="5F56382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83" w:type="dxa"/>
            <w:shd w:val="clear" w:color="auto" w:fill="FFFFFF" w:themeFill="background1"/>
            <w:noWrap/>
            <w:vAlign w:val="bottom"/>
            <w:hideMark/>
          </w:tcPr>
          <w:p w14:paraId="09B63D1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04" w:type="dxa"/>
            <w:shd w:val="clear" w:color="auto" w:fill="FFFFFF" w:themeFill="background1"/>
            <w:noWrap/>
            <w:vAlign w:val="bottom"/>
            <w:hideMark/>
          </w:tcPr>
          <w:p w14:paraId="2F516E6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216" w:type="dxa"/>
            <w:shd w:val="clear" w:color="auto" w:fill="FFFFFF" w:themeFill="background1"/>
            <w:noWrap/>
            <w:vAlign w:val="bottom"/>
            <w:hideMark/>
          </w:tcPr>
          <w:p w14:paraId="6205F66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23942.56</w:t>
            </w:r>
          </w:p>
        </w:tc>
        <w:tc>
          <w:tcPr>
            <w:tcW w:w="1495" w:type="dxa"/>
            <w:shd w:val="clear" w:color="auto" w:fill="FFFFFF" w:themeFill="background1"/>
            <w:noWrap/>
            <w:vAlign w:val="bottom"/>
            <w:hideMark/>
          </w:tcPr>
          <w:p w14:paraId="19C9DC9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701FDE7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11A6B77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43D89B6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30C57C35" w14:textId="77777777" w:rsidTr="00B27804">
        <w:trPr>
          <w:trHeight w:val="264"/>
        </w:trPr>
        <w:tc>
          <w:tcPr>
            <w:tcW w:w="1240" w:type="dxa"/>
            <w:shd w:val="clear" w:color="auto" w:fill="FFFFFF" w:themeFill="background1"/>
            <w:noWrap/>
            <w:vAlign w:val="bottom"/>
            <w:hideMark/>
          </w:tcPr>
          <w:p w14:paraId="01204F30"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UNGARIA</w:t>
            </w:r>
          </w:p>
        </w:tc>
        <w:tc>
          <w:tcPr>
            <w:tcW w:w="1557" w:type="dxa"/>
            <w:shd w:val="clear" w:color="auto" w:fill="FFFFFF" w:themeFill="background1"/>
            <w:noWrap/>
            <w:vAlign w:val="bottom"/>
            <w:hideMark/>
          </w:tcPr>
          <w:p w14:paraId="4F8A9BE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463" w:type="dxa"/>
            <w:shd w:val="clear" w:color="auto" w:fill="FFFFFF" w:themeFill="background1"/>
            <w:noWrap/>
            <w:vAlign w:val="bottom"/>
            <w:hideMark/>
          </w:tcPr>
          <w:p w14:paraId="138B16D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47234.42</w:t>
            </w:r>
          </w:p>
        </w:tc>
        <w:tc>
          <w:tcPr>
            <w:tcW w:w="1577" w:type="dxa"/>
            <w:shd w:val="clear" w:color="auto" w:fill="FFFFFF" w:themeFill="background1"/>
            <w:noWrap/>
            <w:vAlign w:val="bottom"/>
            <w:hideMark/>
          </w:tcPr>
          <w:p w14:paraId="59F78D4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483" w:type="dxa"/>
            <w:shd w:val="clear" w:color="auto" w:fill="FFFFFF" w:themeFill="background1"/>
            <w:noWrap/>
            <w:vAlign w:val="bottom"/>
            <w:hideMark/>
          </w:tcPr>
          <w:p w14:paraId="08F36A2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47234.42</w:t>
            </w:r>
          </w:p>
        </w:tc>
        <w:tc>
          <w:tcPr>
            <w:tcW w:w="1704" w:type="dxa"/>
            <w:shd w:val="clear" w:color="auto" w:fill="FFFFFF" w:themeFill="background1"/>
            <w:noWrap/>
            <w:vAlign w:val="bottom"/>
            <w:hideMark/>
          </w:tcPr>
          <w:p w14:paraId="7D3B5A9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216" w:type="dxa"/>
            <w:shd w:val="clear" w:color="auto" w:fill="FFFFFF" w:themeFill="background1"/>
            <w:noWrap/>
            <w:vAlign w:val="bottom"/>
            <w:hideMark/>
          </w:tcPr>
          <w:p w14:paraId="690E39B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61C87DB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638CA33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255E298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286B205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13EC420F" w14:textId="77777777" w:rsidTr="00B27804">
        <w:trPr>
          <w:trHeight w:val="264"/>
        </w:trPr>
        <w:tc>
          <w:tcPr>
            <w:tcW w:w="1240" w:type="dxa"/>
            <w:shd w:val="clear" w:color="auto" w:fill="FFFFFF" w:themeFill="background1"/>
            <w:noWrap/>
            <w:vAlign w:val="bottom"/>
            <w:hideMark/>
          </w:tcPr>
          <w:p w14:paraId="233AD0BA" w14:textId="77777777" w:rsidR="00A356B8" w:rsidRPr="00736448" w:rsidRDefault="00A356B8" w:rsidP="00A356B8">
            <w:pPr>
              <w:spacing w:after="0" w:line="240" w:lineRule="auto"/>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TOTAL</w:t>
            </w:r>
          </w:p>
        </w:tc>
        <w:tc>
          <w:tcPr>
            <w:tcW w:w="1557" w:type="dxa"/>
            <w:shd w:val="clear" w:color="auto" w:fill="FFFFFF" w:themeFill="background1"/>
            <w:noWrap/>
            <w:vAlign w:val="bottom"/>
            <w:hideMark/>
          </w:tcPr>
          <w:p w14:paraId="22663063"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1076</w:t>
            </w:r>
          </w:p>
        </w:tc>
        <w:tc>
          <w:tcPr>
            <w:tcW w:w="1463" w:type="dxa"/>
            <w:shd w:val="clear" w:color="auto" w:fill="FFFFFF" w:themeFill="background1"/>
            <w:noWrap/>
            <w:vAlign w:val="bottom"/>
            <w:hideMark/>
          </w:tcPr>
          <w:p w14:paraId="455AFE03"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20491388.59</w:t>
            </w:r>
          </w:p>
        </w:tc>
        <w:tc>
          <w:tcPr>
            <w:tcW w:w="1577" w:type="dxa"/>
            <w:shd w:val="clear" w:color="auto" w:fill="FFFFFF" w:themeFill="background1"/>
            <w:noWrap/>
            <w:vAlign w:val="bottom"/>
            <w:hideMark/>
          </w:tcPr>
          <w:p w14:paraId="4ECF8DD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983</w:t>
            </w:r>
          </w:p>
        </w:tc>
        <w:tc>
          <w:tcPr>
            <w:tcW w:w="1483" w:type="dxa"/>
            <w:shd w:val="clear" w:color="auto" w:fill="FFFFFF" w:themeFill="background1"/>
            <w:noWrap/>
            <w:vAlign w:val="bottom"/>
            <w:hideMark/>
          </w:tcPr>
          <w:p w14:paraId="0B810EEE"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19274392.07</w:t>
            </w:r>
          </w:p>
        </w:tc>
        <w:tc>
          <w:tcPr>
            <w:tcW w:w="1704" w:type="dxa"/>
            <w:shd w:val="clear" w:color="auto" w:fill="FFFFFF" w:themeFill="background1"/>
            <w:noWrap/>
            <w:vAlign w:val="bottom"/>
            <w:hideMark/>
          </w:tcPr>
          <w:p w14:paraId="71267F2C"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79</w:t>
            </w:r>
          </w:p>
        </w:tc>
        <w:tc>
          <w:tcPr>
            <w:tcW w:w="1216" w:type="dxa"/>
            <w:shd w:val="clear" w:color="auto" w:fill="FFFFFF" w:themeFill="background1"/>
            <w:noWrap/>
            <w:vAlign w:val="bottom"/>
            <w:hideMark/>
          </w:tcPr>
          <w:p w14:paraId="6CE9BC7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998136.3</w:t>
            </w:r>
          </w:p>
        </w:tc>
        <w:tc>
          <w:tcPr>
            <w:tcW w:w="1495" w:type="dxa"/>
            <w:shd w:val="clear" w:color="auto" w:fill="FFFFFF" w:themeFill="background1"/>
            <w:noWrap/>
            <w:vAlign w:val="bottom"/>
            <w:hideMark/>
          </w:tcPr>
          <w:p w14:paraId="5DEFCFE9"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14</w:t>
            </w:r>
          </w:p>
        </w:tc>
        <w:tc>
          <w:tcPr>
            <w:tcW w:w="1145" w:type="dxa"/>
            <w:shd w:val="clear" w:color="auto" w:fill="FFFFFF" w:themeFill="background1"/>
            <w:noWrap/>
            <w:vAlign w:val="bottom"/>
            <w:hideMark/>
          </w:tcPr>
          <w:p w14:paraId="5407FDC7"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218860.22</w:t>
            </w:r>
          </w:p>
        </w:tc>
        <w:tc>
          <w:tcPr>
            <w:tcW w:w="1749" w:type="dxa"/>
            <w:shd w:val="clear" w:color="auto" w:fill="FFFFFF" w:themeFill="background1"/>
            <w:noWrap/>
            <w:vAlign w:val="bottom"/>
            <w:hideMark/>
          </w:tcPr>
          <w:p w14:paraId="519F96DB"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23</w:t>
            </w:r>
          </w:p>
        </w:tc>
        <w:tc>
          <w:tcPr>
            <w:tcW w:w="1491" w:type="dxa"/>
            <w:shd w:val="clear" w:color="auto" w:fill="FFFFFF" w:themeFill="background1"/>
            <w:noWrap/>
            <w:vAlign w:val="bottom"/>
            <w:hideMark/>
          </w:tcPr>
          <w:p w14:paraId="726B280C"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1160937.21</w:t>
            </w:r>
          </w:p>
        </w:tc>
      </w:tr>
    </w:tbl>
    <w:p w14:paraId="69AEE9ED" w14:textId="77777777" w:rsidR="00A356B8" w:rsidRPr="00736448" w:rsidRDefault="00A356B8" w:rsidP="00A356B8">
      <w:pPr>
        <w:shd w:val="clear" w:color="auto" w:fill="FFFFFF"/>
        <w:spacing w:after="0" w:line="276" w:lineRule="auto"/>
        <w:jc w:val="right"/>
        <w:rPr>
          <w:rFonts w:asciiTheme="majorHAnsi" w:eastAsia="Times New Roman" w:hAnsiTheme="majorHAnsi" w:cstheme="majorHAnsi"/>
          <w:sz w:val="24"/>
          <w:szCs w:val="24"/>
          <w:lang w:val="ro-MD"/>
        </w:rPr>
      </w:pPr>
    </w:p>
    <w:p w14:paraId="75698F28" w14:textId="6C2C4C67" w:rsidR="00C57ECC" w:rsidRPr="00736448" w:rsidRDefault="00C57ECC" w:rsidP="00DF67F0">
      <w:pPr>
        <w:pStyle w:val="3"/>
        <w:jc w:val="right"/>
        <w:rPr>
          <w:b/>
          <w:color w:val="000000" w:themeColor="text1"/>
          <w:lang w:val="ro-MD"/>
        </w:rPr>
      </w:pPr>
      <w:r w:rsidRPr="00736448">
        <w:rPr>
          <w:b/>
          <w:color w:val="000000" w:themeColor="text1"/>
          <w:lang w:val="ro-MD"/>
        </w:rPr>
        <w:t>Tabel</w:t>
      </w:r>
      <w:r w:rsidR="00E15964">
        <w:rPr>
          <w:b/>
          <w:color w:val="000000" w:themeColor="text1"/>
          <w:lang w:val="ro-MD"/>
        </w:rPr>
        <w:t>ul</w:t>
      </w:r>
      <w:r w:rsidRPr="00736448">
        <w:rPr>
          <w:b/>
          <w:color w:val="000000" w:themeColor="text1"/>
          <w:lang w:val="ro-MD"/>
        </w:rPr>
        <w:t xml:space="preserve"> nr.2</w:t>
      </w:r>
    </w:p>
    <w:p w14:paraId="0B740A01" w14:textId="7A7BAB5A" w:rsidR="00C57ECC" w:rsidRPr="00736448" w:rsidRDefault="00C57ECC" w:rsidP="00C57ECC">
      <w:pPr>
        <w:spacing w:after="0" w:line="240" w:lineRule="auto"/>
        <w:jc w:val="center"/>
        <w:rPr>
          <w:rFonts w:asciiTheme="majorHAnsi" w:hAnsiTheme="majorHAnsi"/>
          <w:b/>
          <w:sz w:val="24"/>
          <w:szCs w:val="24"/>
          <w:lang w:val="ro-MD"/>
        </w:rPr>
      </w:pPr>
      <w:r w:rsidRPr="00736448">
        <w:rPr>
          <w:rFonts w:asciiTheme="majorHAnsi" w:hAnsiTheme="majorHAnsi"/>
          <w:b/>
          <w:sz w:val="24"/>
          <w:szCs w:val="24"/>
          <w:lang w:val="ro-MD"/>
        </w:rPr>
        <w:t>Informații privind distribuirea pensiilor în baza acordurilor internaționale în anul 2021</w:t>
      </w:r>
    </w:p>
    <w:p w14:paraId="765116F1" w14:textId="77777777" w:rsidR="00A356B8" w:rsidRPr="00736448" w:rsidRDefault="00A356B8" w:rsidP="00A356B8">
      <w:pPr>
        <w:shd w:val="clear" w:color="auto" w:fill="FFFFFF"/>
        <w:spacing w:after="0" w:line="276" w:lineRule="auto"/>
        <w:jc w:val="right"/>
        <w:rPr>
          <w:rFonts w:asciiTheme="majorHAnsi" w:eastAsia="Times New Roman" w:hAnsiTheme="majorHAnsi" w:cstheme="majorHAnsi"/>
          <w:sz w:val="24"/>
          <w:szCs w:val="24"/>
          <w:lang w:val="ro-MD"/>
        </w:rPr>
      </w:pPr>
    </w:p>
    <w:tbl>
      <w:tblPr>
        <w:tblW w:w="1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63"/>
        <w:gridCol w:w="1609"/>
        <w:gridCol w:w="1411"/>
        <w:gridCol w:w="1577"/>
        <w:gridCol w:w="1483"/>
        <w:gridCol w:w="1576"/>
        <w:gridCol w:w="1344"/>
        <w:gridCol w:w="1541"/>
        <w:gridCol w:w="1099"/>
        <w:gridCol w:w="1749"/>
        <w:gridCol w:w="1491"/>
      </w:tblGrid>
      <w:tr w:rsidR="00A356B8" w:rsidRPr="00B7675F" w14:paraId="0842D837" w14:textId="77777777" w:rsidTr="00B27804">
        <w:trPr>
          <w:trHeight w:val="384"/>
        </w:trPr>
        <w:tc>
          <w:tcPr>
            <w:tcW w:w="1240" w:type="dxa"/>
            <w:shd w:val="clear" w:color="auto" w:fill="FFFFFF" w:themeFill="background1"/>
            <w:noWrap/>
            <w:vAlign w:val="bottom"/>
            <w:hideMark/>
          </w:tcPr>
          <w:p w14:paraId="1FEA0055"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 </w:t>
            </w:r>
          </w:p>
        </w:tc>
        <w:tc>
          <w:tcPr>
            <w:tcW w:w="3020" w:type="dxa"/>
            <w:gridSpan w:val="2"/>
            <w:shd w:val="clear" w:color="auto" w:fill="FFFFFF" w:themeFill="background1"/>
            <w:noWrap/>
            <w:vAlign w:val="center"/>
            <w:hideMark/>
          </w:tcPr>
          <w:p w14:paraId="6F1B7C31"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Total 2021</w:t>
            </w:r>
          </w:p>
        </w:tc>
        <w:tc>
          <w:tcPr>
            <w:tcW w:w="3060" w:type="dxa"/>
            <w:gridSpan w:val="2"/>
            <w:shd w:val="clear" w:color="auto" w:fill="FFFFFF" w:themeFill="background1"/>
            <w:noWrap/>
            <w:vAlign w:val="center"/>
            <w:hideMark/>
          </w:tcPr>
          <w:p w14:paraId="0C78504D"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pentru limită de vârstă</w:t>
            </w:r>
          </w:p>
        </w:tc>
        <w:tc>
          <w:tcPr>
            <w:tcW w:w="2920" w:type="dxa"/>
            <w:gridSpan w:val="2"/>
            <w:shd w:val="clear" w:color="auto" w:fill="FFFFFF" w:themeFill="background1"/>
            <w:noWrap/>
            <w:vAlign w:val="center"/>
            <w:hideMark/>
          </w:tcPr>
          <w:p w14:paraId="7EAD4E0B"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de dizabilitate</w:t>
            </w:r>
          </w:p>
        </w:tc>
        <w:tc>
          <w:tcPr>
            <w:tcW w:w="2640" w:type="dxa"/>
            <w:gridSpan w:val="2"/>
            <w:shd w:val="clear" w:color="auto" w:fill="FFFFFF" w:themeFill="background1"/>
            <w:noWrap/>
            <w:vAlign w:val="center"/>
            <w:hideMark/>
          </w:tcPr>
          <w:p w14:paraId="5998056A"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de urmaș</w:t>
            </w:r>
          </w:p>
        </w:tc>
        <w:tc>
          <w:tcPr>
            <w:tcW w:w="3240" w:type="dxa"/>
            <w:gridSpan w:val="2"/>
            <w:shd w:val="clear" w:color="auto" w:fill="FFFFFF" w:themeFill="background1"/>
            <w:noWrap/>
            <w:vAlign w:val="center"/>
            <w:hideMark/>
          </w:tcPr>
          <w:p w14:paraId="38149271"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care se transferă în RM</w:t>
            </w:r>
          </w:p>
        </w:tc>
      </w:tr>
      <w:tr w:rsidR="00A356B8" w:rsidRPr="00B7675F" w14:paraId="0E441B46" w14:textId="77777777" w:rsidTr="00B27804">
        <w:trPr>
          <w:trHeight w:val="276"/>
        </w:trPr>
        <w:tc>
          <w:tcPr>
            <w:tcW w:w="1240" w:type="dxa"/>
            <w:shd w:val="clear" w:color="auto" w:fill="FFFFFF" w:themeFill="background1"/>
            <w:noWrap/>
            <w:vAlign w:val="bottom"/>
            <w:hideMark/>
          </w:tcPr>
          <w:p w14:paraId="076D5D52" w14:textId="77777777" w:rsidR="00A356B8" w:rsidRPr="00736448" w:rsidRDefault="00A356B8" w:rsidP="00A356B8">
            <w:pPr>
              <w:spacing w:after="0" w:line="240" w:lineRule="auto"/>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ȚARA</w:t>
            </w:r>
          </w:p>
        </w:tc>
        <w:tc>
          <w:tcPr>
            <w:tcW w:w="1609" w:type="dxa"/>
            <w:shd w:val="clear" w:color="auto" w:fill="FFFFFF" w:themeFill="background1"/>
            <w:noWrap/>
            <w:vAlign w:val="bottom"/>
            <w:hideMark/>
          </w:tcPr>
          <w:p w14:paraId="09A1D421"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11" w:type="dxa"/>
            <w:shd w:val="clear" w:color="auto" w:fill="FFFFFF" w:themeFill="background1"/>
            <w:noWrap/>
            <w:vAlign w:val="bottom"/>
            <w:hideMark/>
          </w:tcPr>
          <w:p w14:paraId="2053B874"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577" w:type="dxa"/>
            <w:shd w:val="clear" w:color="auto" w:fill="FFFFFF" w:themeFill="background1"/>
            <w:noWrap/>
            <w:vAlign w:val="bottom"/>
            <w:hideMark/>
          </w:tcPr>
          <w:p w14:paraId="46D7F209"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83" w:type="dxa"/>
            <w:shd w:val="clear" w:color="auto" w:fill="FFFFFF" w:themeFill="background1"/>
            <w:noWrap/>
            <w:vAlign w:val="bottom"/>
            <w:hideMark/>
          </w:tcPr>
          <w:p w14:paraId="656D3070"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576" w:type="dxa"/>
            <w:shd w:val="clear" w:color="auto" w:fill="FFFFFF" w:themeFill="background1"/>
            <w:noWrap/>
            <w:vAlign w:val="bottom"/>
            <w:hideMark/>
          </w:tcPr>
          <w:p w14:paraId="28E82B7B"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344" w:type="dxa"/>
            <w:shd w:val="clear" w:color="auto" w:fill="FFFFFF" w:themeFill="background1"/>
            <w:noWrap/>
            <w:vAlign w:val="bottom"/>
            <w:hideMark/>
          </w:tcPr>
          <w:p w14:paraId="6DD8CBA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541" w:type="dxa"/>
            <w:shd w:val="clear" w:color="auto" w:fill="FFFFFF" w:themeFill="background1"/>
            <w:noWrap/>
            <w:vAlign w:val="bottom"/>
            <w:hideMark/>
          </w:tcPr>
          <w:p w14:paraId="3109817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099" w:type="dxa"/>
            <w:shd w:val="clear" w:color="auto" w:fill="FFFFFF" w:themeFill="background1"/>
            <w:noWrap/>
            <w:vAlign w:val="bottom"/>
            <w:hideMark/>
          </w:tcPr>
          <w:p w14:paraId="54B863E8"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749" w:type="dxa"/>
            <w:shd w:val="clear" w:color="auto" w:fill="FFFFFF" w:themeFill="background1"/>
            <w:noWrap/>
            <w:vAlign w:val="bottom"/>
            <w:hideMark/>
          </w:tcPr>
          <w:p w14:paraId="40DDA588"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91" w:type="dxa"/>
            <w:shd w:val="clear" w:color="auto" w:fill="FFFFFF" w:themeFill="background1"/>
            <w:noWrap/>
            <w:vAlign w:val="bottom"/>
            <w:hideMark/>
          </w:tcPr>
          <w:p w14:paraId="12241B9D"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r>
      <w:tr w:rsidR="00A356B8" w:rsidRPr="00B7675F" w14:paraId="0258FC7B" w14:textId="77777777" w:rsidTr="00B27804">
        <w:trPr>
          <w:trHeight w:val="264"/>
        </w:trPr>
        <w:tc>
          <w:tcPr>
            <w:tcW w:w="1240" w:type="dxa"/>
            <w:shd w:val="clear" w:color="auto" w:fill="FFFFFF" w:themeFill="background1"/>
            <w:noWrap/>
            <w:vAlign w:val="bottom"/>
            <w:hideMark/>
          </w:tcPr>
          <w:p w14:paraId="65D6F99C"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AUSTRIA</w:t>
            </w:r>
          </w:p>
        </w:tc>
        <w:tc>
          <w:tcPr>
            <w:tcW w:w="1609" w:type="dxa"/>
            <w:shd w:val="clear" w:color="auto" w:fill="FFFFFF" w:themeFill="background1"/>
            <w:noWrap/>
            <w:vAlign w:val="bottom"/>
            <w:hideMark/>
          </w:tcPr>
          <w:p w14:paraId="0332C3D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46</w:t>
            </w:r>
          </w:p>
        </w:tc>
        <w:tc>
          <w:tcPr>
            <w:tcW w:w="1411" w:type="dxa"/>
            <w:shd w:val="clear" w:color="auto" w:fill="FFFFFF" w:themeFill="background1"/>
            <w:noWrap/>
            <w:vAlign w:val="bottom"/>
            <w:hideMark/>
          </w:tcPr>
          <w:p w14:paraId="4D8F033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731785.59</w:t>
            </w:r>
          </w:p>
        </w:tc>
        <w:tc>
          <w:tcPr>
            <w:tcW w:w="1577" w:type="dxa"/>
            <w:shd w:val="clear" w:color="auto" w:fill="FFFFFF" w:themeFill="background1"/>
            <w:noWrap/>
            <w:vAlign w:val="bottom"/>
            <w:hideMark/>
          </w:tcPr>
          <w:p w14:paraId="027B2A1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43</w:t>
            </w:r>
          </w:p>
        </w:tc>
        <w:tc>
          <w:tcPr>
            <w:tcW w:w="1483" w:type="dxa"/>
            <w:shd w:val="clear" w:color="auto" w:fill="FFFFFF" w:themeFill="background1"/>
            <w:noWrap/>
            <w:vAlign w:val="bottom"/>
            <w:hideMark/>
          </w:tcPr>
          <w:p w14:paraId="4A0AFF1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697182.13</w:t>
            </w:r>
          </w:p>
        </w:tc>
        <w:tc>
          <w:tcPr>
            <w:tcW w:w="1576" w:type="dxa"/>
            <w:shd w:val="clear" w:color="auto" w:fill="FFFFFF" w:themeFill="background1"/>
            <w:noWrap/>
            <w:vAlign w:val="bottom"/>
            <w:hideMark/>
          </w:tcPr>
          <w:p w14:paraId="22E9C2F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344" w:type="dxa"/>
            <w:shd w:val="clear" w:color="auto" w:fill="FFFFFF" w:themeFill="background1"/>
            <w:noWrap/>
            <w:vAlign w:val="bottom"/>
            <w:hideMark/>
          </w:tcPr>
          <w:p w14:paraId="7CE88C5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34603.46</w:t>
            </w:r>
          </w:p>
        </w:tc>
        <w:tc>
          <w:tcPr>
            <w:tcW w:w="1541" w:type="dxa"/>
            <w:shd w:val="clear" w:color="auto" w:fill="FFFFFF" w:themeFill="background1"/>
            <w:noWrap/>
            <w:vAlign w:val="bottom"/>
            <w:hideMark/>
          </w:tcPr>
          <w:p w14:paraId="005DAC7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24AD512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28101B4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0CF3DC5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7B73109C" w14:textId="77777777" w:rsidTr="00B27804">
        <w:trPr>
          <w:trHeight w:val="264"/>
        </w:trPr>
        <w:tc>
          <w:tcPr>
            <w:tcW w:w="1240" w:type="dxa"/>
            <w:shd w:val="clear" w:color="auto" w:fill="FFFFFF" w:themeFill="background1"/>
            <w:noWrap/>
            <w:vAlign w:val="bottom"/>
            <w:hideMark/>
          </w:tcPr>
          <w:p w14:paraId="2ADAAC5D"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BELARUS</w:t>
            </w:r>
          </w:p>
        </w:tc>
        <w:tc>
          <w:tcPr>
            <w:tcW w:w="1609" w:type="dxa"/>
            <w:shd w:val="clear" w:color="auto" w:fill="FFFFFF" w:themeFill="background1"/>
            <w:noWrap/>
            <w:vAlign w:val="bottom"/>
            <w:hideMark/>
          </w:tcPr>
          <w:p w14:paraId="22132FA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31</w:t>
            </w:r>
          </w:p>
        </w:tc>
        <w:tc>
          <w:tcPr>
            <w:tcW w:w="1411" w:type="dxa"/>
            <w:shd w:val="clear" w:color="auto" w:fill="FFFFFF" w:themeFill="background1"/>
            <w:noWrap/>
            <w:vAlign w:val="bottom"/>
            <w:hideMark/>
          </w:tcPr>
          <w:p w14:paraId="5518B9B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343558.5</w:t>
            </w:r>
          </w:p>
        </w:tc>
        <w:tc>
          <w:tcPr>
            <w:tcW w:w="1577" w:type="dxa"/>
            <w:shd w:val="clear" w:color="auto" w:fill="FFFFFF" w:themeFill="background1"/>
            <w:noWrap/>
            <w:vAlign w:val="bottom"/>
            <w:hideMark/>
          </w:tcPr>
          <w:p w14:paraId="30989DD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30</w:t>
            </w:r>
          </w:p>
        </w:tc>
        <w:tc>
          <w:tcPr>
            <w:tcW w:w="1483" w:type="dxa"/>
            <w:shd w:val="clear" w:color="auto" w:fill="FFFFFF" w:themeFill="background1"/>
            <w:noWrap/>
            <w:vAlign w:val="bottom"/>
            <w:hideMark/>
          </w:tcPr>
          <w:p w14:paraId="69EBC8B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332080.56</w:t>
            </w:r>
          </w:p>
        </w:tc>
        <w:tc>
          <w:tcPr>
            <w:tcW w:w="1576" w:type="dxa"/>
            <w:shd w:val="clear" w:color="auto" w:fill="FFFFFF" w:themeFill="background1"/>
            <w:noWrap/>
            <w:vAlign w:val="bottom"/>
            <w:hideMark/>
          </w:tcPr>
          <w:p w14:paraId="1581357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18EC9CD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41" w:type="dxa"/>
            <w:shd w:val="clear" w:color="auto" w:fill="FFFFFF" w:themeFill="background1"/>
            <w:noWrap/>
            <w:vAlign w:val="bottom"/>
            <w:hideMark/>
          </w:tcPr>
          <w:p w14:paraId="484923E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099" w:type="dxa"/>
            <w:shd w:val="clear" w:color="auto" w:fill="FFFFFF" w:themeFill="background1"/>
            <w:noWrap/>
            <w:vAlign w:val="bottom"/>
            <w:hideMark/>
          </w:tcPr>
          <w:p w14:paraId="38F2C87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11477.94</w:t>
            </w:r>
          </w:p>
        </w:tc>
        <w:tc>
          <w:tcPr>
            <w:tcW w:w="1749" w:type="dxa"/>
            <w:shd w:val="clear" w:color="auto" w:fill="FFFFFF" w:themeFill="background1"/>
            <w:noWrap/>
            <w:vAlign w:val="bottom"/>
            <w:hideMark/>
          </w:tcPr>
          <w:p w14:paraId="5501EAA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w:t>
            </w:r>
          </w:p>
        </w:tc>
        <w:tc>
          <w:tcPr>
            <w:tcW w:w="1491" w:type="dxa"/>
            <w:shd w:val="clear" w:color="auto" w:fill="FFFFFF" w:themeFill="background1"/>
            <w:noWrap/>
            <w:vAlign w:val="bottom"/>
            <w:hideMark/>
          </w:tcPr>
          <w:p w14:paraId="4594E07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67758.89</w:t>
            </w:r>
          </w:p>
        </w:tc>
      </w:tr>
      <w:tr w:rsidR="00A356B8" w:rsidRPr="00B7675F" w14:paraId="7F58667D" w14:textId="77777777" w:rsidTr="00B27804">
        <w:trPr>
          <w:trHeight w:val="264"/>
        </w:trPr>
        <w:tc>
          <w:tcPr>
            <w:tcW w:w="1240" w:type="dxa"/>
            <w:shd w:val="clear" w:color="auto" w:fill="FFFFFF" w:themeFill="background1"/>
            <w:noWrap/>
            <w:vAlign w:val="bottom"/>
            <w:hideMark/>
          </w:tcPr>
          <w:p w14:paraId="08512E68"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BELGIA</w:t>
            </w:r>
          </w:p>
        </w:tc>
        <w:tc>
          <w:tcPr>
            <w:tcW w:w="1609" w:type="dxa"/>
            <w:shd w:val="clear" w:color="auto" w:fill="FFFFFF" w:themeFill="background1"/>
            <w:noWrap/>
            <w:vAlign w:val="bottom"/>
            <w:hideMark/>
          </w:tcPr>
          <w:p w14:paraId="2D6DF77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w:t>
            </w:r>
          </w:p>
        </w:tc>
        <w:tc>
          <w:tcPr>
            <w:tcW w:w="1411" w:type="dxa"/>
            <w:shd w:val="clear" w:color="auto" w:fill="FFFFFF" w:themeFill="background1"/>
            <w:noWrap/>
            <w:vAlign w:val="bottom"/>
            <w:hideMark/>
          </w:tcPr>
          <w:p w14:paraId="6EBB661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17385.28</w:t>
            </w:r>
          </w:p>
        </w:tc>
        <w:tc>
          <w:tcPr>
            <w:tcW w:w="1577" w:type="dxa"/>
            <w:shd w:val="clear" w:color="auto" w:fill="FFFFFF" w:themeFill="background1"/>
            <w:noWrap/>
            <w:vAlign w:val="bottom"/>
            <w:hideMark/>
          </w:tcPr>
          <w:p w14:paraId="2648AD1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w:t>
            </w:r>
          </w:p>
        </w:tc>
        <w:tc>
          <w:tcPr>
            <w:tcW w:w="1483" w:type="dxa"/>
            <w:shd w:val="clear" w:color="auto" w:fill="FFFFFF" w:themeFill="background1"/>
            <w:noWrap/>
            <w:vAlign w:val="bottom"/>
            <w:hideMark/>
          </w:tcPr>
          <w:p w14:paraId="4D2432E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17385.28</w:t>
            </w:r>
          </w:p>
        </w:tc>
        <w:tc>
          <w:tcPr>
            <w:tcW w:w="1576" w:type="dxa"/>
            <w:shd w:val="clear" w:color="auto" w:fill="FFFFFF" w:themeFill="background1"/>
            <w:noWrap/>
            <w:vAlign w:val="bottom"/>
            <w:hideMark/>
          </w:tcPr>
          <w:p w14:paraId="00C0A31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793CF8B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41" w:type="dxa"/>
            <w:shd w:val="clear" w:color="auto" w:fill="FFFFFF" w:themeFill="background1"/>
            <w:noWrap/>
            <w:vAlign w:val="bottom"/>
            <w:hideMark/>
          </w:tcPr>
          <w:p w14:paraId="331ED5D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40FE1EB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6FED90F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07DE89C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144386B2" w14:textId="77777777" w:rsidTr="00B27804">
        <w:trPr>
          <w:trHeight w:val="264"/>
        </w:trPr>
        <w:tc>
          <w:tcPr>
            <w:tcW w:w="1240" w:type="dxa"/>
            <w:shd w:val="clear" w:color="auto" w:fill="FFFFFF" w:themeFill="background1"/>
            <w:noWrap/>
            <w:vAlign w:val="bottom"/>
            <w:hideMark/>
          </w:tcPr>
          <w:p w14:paraId="7D60C962"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BULGARIA</w:t>
            </w:r>
          </w:p>
        </w:tc>
        <w:tc>
          <w:tcPr>
            <w:tcW w:w="1609" w:type="dxa"/>
            <w:shd w:val="clear" w:color="auto" w:fill="FFFFFF" w:themeFill="background1"/>
            <w:noWrap/>
            <w:vAlign w:val="bottom"/>
            <w:hideMark/>
          </w:tcPr>
          <w:p w14:paraId="051ABE1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151</w:t>
            </w:r>
          </w:p>
        </w:tc>
        <w:tc>
          <w:tcPr>
            <w:tcW w:w="1411" w:type="dxa"/>
            <w:shd w:val="clear" w:color="auto" w:fill="FFFFFF" w:themeFill="background1"/>
            <w:noWrap/>
            <w:vAlign w:val="bottom"/>
            <w:hideMark/>
          </w:tcPr>
          <w:p w14:paraId="6DFB848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1896499.22</w:t>
            </w:r>
          </w:p>
        </w:tc>
        <w:tc>
          <w:tcPr>
            <w:tcW w:w="1577" w:type="dxa"/>
            <w:shd w:val="clear" w:color="auto" w:fill="FFFFFF" w:themeFill="background1"/>
            <w:noWrap/>
            <w:vAlign w:val="bottom"/>
            <w:hideMark/>
          </w:tcPr>
          <w:p w14:paraId="6518C2E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132</w:t>
            </w:r>
          </w:p>
        </w:tc>
        <w:tc>
          <w:tcPr>
            <w:tcW w:w="1483" w:type="dxa"/>
            <w:shd w:val="clear" w:color="auto" w:fill="FFFFFF" w:themeFill="background1"/>
            <w:noWrap/>
            <w:vAlign w:val="bottom"/>
            <w:hideMark/>
          </w:tcPr>
          <w:p w14:paraId="01FAF6D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1727145.9</w:t>
            </w:r>
          </w:p>
        </w:tc>
        <w:tc>
          <w:tcPr>
            <w:tcW w:w="1576" w:type="dxa"/>
            <w:shd w:val="clear" w:color="auto" w:fill="FFFFFF" w:themeFill="background1"/>
            <w:noWrap/>
            <w:vAlign w:val="bottom"/>
            <w:hideMark/>
          </w:tcPr>
          <w:p w14:paraId="13DB2E9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w:t>
            </w:r>
          </w:p>
        </w:tc>
        <w:tc>
          <w:tcPr>
            <w:tcW w:w="1344" w:type="dxa"/>
            <w:shd w:val="clear" w:color="auto" w:fill="FFFFFF" w:themeFill="background1"/>
            <w:noWrap/>
            <w:vAlign w:val="bottom"/>
            <w:hideMark/>
          </w:tcPr>
          <w:p w14:paraId="5A96B34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100243.98</w:t>
            </w:r>
          </w:p>
        </w:tc>
        <w:tc>
          <w:tcPr>
            <w:tcW w:w="1541" w:type="dxa"/>
            <w:shd w:val="clear" w:color="auto" w:fill="FFFFFF" w:themeFill="background1"/>
            <w:noWrap/>
            <w:vAlign w:val="bottom"/>
            <w:hideMark/>
          </w:tcPr>
          <w:p w14:paraId="62681DD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099" w:type="dxa"/>
            <w:shd w:val="clear" w:color="auto" w:fill="FFFFFF" w:themeFill="background1"/>
            <w:noWrap/>
            <w:vAlign w:val="bottom"/>
            <w:hideMark/>
          </w:tcPr>
          <w:p w14:paraId="4F4D3DF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69109.34</w:t>
            </w:r>
          </w:p>
        </w:tc>
        <w:tc>
          <w:tcPr>
            <w:tcW w:w="1749" w:type="dxa"/>
            <w:shd w:val="clear" w:color="auto" w:fill="FFFFFF" w:themeFill="background1"/>
            <w:noWrap/>
            <w:vAlign w:val="bottom"/>
            <w:hideMark/>
          </w:tcPr>
          <w:p w14:paraId="614EC81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w:t>
            </w:r>
          </w:p>
        </w:tc>
        <w:tc>
          <w:tcPr>
            <w:tcW w:w="1491" w:type="dxa"/>
            <w:shd w:val="clear" w:color="auto" w:fill="FFFFFF" w:themeFill="background1"/>
            <w:noWrap/>
            <w:vAlign w:val="bottom"/>
            <w:hideMark/>
          </w:tcPr>
          <w:p w14:paraId="265E8C9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311863.61</w:t>
            </w:r>
          </w:p>
        </w:tc>
      </w:tr>
      <w:tr w:rsidR="00A356B8" w:rsidRPr="00B7675F" w14:paraId="58B9BBE4" w14:textId="77777777" w:rsidTr="00B27804">
        <w:trPr>
          <w:trHeight w:val="264"/>
        </w:trPr>
        <w:tc>
          <w:tcPr>
            <w:tcW w:w="1240" w:type="dxa"/>
            <w:shd w:val="clear" w:color="auto" w:fill="FFFFFF" w:themeFill="background1"/>
            <w:noWrap/>
            <w:vAlign w:val="bottom"/>
            <w:hideMark/>
          </w:tcPr>
          <w:p w14:paraId="7D932357"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CEHIA</w:t>
            </w:r>
          </w:p>
        </w:tc>
        <w:tc>
          <w:tcPr>
            <w:tcW w:w="1609" w:type="dxa"/>
            <w:shd w:val="clear" w:color="auto" w:fill="FFFFFF" w:themeFill="background1"/>
            <w:noWrap/>
            <w:vAlign w:val="bottom"/>
            <w:hideMark/>
          </w:tcPr>
          <w:p w14:paraId="10BFC82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84</w:t>
            </w:r>
          </w:p>
        </w:tc>
        <w:tc>
          <w:tcPr>
            <w:tcW w:w="1411" w:type="dxa"/>
            <w:shd w:val="clear" w:color="auto" w:fill="FFFFFF" w:themeFill="background1"/>
            <w:noWrap/>
            <w:vAlign w:val="bottom"/>
            <w:hideMark/>
          </w:tcPr>
          <w:p w14:paraId="286E4A4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1104764.18</w:t>
            </w:r>
          </w:p>
        </w:tc>
        <w:tc>
          <w:tcPr>
            <w:tcW w:w="1577" w:type="dxa"/>
            <w:shd w:val="clear" w:color="auto" w:fill="FFFFFF" w:themeFill="background1"/>
            <w:noWrap/>
            <w:vAlign w:val="bottom"/>
            <w:hideMark/>
          </w:tcPr>
          <w:p w14:paraId="2A242B8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65</w:t>
            </w:r>
          </w:p>
        </w:tc>
        <w:tc>
          <w:tcPr>
            <w:tcW w:w="1483" w:type="dxa"/>
            <w:shd w:val="clear" w:color="auto" w:fill="FFFFFF" w:themeFill="background1"/>
            <w:noWrap/>
            <w:vAlign w:val="bottom"/>
            <w:hideMark/>
          </w:tcPr>
          <w:p w14:paraId="48A7D56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951364.85</w:t>
            </w:r>
          </w:p>
        </w:tc>
        <w:tc>
          <w:tcPr>
            <w:tcW w:w="1576" w:type="dxa"/>
            <w:shd w:val="clear" w:color="auto" w:fill="FFFFFF" w:themeFill="background1"/>
            <w:noWrap/>
            <w:vAlign w:val="bottom"/>
            <w:hideMark/>
          </w:tcPr>
          <w:p w14:paraId="69B2C30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w:t>
            </w:r>
          </w:p>
        </w:tc>
        <w:tc>
          <w:tcPr>
            <w:tcW w:w="1344" w:type="dxa"/>
            <w:shd w:val="clear" w:color="auto" w:fill="FFFFFF" w:themeFill="background1"/>
            <w:noWrap/>
            <w:vAlign w:val="bottom"/>
            <w:hideMark/>
          </w:tcPr>
          <w:p w14:paraId="09F1ECD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139027.08</w:t>
            </w:r>
          </w:p>
        </w:tc>
        <w:tc>
          <w:tcPr>
            <w:tcW w:w="1541" w:type="dxa"/>
            <w:shd w:val="clear" w:color="auto" w:fill="FFFFFF" w:themeFill="background1"/>
            <w:noWrap/>
            <w:vAlign w:val="bottom"/>
            <w:hideMark/>
          </w:tcPr>
          <w:p w14:paraId="2117DE8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099" w:type="dxa"/>
            <w:shd w:val="clear" w:color="auto" w:fill="FFFFFF" w:themeFill="background1"/>
            <w:noWrap/>
            <w:vAlign w:val="bottom"/>
            <w:hideMark/>
          </w:tcPr>
          <w:p w14:paraId="2BBFD20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14372.25</w:t>
            </w:r>
          </w:p>
        </w:tc>
        <w:tc>
          <w:tcPr>
            <w:tcW w:w="1749" w:type="dxa"/>
            <w:shd w:val="clear" w:color="auto" w:fill="FFFFFF" w:themeFill="background1"/>
            <w:noWrap/>
            <w:vAlign w:val="bottom"/>
            <w:hideMark/>
          </w:tcPr>
          <w:p w14:paraId="78E853B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03E08E2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4F675957" w14:textId="77777777" w:rsidTr="00B27804">
        <w:trPr>
          <w:trHeight w:val="264"/>
        </w:trPr>
        <w:tc>
          <w:tcPr>
            <w:tcW w:w="1240" w:type="dxa"/>
            <w:shd w:val="clear" w:color="auto" w:fill="FFFFFF" w:themeFill="background1"/>
            <w:noWrap/>
            <w:vAlign w:val="bottom"/>
            <w:hideMark/>
          </w:tcPr>
          <w:p w14:paraId="6869F83C"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ESTONIA</w:t>
            </w:r>
          </w:p>
        </w:tc>
        <w:tc>
          <w:tcPr>
            <w:tcW w:w="1609" w:type="dxa"/>
            <w:shd w:val="clear" w:color="auto" w:fill="FFFFFF" w:themeFill="background1"/>
            <w:noWrap/>
            <w:vAlign w:val="bottom"/>
            <w:hideMark/>
          </w:tcPr>
          <w:p w14:paraId="446510E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w:t>
            </w:r>
          </w:p>
        </w:tc>
        <w:tc>
          <w:tcPr>
            <w:tcW w:w="1411" w:type="dxa"/>
            <w:shd w:val="clear" w:color="auto" w:fill="FFFFFF" w:themeFill="background1"/>
            <w:noWrap/>
            <w:vAlign w:val="bottom"/>
            <w:hideMark/>
          </w:tcPr>
          <w:p w14:paraId="7446587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126307.54</w:t>
            </w:r>
          </w:p>
        </w:tc>
        <w:tc>
          <w:tcPr>
            <w:tcW w:w="1577" w:type="dxa"/>
            <w:shd w:val="clear" w:color="auto" w:fill="FFFFFF" w:themeFill="background1"/>
            <w:noWrap/>
            <w:vAlign w:val="bottom"/>
            <w:hideMark/>
          </w:tcPr>
          <w:p w14:paraId="49BCB24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w:t>
            </w:r>
          </w:p>
        </w:tc>
        <w:tc>
          <w:tcPr>
            <w:tcW w:w="1483" w:type="dxa"/>
            <w:shd w:val="clear" w:color="auto" w:fill="FFFFFF" w:themeFill="background1"/>
            <w:noWrap/>
            <w:vAlign w:val="bottom"/>
            <w:hideMark/>
          </w:tcPr>
          <w:p w14:paraId="67115BE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126307.54</w:t>
            </w:r>
          </w:p>
        </w:tc>
        <w:tc>
          <w:tcPr>
            <w:tcW w:w="1576" w:type="dxa"/>
            <w:shd w:val="clear" w:color="auto" w:fill="FFFFFF" w:themeFill="background1"/>
            <w:noWrap/>
            <w:vAlign w:val="bottom"/>
            <w:hideMark/>
          </w:tcPr>
          <w:p w14:paraId="1FFEEF7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1235F74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41" w:type="dxa"/>
            <w:shd w:val="clear" w:color="auto" w:fill="FFFFFF" w:themeFill="background1"/>
            <w:noWrap/>
            <w:vAlign w:val="bottom"/>
            <w:hideMark/>
          </w:tcPr>
          <w:p w14:paraId="3B5B73F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3E7BE40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31E6D31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w:t>
            </w:r>
          </w:p>
        </w:tc>
        <w:tc>
          <w:tcPr>
            <w:tcW w:w="1491" w:type="dxa"/>
            <w:shd w:val="clear" w:color="auto" w:fill="FFFFFF" w:themeFill="background1"/>
            <w:noWrap/>
            <w:vAlign w:val="bottom"/>
            <w:hideMark/>
          </w:tcPr>
          <w:p w14:paraId="7F3C828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881309</w:t>
            </w:r>
          </w:p>
        </w:tc>
      </w:tr>
      <w:tr w:rsidR="00A356B8" w:rsidRPr="00B7675F" w14:paraId="13EA47AD" w14:textId="77777777" w:rsidTr="00B27804">
        <w:trPr>
          <w:trHeight w:val="264"/>
        </w:trPr>
        <w:tc>
          <w:tcPr>
            <w:tcW w:w="1240" w:type="dxa"/>
            <w:shd w:val="clear" w:color="auto" w:fill="FFFFFF" w:themeFill="background1"/>
            <w:noWrap/>
            <w:vAlign w:val="bottom"/>
            <w:hideMark/>
          </w:tcPr>
          <w:p w14:paraId="4ADB4DB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GERMANIA</w:t>
            </w:r>
          </w:p>
        </w:tc>
        <w:tc>
          <w:tcPr>
            <w:tcW w:w="1609" w:type="dxa"/>
            <w:shd w:val="clear" w:color="auto" w:fill="FFFFFF" w:themeFill="background1"/>
            <w:noWrap/>
            <w:vAlign w:val="bottom"/>
            <w:hideMark/>
          </w:tcPr>
          <w:p w14:paraId="5A419A5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585</w:t>
            </w:r>
          </w:p>
        </w:tc>
        <w:tc>
          <w:tcPr>
            <w:tcW w:w="1411" w:type="dxa"/>
            <w:shd w:val="clear" w:color="auto" w:fill="FFFFFF" w:themeFill="background1"/>
            <w:noWrap/>
            <w:vAlign w:val="bottom"/>
            <w:hideMark/>
          </w:tcPr>
          <w:p w14:paraId="21CB815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12232570.36</w:t>
            </w:r>
          </w:p>
        </w:tc>
        <w:tc>
          <w:tcPr>
            <w:tcW w:w="1577" w:type="dxa"/>
            <w:shd w:val="clear" w:color="auto" w:fill="FFFFFF" w:themeFill="background1"/>
            <w:noWrap/>
            <w:vAlign w:val="bottom"/>
            <w:hideMark/>
          </w:tcPr>
          <w:p w14:paraId="172D5F6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555</w:t>
            </w:r>
          </w:p>
        </w:tc>
        <w:tc>
          <w:tcPr>
            <w:tcW w:w="1483" w:type="dxa"/>
            <w:shd w:val="clear" w:color="auto" w:fill="FFFFFF" w:themeFill="background1"/>
            <w:noWrap/>
            <w:vAlign w:val="bottom"/>
            <w:hideMark/>
          </w:tcPr>
          <w:p w14:paraId="42B22E9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11660317.88</w:t>
            </w:r>
          </w:p>
        </w:tc>
        <w:tc>
          <w:tcPr>
            <w:tcW w:w="1576" w:type="dxa"/>
            <w:shd w:val="clear" w:color="auto" w:fill="FFFFFF" w:themeFill="background1"/>
            <w:noWrap/>
            <w:vAlign w:val="bottom"/>
            <w:hideMark/>
          </w:tcPr>
          <w:p w14:paraId="48B127F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w:t>
            </w:r>
          </w:p>
        </w:tc>
        <w:tc>
          <w:tcPr>
            <w:tcW w:w="1344" w:type="dxa"/>
            <w:shd w:val="clear" w:color="auto" w:fill="FFFFFF" w:themeFill="background1"/>
            <w:noWrap/>
            <w:vAlign w:val="bottom"/>
            <w:hideMark/>
          </w:tcPr>
          <w:p w14:paraId="4F57573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212414.45</w:t>
            </w:r>
          </w:p>
        </w:tc>
        <w:tc>
          <w:tcPr>
            <w:tcW w:w="1541" w:type="dxa"/>
            <w:shd w:val="clear" w:color="auto" w:fill="FFFFFF" w:themeFill="background1"/>
            <w:noWrap/>
            <w:vAlign w:val="bottom"/>
            <w:hideMark/>
          </w:tcPr>
          <w:p w14:paraId="64BAD2E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w:t>
            </w:r>
          </w:p>
        </w:tc>
        <w:tc>
          <w:tcPr>
            <w:tcW w:w="1099" w:type="dxa"/>
            <w:shd w:val="clear" w:color="auto" w:fill="FFFFFF" w:themeFill="background1"/>
            <w:noWrap/>
            <w:vAlign w:val="bottom"/>
            <w:hideMark/>
          </w:tcPr>
          <w:p w14:paraId="6E3A62B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359838.03</w:t>
            </w:r>
          </w:p>
        </w:tc>
        <w:tc>
          <w:tcPr>
            <w:tcW w:w="1749" w:type="dxa"/>
            <w:shd w:val="clear" w:color="auto" w:fill="FFFFFF" w:themeFill="background1"/>
            <w:noWrap/>
            <w:vAlign w:val="bottom"/>
            <w:hideMark/>
          </w:tcPr>
          <w:p w14:paraId="50E96B5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25C8657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2695900E" w14:textId="77777777" w:rsidTr="00B27804">
        <w:trPr>
          <w:trHeight w:val="264"/>
        </w:trPr>
        <w:tc>
          <w:tcPr>
            <w:tcW w:w="1240" w:type="dxa"/>
            <w:shd w:val="clear" w:color="auto" w:fill="FFFFFF" w:themeFill="background1"/>
            <w:noWrap/>
            <w:vAlign w:val="bottom"/>
            <w:hideMark/>
          </w:tcPr>
          <w:p w14:paraId="1DCC7478"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LITUANIA</w:t>
            </w:r>
          </w:p>
        </w:tc>
        <w:tc>
          <w:tcPr>
            <w:tcW w:w="1609" w:type="dxa"/>
            <w:shd w:val="clear" w:color="auto" w:fill="FFFFFF" w:themeFill="background1"/>
            <w:noWrap/>
            <w:vAlign w:val="bottom"/>
            <w:hideMark/>
          </w:tcPr>
          <w:p w14:paraId="479CD10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40</w:t>
            </w:r>
          </w:p>
        </w:tc>
        <w:tc>
          <w:tcPr>
            <w:tcW w:w="1411" w:type="dxa"/>
            <w:shd w:val="clear" w:color="auto" w:fill="FFFFFF" w:themeFill="background1"/>
            <w:noWrap/>
            <w:vAlign w:val="bottom"/>
            <w:hideMark/>
          </w:tcPr>
          <w:p w14:paraId="660C8EB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220471.57</w:t>
            </w:r>
          </w:p>
        </w:tc>
        <w:tc>
          <w:tcPr>
            <w:tcW w:w="1577" w:type="dxa"/>
            <w:shd w:val="clear" w:color="auto" w:fill="FFFFFF" w:themeFill="background1"/>
            <w:noWrap/>
            <w:vAlign w:val="bottom"/>
            <w:hideMark/>
          </w:tcPr>
          <w:p w14:paraId="0ACB64F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33</w:t>
            </w:r>
          </w:p>
        </w:tc>
        <w:tc>
          <w:tcPr>
            <w:tcW w:w="1483" w:type="dxa"/>
            <w:shd w:val="clear" w:color="auto" w:fill="FFFFFF" w:themeFill="background1"/>
            <w:noWrap/>
            <w:vAlign w:val="bottom"/>
            <w:hideMark/>
          </w:tcPr>
          <w:p w14:paraId="37ECF57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170936.39</w:t>
            </w:r>
          </w:p>
        </w:tc>
        <w:tc>
          <w:tcPr>
            <w:tcW w:w="1576" w:type="dxa"/>
            <w:shd w:val="clear" w:color="auto" w:fill="FFFFFF" w:themeFill="background1"/>
            <w:noWrap/>
            <w:vAlign w:val="bottom"/>
            <w:hideMark/>
          </w:tcPr>
          <w:p w14:paraId="1892276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344" w:type="dxa"/>
            <w:shd w:val="clear" w:color="auto" w:fill="FFFFFF" w:themeFill="background1"/>
            <w:noWrap/>
            <w:vAlign w:val="bottom"/>
            <w:hideMark/>
          </w:tcPr>
          <w:p w14:paraId="39FF863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44146.08</w:t>
            </w:r>
          </w:p>
        </w:tc>
        <w:tc>
          <w:tcPr>
            <w:tcW w:w="1541" w:type="dxa"/>
            <w:shd w:val="clear" w:color="auto" w:fill="FFFFFF" w:themeFill="background1"/>
            <w:noWrap/>
            <w:vAlign w:val="bottom"/>
            <w:hideMark/>
          </w:tcPr>
          <w:p w14:paraId="1ACC00D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099" w:type="dxa"/>
            <w:shd w:val="clear" w:color="auto" w:fill="FFFFFF" w:themeFill="background1"/>
            <w:noWrap/>
            <w:vAlign w:val="bottom"/>
            <w:hideMark/>
          </w:tcPr>
          <w:p w14:paraId="1F48CEF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5389.1</w:t>
            </w:r>
          </w:p>
        </w:tc>
        <w:tc>
          <w:tcPr>
            <w:tcW w:w="1749" w:type="dxa"/>
            <w:shd w:val="clear" w:color="auto" w:fill="FFFFFF" w:themeFill="background1"/>
            <w:noWrap/>
            <w:vAlign w:val="bottom"/>
            <w:hideMark/>
          </w:tcPr>
          <w:p w14:paraId="4738763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15</w:t>
            </w:r>
          </w:p>
        </w:tc>
        <w:tc>
          <w:tcPr>
            <w:tcW w:w="1491" w:type="dxa"/>
            <w:shd w:val="clear" w:color="auto" w:fill="FFFFFF" w:themeFill="background1"/>
            <w:noWrap/>
            <w:vAlign w:val="bottom"/>
            <w:hideMark/>
          </w:tcPr>
          <w:p w14:paraId="5C1B83A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394338.06</w:t>
            </w:r>
          </w:p>
        </w:tc>
      </w:tr>
      <w:tr w:rsidR="00A356B8" w:rsidRPr="00B7675F" w14:paraId="608A7F6D" w14:textId="77777777" w:rsidTr="00B27804">
        <w:trPr>
          <w:trHeight w:val="264"/>
        </w:trPr>
        <w:tc>
          <w:tcPr>
            <w:tcW w:w="1240" w:type="dxa"/>
            <w:shd w:val="clear" w:color="auto" w:fill="FFFFFF" w:themeFill="background1"/>
            <w:noWrap/>
            <w:vAlign w:val="bottom"/>
            <w:hideMark/>
          </w:tcPr>
          <w:p w14:paraId="52C43763"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POLONIA</w:t>
            </w:r>
          </w:p>
        </w:tc>
        <w:tc>
          <w:tcPr>
            <w:tcW w:w="1609" w:type="dxa"/>
            <w:shd w:val="clear" w:color="auto" w:fill="FFFFFF" w:themeFill="background1"/>
            <w:noWrap/>
            <w:vAlign w:val="bottom"/>
            <w:hideMark/>
          </w:tcPr>
          <w:p w14:paraId="4C8DA3A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w:t>
            </w:r>
          </w:p>
        </w:tc>
        <w:tc>
          <w:tcPr>
            <w:tcW w:w="1411" w:type="dxa"/>
            <w:shd w:val="clear" w:color="auto" w:fill="FFFFFF" w:themeFill="background1"/>
            <w:noWrap/>
            <w:vAlign w:val="bottom"/>
            <w:hideMark/>
          </w:tcPr>
          <w:p w14:paraId="70CD5EC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263722.75</w:t>
            </w:r>
          </w:p>
        </w:tc>
        <w:tc>
          <w:tcPr>
            <w:tcW w:w="1577" w:type="dxa"/>
            <w:shd w:val="clear" w:color="auto" w:fill="FFFFFF" w:themeFill="background1"/>
            <w:noWrap/>
            <w:vAlign w:val="bottom"/>
            <w:hideMark/>
          </w:tcPr>
          <w:p w14:paraId="11BA730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w:t>
            </w:r>
          </w:p>
        </w:tc>
        <w:tc>
          <w:tcPr>
            <w:tcW w:w="1483" w:type="dxa"/>
            <w:shd w:val="clear" w:color="auto" w:fill="FFFFFF" w:themeFill="background1"/>
            <w:noWrap/>
            <w:vAlign w:val="bottom"/>
            <w:hideMark/>
          </w:tcPr>
          <w:p w14:paraId="38DABE8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263722.75</w:t>
            </w:r>
          </w:p>
        </w:tc>
        <w:tc>
          <w:tcPr>
            <w:tcW w:w="1576" w:type="dxa"/>
            <w:shd w:val="clear" w:color="auto" w:fill="FFFFFF" w:themeFill="background1"/>
            <w:noWrap/>
            <w:vAlign w:val="bottom"/>
            <w:hideMark/>
          </w:tcPr>
          <w:p w14:paraId="3ACB769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2A905D6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41" w:type="dxa"/>
            <w:shd w:val="clear" w:color="auto" w:fill="FFFFFF" w:themeFill="background1"/>
            <w:noWrap/>
            <w:vAlign w:val="bottom"/>
            <w:hideMark/>
          </w:tcPr>
          <w:p w14:paraId="7F5B681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70B5455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75323F1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23AA8A5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7E54E484" w14:textId="77777777" w:rsidTr="00B27804">
        <w:trPr>
          <w:trHeight w:val="264"/>
        </w:trPr>
        <w:tc>
          <w:tcPr>
            <w:tcW w:w="1240" w:type="dxa"/>
            <w:shd w:val="clear" w:color="auto" w:fill="FFFFFF" w:themeFill="background1"/>
            <w:noWrap/>
            <w:vAlign w:val="bottom"/>
            <w:hideMark/>
          </w:tcPr>
          <w:p w14:paraId="3C47658B"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PORTUGALIA</w:t>
            </w:r>
          </w:p>
        </w:tc>
        <w:tc>
          <w:tcPr>
            <w:tcW w:w="1609" w:type="dxa"/>
            <w:shd w:val="clear" w:color="auto" w:fill="FFFFFF" w:themeFill="background1"/>
            <w:noWrap/>
            <w:vAlign w:val="bottom"/>
            <w:hideMark/>
          </w:tcPr>
          <w:p w14:paraId="1A0F636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w:t>
            </w:r>
          </w:p>
        </w:tc>
        <w:tc>
          <w:tcPr>
            <w:tcW w:w="1411" w:type="dxa"/>
            <w:shd w:val="clear" w:color="auto" w:fill="FFFFFF" w:themeFill="background1"/>
            <w:noWrap/>
            <w:vAlign w:val="bottom"/>
            <w:hideMark/>
          </w:tcPr>
          <w:p w14:paraId="5B6470E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388134.46</w:t>
            </w:r>
          </w:p>
        </w:tc>
        <w:tc>
          <w:tcPr>
            <w:tcW w:w="1577" w:type="dxa"/>
            <w:shd w:val="clear" w:color="auto" w:fill="FFFFFF" w:themeFill="background1"/>
            <w:noWrap/>
            <w:vAlign w:val="bottom"/>
            <w:hideMark/>
          </w:tcPr>
          <w:p w14:paraId="374D3B7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22</w:t>
            </w:r>
          </w:p>
        </w:tc>
        <w:tc>
          <w:tcPr>
            <w:tcW w:w="1483" w:type="dxa"/>
            <w:shd w:val="clear" w:color="auto" w:fill="FFFFFF" w:themeFill="background1"/>
            <w:noWrap/>
            <w:vAlign w:val="bottom"/>
            <w:hideMark/>
          </w:tcPr>
          <w:p w14:paraId="28F0333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317504.2</w:t>
            </w:r>
          </w:p>
        </w:tc>
        <w:tc>
          <w:tcPr>
            <w:tcW w:w="1576" w:type="dxa"/>
            <w:shd w:val="clear" w:color="auto" w:fill="FFFFFF" w:themeFill="background1"/>
            <w:noWrap/>
            <w:vAlign w:val="bottom"/>
            <w:hideMark/>
          </w:tcPr>
          <w:p w14:paraId="21EA2BD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w:t>
            </w:r>
          </w:p>
        </w:tc>
        <w:tc>
          <w:tcPr>
            <w:tcW w:w="1344" w:type="dxa"/>
            <w:shd w:val="clear" w:color="auto" w:fill="FFFFFF" w:themeFill="background1"/>
            <w:noWrap/>
            <w:vAlign w:val="bottom"/>
            <w:hideMark/>
          </w:tcPr>
          <w:p w14:paraId="2FA07C9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70630.26</w:t>
            </w:r>
          </w:p>
        </w:tc>
        <w:tc>
          <w:tcPr>
            <w:tcW w:w="1541" w:type="dxa"/>
            <w:shd w:val="clear" w:color="auto" w:fill="FFFFFF" w:themeFill="background1"/>
            <w:noWrap/>
            <w:vAlign w:val="bottom"/>
            <w:hideMark/>
          </w:tcPr>
          <w:p w14:paraId="3AD7BFF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01ED035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7CA4C29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57CA135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21F64E08" w14:textId="77777777" w:rsidTr="00B27804">
        <w:trPr>
          <w:trHeight w:val="264"/>
        </w:trPr>
        <w:tc>
          <w:tcPr>
            <w:tcW w:w="1240" w:type="dxa"/>
            <w:shd w:val="clear" w:color="auto" w:fill="FFFFFF" w:themeFill="background1"/>
            <w:noWrap/>
            <w:vAlign w:val="bottom"/>
            <w:hideMark/>
          </w:tcPr>
          <w:p w14:paraId="19CF9C15" w14:textId="37D19A88" w:rsidR="00A356B8" w:rsidRPr="00736448" w:rsidRDefault="00A356B8" w:rsidP="00E15964">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ROM</w:t>
            </w:r>
            <w:r w:rsidR="00E15964">
              <w:rPr>
                <w:rFonts w:asciiTheme="majorHAnsi" w:eastAsia="Times New Roman" w:hAnsiTheme="majorHAnsi" w:cstheme="majorHAnsi"/>
                <w:sz w:val="20"/>
                <w:szCs w:val="20"/>
                <w:lang w:val="ro-MD"/>
              </w:rPr>
              <w:t>Â</w:t>
            </w:r>
            <w:r w:rsidRPr="00736448">
              <w:rPr>
                <w:rFonts w:asciiTheme="majorHAnsi" w:eastAsia="Times New Roman" w:hAnsiTheme="majorHAnsi" w:cstheme="majorHAnsi"/>
                <w:sz w:val="20"/>
                <w:szCs w:val="20"/>
                <w:lang w:val="ro-MD"/>
              </w:rPr>
              <w:t>NIA</w:t>
            </w:r>
          </w:p>
        </w:tc>
        <w:tc>
          <w:tcPr>
            <w:tcW w:w="1609" w:type="dxa"/>
            <w:shd w:val="clear" w:color="auto" w:fill="FFFFFF" w:themeFill="background1"/>
            <w:noWrap/>
            <w:vAlign w:val="bottom"/>
            <w:hideMark/>
          </w:tcPr>
          <w:p w14:paraId="4CA39C7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386</w:t>
            </w:r>
          </w:p>
        </w:tc>
        <w:tc>
          <w:tcPr>
            <w:tcW w:w="1411" w:type="dxa"/>
            <w:shd w:val="clear" w:color="auto" w:fill="FFFFFF" w:themeFill="background1"/>
            <w:noWrap/>
            <w:vAlign w:val="bottom"/>
            <w:hideMark/>
          </w:tcPr>
          <w:p w14:paraId="3BB7062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8769172.05</w:t>
            </w:r>
          </w:p>
        </w:tc>
        <w:tc>
          <w:tcPr>
            <w:tcW w:w="1577" w:type="dxa"/>
            <w:shd w:val="clear" w:color="auto" w:fill="FFFFFF" w:themeFill="background1"/>
            <w:noWrap/>
            <w:vAlign w:val="bottom"/>
            <w:hideMark/>
          </w:tcPr>
          <w:p w14:paraId="77730BF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356</w:t>
            </w:r>
          </w:p>
        </w:tc>
        <w:tc>
          <w:tcPr>
            <w:tcW w:w="1483" w:type="dxa"/>
            <w:shd w:val="clear" w:color="auto" w:fill="FFFFFF" w:themeFill="background1"/>
            <w:noWrap/>
            <w:vAlign w:val="bottom"/>
            <w:hideMark/>
          </w:tcPr>
          <w:p w14:paraId="139EAC6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8234926.52</w:t>
            </w:r>
          </w:p>
        </w:tc>
        <w:tc>
          <w:tcPr>
            <w:tcW w:w="1576" w:type="dxa"/>
            <w:shd w:val="clear" w:color="auto" w:fill="FFFFFF" w:themeFill="background1"/>
            <w:noWrap/>
            <w:vAlign w:val="bottom"/>
            <w:hideMark/>
          </w:tcPr>
          <w:p w14:paraId="494851D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28</w:t>
            </w:r>
          </w:p>
        </w:tc>
        <w:tc>
          <w:tcPr>
            <w:tcW w:w="1344" w:type="dxa"/>
            <w:shd w:val="clear" w:color="auto" w:fill="FFFFFF" w:themeFill="background1"/>
            <w:noWrap/>
            <w:vAlign w:val="bottom"/>
            <w:hideMark/>
          </w:tcPr>
          <w:p w14:paraId="76798DC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517388.09</w:t>
            </w:r>
          </w:p>
        </w:tc>
        <w:tc>
          <w:tcPr>
            <w:tcW w:w="1541" w:type="dxa"/>
            <w:shd w:val="clear" w:color="auto" w:fill="FFFFFF" w:themeFill="background1"/>
            <w:noWrap/>
            <w:vAlign w:val="bottom"/>
            <w:hideMark/>
          </w:tcPr>
          <w:p w14:paraId="3042281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w:t>
            </w:r>
          </w:p>
        </w:tc>
        <w:tc>
          <w:tcPr>
            <w:tcW w:w="1099" w:type="dxa"/>
            <w:shd w:val="clear" w:color="auto" w:fill="FFFFFF" w:themeFill="background1"/>
            <w:noWrap/>
            <w:vAlign w:val="bottom"/>
            <w:hideMark/>
          </w:tcPr>
          <w:p w14:paraId="75082DB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16857.44</w:t>
            </w:r>
          </w:p>
        </w:tc>
        <w:tc>
          <w:tcPr>
            <w:tcW w:w="1749" w:type="dxa"/>
            <w:shd w:val="clear" w:color="auto" w:fill="FFFFFF" w:themeFill="background1"/>
            <w:noWrap/>
            <w:vAlign w:val="bottom"/>
            <w:hideMark/>
          </w:tcPr>
          <w:p w14:paraId="55CE333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628EF91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093C02F0" w14:textId="77777777" w:rsidTr="00B27804">
        <w:trPr>
          <w:trHeight w:val="264"/>
        </w:trPr>
        <w:tc>
          <w:tcPr>
            <w:tcW w:w="1240" w:type="dxa"/>
            <w:shd w:val="clear" w:color="auto" w:fill="FFFFFF" w:themeFill="background1"/>
            <w:noWrap/>
            <w:vAlign w:val="bottom"/>
            <w:hideMark/>
          </w:tcPr>
          <w:p w14:paraId="011C539D"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TURCIA</w:t>
            </w:r>
          </w:p>
        </w:tc>
        <w:tc>
          <w:tcPr>
            <w:tcW w:w="1609" w:type="dxa"/>
            <w:shd w:val="clear" w:color="auto" w:fill="FFFFFF" w:themeFill="background1"/>
            <w:noWrap/>
            <w:vAlign w:val="bottom"/>
            <w:hideMark/>
          </w:tcPr>
          <w:p w14:paraId="36C0652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411" w:type="dxa"/>
            <w:shd w:val="clear" w:color="auto" w:fill="FFFFFF" w:themeFill="background1"/>
            <w:noWrap/>
            <w:vAlign w:val="bottom"/>
            <w:hideMark/>
          </w:tcPr>
          <w:p w14:paraId="0DF689E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59205.62</w:t>
            </w:r>
          </w:p>
        </w:tc>
        <w:tc>
          <w:tcPr>
            <w:tcW w:w="1577" w:type="dxa"/>
            <w:shd w:val="clear" w:color="auto" w:fill="FFFFFF" w:themeFill="background1"/>
            <w:noWrap/>
            <w:vAlign w:val="bottom"/>
            <w:hideMark/>
          </w:tcPr>
          <w:p w14:paraId="461623D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483" w:type="dxa"/>
            <w:shd w:val="clear" w:color="auto" w:fill="FFFFFF" w:themeFill="background1"/>
            <w:noWrap/>
            <w:vAlign w:val="bottom"/>
            <w:hideMark/>
          </w:tcPr>
          <w:p w14:paraId="5A69A14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59205.62</w:t>
            </w:r>
          </w:p>
        </w:tc>
        <w:tc>
          <w:tcPr>
            <w:tcW w:w="1576" w:type="dxa"/>
            <w:shd w:val="clear" w:color="auto" w:fill="FFFFFF" w:themeFill="background1"/>
            <w:noWrap/>
            <w:vAlign w:val="bottom"/>
            <w:hideMark/>
          </w:tcPr>
          <w:p w14:paraId="215E220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334B2CB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41" w:type="dxa"/>
            <w:shd w:val="clear" w:color="auto" w:fill="FFFFFF" w:themeFill="background1"/>
            <w:noWrap/>
            <w:vAlign w:val="bottom"/>
            <w:hideMark/>
          </w:tcPr>
          <w:p w14:paraId="65FF7D1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156DB01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2C08738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5B45362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6BF1BD70" w14:textId="77777777" w:rsidTr="00B27804">
        <w:trPr>
          <w:trHeight w:val="264"/>
        </w:trPr>
        <w:tc>
          <w:tcPr>
            <w:tcW w:w="1240" w:type="dxa"/>
            <w:shd w:val="clear" w:color="auto" w:fill="FFFFFF" w:themeFill="background1"/>
            <w:noWrap/>
            <w:vAlign w:val="bottom"/>
            <w:hideMark/>
          </w:tcPr>
          <w:p w14:paraId="5E497991"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UCRAINA</w:t>
            </w:r>
          </w:p>
        </w:tc>
        <w:tc>
          <w:tcPr>
            <w:tcW w:w="1609" w:type="dxa"/>
            <w:shd w:val="clear" w:color="auto" w:fill="FFFFFF" w:themeFill="background1"/>
            <w:noWrap/>
            <w:vAlign w:val="bottom"/>
            <w:hideMark/>
          </w:tcPr>
          <w:p w14:paraId="43C99B5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411" w:type="dxa"/>
            <w:shd w:val="clear" w:color="auto" w:fill="FFFFFF" w:themeFill="background1"/>
            <w:noWrap/>
            <w:vAlign w:val="bottom"/>
            <w:hideMark/>
          </w:tcPr>
          <w:p w14:paraId="28597FD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20615.66</w:t>
            </w:r>
          </w:p>
        </w:tc>
        <w:tc>
          <w:tcPr>
            <w:tcW w:w="1577" w:type="dxa"/>
            <w:shd w:val="clear" w:color="auto" w:fill="FFFFFF" w:themeFill="background1"/>
            <w:noWrap/>
            <w:vAlign w:val="bottom"/>
            <w:hideMark/>
          </w:tcPr>
          <w:p w14:paraId="0C8A6B7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83" w:type="dxa"/>
            <w:shd w:val="clear" w:color="auto" w:fill="FFFFFF" w:themeFill="background1"/>
            <w:noWrap/>
            <w:vAlign w:val="bottom"/>
            <w:hideMark/>
          </w:tcPr>
          <w:p w14:paraId="354A9B7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76" w:type="dxa"/>
            <w:shd w:val="clear" w:color="auto" w:fill="FFFFFF" w:themeFill="background1"/>
            <w:noWrap/>
            <w:vAlign w:val="bottom"/>
            <w:hideMark/>
          </w:tcPr>
          <w:p w14:paraId="0A39E94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344" w:type="dxa"/>
            <w:shd w:val="clear" w:color="auto" w:fill="FFFFFF" w:themeFill="background1"/>
            <w:noWrap/>
            <w:vAlign w:val="bottom"/>
            <w:hideMark/>
          </w:tcPr>
          <w:p w14:paraId="6AB767F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20615.66</w:t>
            </w:r>
          </w:p>
        </w:tc>
        <w:tc>
          <w:tcPr>
            <w:tcW w:w="1541" w:type="dxa"/>
            <w:shd w:val="clear" w:color="auto" w:fill="FFFFFF" w:themeFill="background1"/>
            <w:noWrap/>
            <w:vAlign w:val="bottom"/>
            <w:hideMark/>
          </w:tcPr>
          <w:p w14:paraId="191B5AE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497AF4E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0D13445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3730F34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02E3F888" w14:textId="77777777" w:rsidTr="00B27804">
        <w:trPr>
          <w:trHeight w:val="264"/>
        </w:trPr>
        <w:tc>
          <w:tcPr>
            <w:tcW w:w="1240" w:type="dxa"/>
            <w:shd w:val="clear" w:color="auto" w:fill="FFFFFF" w:themeFill="background1"/>
            <w:noWrap/>
            <w:vAlign w:val="bottom"/>
            <w:hideMark/>
          </w:tcPr>
          <w:p w14:paraId="33FD58F1"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UNGARIA</w:t>
            </w:r>
          </w:p>
        </w:tc>
        <w:tc>
          <w:tcPr>
            <w:tcW w:w="1609" w:type="dxa"/>
            <w:shd w:val="clear" w:color="auto" w:fill="FFFFFF" w:themeFill="background1"/>
            <w:noWrap/>
            <w:vAlign w:val="bottom"/>
            <w:hideMark/>
          </w:tcPr>
          <w:p w14:paraId="1949D4B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w:t>
            </w:r>
          </w:p>
        </w:tc>
        <w:tc>
          <w:tcPr>
            <w:tcW w:w="1411" w:type="dxa"/>
            <w:shd w:val="clear" w:color="auto" w:fill="FFFFFF" w:themeFill="background1"/>
            <w:noWrap/>
            <w:vAlign w:val="bottom"/>
            <w:hideMark/>
          </w:tcPr>
          <w:p w14:paraId="40724F0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82275.92</w:t>
            </w:r>
          </w:p>
        </w:tc>
        <w:tc>
          <w:tcPr>
            <w:tcW w:w="1577" w:type="dxa"/>
            <w:shd w:val="clear" w:color="auto" w:fill="FFFFFF" w:themeFill="background1"/>
            <w:noWrap/>
            <w:vAlign w:val="bottom"/>
            <w:hideMark/>
          </w:tcPr>
          <w:p w14:paraId="7C4F154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w:t>
            </w:r>
          </w:p>
        </w:tc>
        <w:tc>
          <w:tcPr>
            <w:tcW w:w="1483" w:type="dxa"/>
            <w:shd w:val="clear" w:color="auto" w:fill="FFFFFF" w:themeFill="background1"/>
            <w:noWrap/>
            <w:vAlign w:val="bottom"/>
            <w:hideMark/>
          </w:tcPr>
          <w:p w14:paraId="00F1805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82275.92</w:t>
            </w:r>
          </w:p>
        </w:tc>
        <w:tc>
          <w:tcPr>
            <w:tcW w:w="1576" w:type="dxa"/>
            <w:shd w:val="clear" w:color="auto" w:fill="FFFFFF" w:themeFill="background1"/>
            <w:noWrap/>
            <w:vAlign w:val="bottom"/>
            <w:hideMark/>
          </w:tcPr>
          <w:p w14:paraId="4BD67BF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7E5EF9E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41" w:type="dxa"/>
            <w:shd w:val="clear" w:color="auto" w:fill="FFFFFF" w:themeFill="background1"/>
            <w:noWrap/>
            <w:vAlign w:val="bottom"/>
            <w:hideMark/>
          </w:tcPr>
          <w:p w14:paraId="1CA57D7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099" w:type="dxa"/>
            <w:shd w:val="clear" w:color="auto" w:fill="FFFFFF" w:themeFill="background1"/>
            <w:noWrap/>
            <w:vAlign w:val="bottom"/>
            <w:hideMark/>
          </w:tcPr>
          <w:p w14:paraId="13CC005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14362B4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7D28020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7A1D4B4B" w14:textId="77777777" w:rsidTr="00B27804">
        <w:trPr>
          <w:trHeight w:val="264"/>
        </w:trPr>
        <w:tc>
          <w:tcPr>
            <w:tcW w:w="1240" w:type="dxa"/>
            <w:shd w:val="clear" w:color="auto" w:fill="FFFFFF" w:themeFill="background1"/>
            <w:noWrap/>
            <w:vAlign w:val="bottom"/>
            <w:hideMark/>
          </w:tcPr>
          <w:p w14:paraId="7EC22F47" w14:textId="77777777" w:rsidR="00A356B8" w:rsidRPr="00736448" w:rsidRDefault="00A356B8" w:rsidP="00A356B8">
            <w:pPr>
              <w:spacing w:after="0" w:line="240" w:lineRule="auto"/>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TOTAL</w:t>
            </w:r>
          </w:p>
        </w:tc>
        <w:tc>
          <w:tcPr>
            <w:tcW w:w="1609" w:type="dxa"/>
            <w:shd w:val="clear" w:color="auto" w:fill="FFFFFF" w:themeFill="background1"/>
            <w:noWrap/>
            <w:vAlign w:val="bottom"/>
            <w:hideMark/>
          </w:tcPr>
          <w:p w14:paraId="7A9CA7A2"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1386</w:t>
            </w:r>
          </w:p>
        </w:tc>
        <w:tc>
          <w:tcPr>
            <w:tcW w:w="1411" w:type="dxa"/>
            <w:shd w:val="clear" w:color="auto" w:fill="FFFFFF" w:themeFill="background1"/>
            <w:noWrap/>
            <w:vAlign w:val="bottom"/>
            <w:hideMark/>
          </w:tcPr>
          <w:p w14:paraId="66D7F7E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26256468.7</w:t>
            </w:r>
          </w:p>
        </w:tc>
        <w:tc>
          <w:tcPr>
            <w:tcW w:w="1577" w:type="dxa"/>
            <w:shd w:val="clear" w:color="auto" w:fill="FFFFFF" w:themeFill="background1"/>
            <w:noWrap/>
            <w:vAlign w:val="bottom"/>
            <w:hideMark/>
          </w:tcPr>
          <w:p w14:paraId="064E0AC0"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1272</w:t>
            </w:r>
          </w:p>
        </w:tc>
        <w:tc>
          <w:tcPr>
            <w:tcW w:w="1483" w:type="dxa"/>
            <w:shd w:val="clear" w:color="auto" w:fill="FFFFFF" w:themeFill="background1"/>
            <w:noWrap/>
            <w:vAlign w:val="bottom"/>
            <w:hideMark/>
          </w:tcPr>
          <w:p w14:paraId="7AFF133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24640355.54</w:t>
            </w:r>
          </w:p>
        </w:tc>
        <w:tc>
          <w:tcPr>
            <w:tcW w:w="1576" w:type="dxa"/>
            <w:shd w:val="clear" w:color="auto" w:fill="FFFFFF" w:themeFill="background1"/>
            <w:noWrap/>
            <w:vAlign w:val="bottom"/>
            <w:hideMark/>
          </w:tcPr>
          <w:p w14:paraId="2690BF9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90</w:t>
            </w:r>
          </w:p>
        </w:tc>
        <w:tc>
          <w:tcPr>
            <w:tcW w:w="1344" w:type="dxa"/>
            <w:shd w:val="clear" w:color="auto" w:fill="FFFFFF" w:themeFill="background1"/>
            <w:noWrap/>
            <w:vAlign w:val="bottom"/>
            <w:hideMark/>
          </w:tcPr>
          <w:p w14:paraId="1A127D31"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1139069.06</w:t>
            </w:r>
          </w:p>
        </w:tc>
        <w:tc>
          <w:tcPr>
            <w:tcW w:w="1541" w:type="dxa"/>
            <w:shd w:val="clear" w:color="auto" w:fill="FFFFFF" w:themeFill="background1"/>
            <w:noWrap/>
            <w:vAlign w:val="bottom"/>
            <w:hideMark/>
          </w:tcPr>
          <w:p w14:paraId="52596DE8"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24</w:t>
            </w:r>
          </w:p>
        </w:tc>
        <w:tc>
          <w:tcPr>
            <w:tcW w:w="1099" w:type="dxa"/>
            <w:shd w:val="clear" w:color="auto" w:fill="FFFFFF" w:themeFill="background1"/>
            <w:noWrap/>
            <w:vAlign w:val="bottom"/>
            <w:hideMark/>
          </w:tcPr>
          <w:p w14:paraId="4BDA447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477044.1</w:t>
            </w:r>
          </w:p>
        </w:tc>
        <w:tc>
          <w:tcPr>
            <w:tcW w:w="1749" w:type="dxa"/>
            <w:shd w:val="clear" w:color="auto" w:fill="FFFFFF" w:themeFill="background1"/>
            <w:noWrap/>
            <w:vAlign w:val="bottom"/>
            <w:hideMark/>
          </w:tcPr>
          <w:p w14:paraId="0F811AEB"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37</w:t>
            </w:r>
          </w:p>
        </w:tc>
        <w:tc>
          <w:tcPr>
            <w:tcW w:w="1491" w:type="dxa"/>
            <w:shd w:val="clear" w:color="auto" w:fill="FFFFFF" w:themeFill="background1"/>
            <w:noWrap/>
            <w:vAlign w:val="bottom"/>
            <w:hideMark/>
          </w:tcPr>
          <w:p w14:paraId="66F257C0"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1655269.56</w:t>
            </w:r>
          </w:p>
        </w:tc>
      </w:tr>
    </w:tbl>
    <w:p w14:paraId="50DE87B0" w14:textId="77777777" w:rsidR="00A356B8" w:rsidRPr="00736448" w:rsidRDefault="00A356B8" w:rsidP="00A356B8">
      <w:pPr>
        <w:shd w:val="clear" w:color="auto" w:fill="FFFFFF"/>
        <w:spacing w:after="0" w:line="276" w:lineRule="auto"/>
        <w:jc w:val="right"/>
        <w:rPr>
          <w:rFonts w:asciiTheme="majorHAnsi" w:eastAsia="Times New Roman" w:hAnsiTheme="majorHAnsi" w:cstheme="majorHAnsi"/>
          <w:sz w:val="24"/>
          <w:szCs w:val="24"/>
          <w:lang w:val="ro-MD"/>
        </w:rPr>
      </w:pPr>
    </w:p>
    <w:p w14:paraId="7FAACADF" w14:textId="2B6E4E8A" w:rsidR="00DF67F0" w:rsidRPr="00736448" w:rsidRDefault="00DF67F0" w:rsidP="00DF67F0">
      <w:pPr>
        <w:pStyle w:val="3"/>
        <w:jc w:val="right"/>
        <w:rPr>
          <w:b/>
          <w:color w:val="000000" w:themeColor="text1"/>
          <w:lang w:val="ro-MD"/>
        </w:rPr>
      </w:pPr>
      <w:r w:rsidRPr="00736448">
        <w:rPr>
          <w:b/>
          <w:color w:val="000000" w:themeColor="text1"/>
          <w:lang w:val="ro-MD"/>
        </w:rPr>
        <w:t>Tabel</w:t>
      </w:r>
      <w:r w:rsidR="00E15964">
        <w:rPr>
          <w:b/>
          <w:color w:val="000000" w:themeColor="text1"/>
          <w:lang w:val="ro-MD"/>
        </w:rPr>
        <w:t>ul</w:t>
      </w:r>
      <w:r w:rsidRPr="00736448">
        <w:rPr>
          <w:b/>
          <w:color w:val="000000" w:themeColor="text1"/>
          <w:lang w:val="ro-MD"/>
        </w:rPr>
        <w:t xml:space="preserve"> nr.3</w:t>
      </w:r>
    </w:p>
    <w:p w14:paraId="4A631EDC" w14:textId="610CB116" w:rsidR="00C57ECC" w:rsidRPr="00736448" w:rsidRDefault="00DF67F0" w:rsidP="00DF67F0">
      <w:pPr>
        <w:spacing w:after="0" w:line="240" w:lineRule="auto"/>
        <w:jc w:val="center"/>
        <w:rPr>
          <w:rFonts w:asciiTheme="majorHAnsi" w:hAnsiTheme="majorHAnsi"/>
          <w:b/>
          <w:sz w:val="24"/>
          <w:szCs w:val="24"/>
          <w:lang w:val="ro-MD"/>
        </w:rPr>
      </w:pPr>
      <w:r w:rsidRPr="00736448">
        <w:rPr>
          <w:rFonts w:asciiTheme="majorHAnsi" w:hAnsiTheme="majorHAnsi"/>
          <w:b/>
          <w:sz w:val="24"/>
          <w:szCs w:val="24"/>
          <w:lang w:val="ro-MD"/>
        </w:rPr>
        <w:t>Informații privind distribuirea pensiilor în baza acordurilor internaționale în anul 2022</w:t>
      </w:r>
    </w:p>
    <w:p w14:paraId="04084621" w14:textId="77777777" w:rsidR="00A356B8" w:rsidRPr="00736448" w:rsidRDefault="00A356B8" w:rsidP="00A356B8">
      <w:pPr>
        <w:shd w:val="clear" w:color="auto" w:fill="FFFFFF"/>
        <w:spacing w:after="0" w:line="276" w:lineRule="auto"/>
        <w:jc w:val="right"/>
        <w:rPr>
          <w:rFonts w:asciiTheme="majorHAnsi" w:eastAsia="Times New Roman" w:hAnsiTheme="majorHAnsi" w:cstheme="majorHAnsi"/>
          <w:sz w:val="24"/>
          <w:szCs w:val="24"/>
          <w:lang w:val="ro-MD"/>
        </w:rPr>
      </w:pPr>
    </w:p>
    <w:tbl>
      <w:tblPr>
        <w:tblW w:w="16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263"/>
        <w:gridCol w:w="1557"/>
        <w:gridCol w:w="1463"/>
        <w:gridCol w:w="1577"/>
        <w:gridCol w:w="1483"/>
        <w:gridCol w:w="1576"/>
        <w:gridCol w:w="1344"/>
        <w:gridCol w:w="1495"/>
        <w:gridCol w:w="1145"/>
        <w:gridCol w:w="1749"/>
        <w:gridCol w:w="1491"/>
      </w:tblGrid>
      <w:tr w:rsidR="00A356B8" w:rsidRPr="00B7675F" w14:paraId="45716359" w14:textId="77777777" w:rsidTr="00B27804">
        <w:trPr>
          <w:trHeight w:val="384"/>
        </w:trPr>
        <w:tc>
          <w:tcPr>
            <w:tcW w:w="1263" w:type="dxa"/>
            <w:shd w:val="clear" w:color="auto" w:fill="FFFFFF" w:themeFill="background1"/>
            <w:noWrap/>
            <w:vAlign w:val="bottom"/>
            <w:hideMark/>
          </w:tcPr>
          <w:p w14:paraId="4C7715A3"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 </w:t>
            </w:r>
          </w:p>
        </w:tc>
        <w:tc>
          <w:tcPr>
            <w:tcW w:w="3020" w:type="dxa"/>
            <w:gridSpan w:val="2"/>
            <w:shd w:val="clear" w:color="auto" w:fill="FFFFFF" w:themeFill="background1"/>
            <w:noWrap/>
            <w:vAlign w:val="center"/>
            <w:hideMark/>
          </w:tcPr>
          <w:p w14:paraId="0F85EA28"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Total 2022</w:t>
            </w:r>
          </w:p>
        </w:tc>
        <w:tc>
          <w:tcPr>
            <w:tcW w:w="3060" w:type="dxa"/>
            <w:gridSpan w:val="2"/>
            <w:shd w:val="clear" w:color="auto" w:fill="FFFFFF" w:themeFill="background1"/>
            <w:noWrap/>
            <w:vAlign w:val="center"/>
            <w:hideMark/>
          </w:tcPr>
          <w:p w14:paraId="1F74AF24"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pentru limită de vârstă</w:t>
            </w:r>
          </w:p>
        </w:tc>
        <w:tc>
          <w:tcPr>
            <w:tcW w:w="2920" w:type="dxa"/>
            <w:gridSpan w:val="2"/>
            <w:shd w:val="clear" w:color="auto" w:fill="FFFFFF" w:themeFill="background1"/>
            <w:noWrap/>
            <w:vAlign w:val="center"/>
            <w:hideMark/>
          </w:tcPr>
          <w:p w14:paraId="5A6FAACE"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de dizabilitate</w:t>
            </w:r>
          </w:p>
        </w:tc>
        <w:tc>
          <w:tcPr>
            <w:tcW w:w="2640" w:type="dxa"/>
            <w:gridSpan w:val="2"/>
            <w:shd w:val="clear" w:color="auto" w:fill="FFFFFF" w:themeFill="background1"/>
            <w:noWrap/>
            <w:vAlign w:val="center"/>
            <w:hideMark/>
          </w:tcPr>
          <w:p w14:paraId="08F8798E"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de urmaș</w:t>
            </w:r>
          </w:p>
        </w:tc>
        <w:tc>
          <w:tcPr>
            <w:tcW w:w="3240" w:type="dxa"/>
            <w:gridSpan w:val="2"/>
            <w:shd w:val="clear" w:color="auto" w:fill="FFFFFF" w:themeFill="background1"/>
            <w:noWrap/>
            <w:vAlign w:val="center"/>
            <w:hideMark/>
          </w:tcPr>
          <w:p w14:paraId="3F5BF27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Pensii care se transferă în RM</w:t>
            </w:r>
          </w:p>
        </w:tc>
      </w:tr>
      <w:tr w:rsidR="00A356B8" w:rsidRPr="00B7675F" w14:paraId="766B5788" w14:textId="77777777" w:rsidTr="00B27804">
        <w:trPr>
          <w:trHeight w:val="276"/>
        </w:trPr>
        <w:tc>
          <w:tcPr>
            <w:tcW w:w="1263" w:type="dxa"/>
            <w:shd w:val="clear" w:color="auto" w:fill="FFFFFF" w:themeFill="background1"/>
            <w:noWrap/>
            <w:vAlign w:val="bottom"/>
            <w:hideMark/>
          </w:tcPr>
          <w:p w14:paraId="29FD15F0" w14:textId="77777777" w:rsidR="00A356B8" w:rsidRPr="00736448" w:rsidRDefault="00A356B8" w:rsidP="00A356B8">
            <w:pPr>
              <w:spacing w:after="0" w:line="240" w:lineRule="auto"/>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ȚARA</w:t>
            </w:r>
          </w:p>
        </w:tc>
        <w:tc>
          <w:tcPr>
            <w:tcW w:w="1557" w:type="dxa"/>
            <w:shd w:val="clear" w:color="auto" w:fill="FFFFFF" w:themeFill="background1"/>
            <w:noWrap/>
            <w:vAlign w:val="bottom"/>
            <w:hideMark/>
          </w:tcPr>
          <w:p w14:paraId="6D3F726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63" w:type="dxa"/>
            <w:shd w:val="clear" w:color="auto" w:fill="FFFFFF" w:themeFill="background1"/>
            <w:noWrap/>
            <w:vAlign w:val="bottom"/>
            <w:hideMark/>
          </w:tcPr>
          <w:p w14:paraId="3614A792"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577" w:type="dxa"/>
            <w:shd w:val="clear" w:color="auto" w:fill="FFFFFF" w:themeFill="background1"/>
            <w:noWrap/>
            <w:vAlign w:val="bottom"/>
            <w:hideMark/>
          </w:tcPr>
          <w:p w14:paraId="516D50E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83" w:type="dxa"/>
            <w:shd w:val="clear" w:color="auto" w:fill="FFFFFF" w:themeFill="background1"/>
            <w:noWrap/>
            <w:vAlign w:val="bottom"/>
            <w:hideMark/>
          </w:tcPr>
          <w:p w14:paraId="69C55E9E"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576" w:type="dxa"/>
            <w:shd w:val="clear" w:color="auto" w:fill="FFFFFF" w:themeFill="background1"/>
            <w:noWrap/>
            <w:vAlign w:val="bottom"/>
            <w:hideMark/>
          </w:tcPr>
          <w:p w14:paraId="53CBD626"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344" w:type="dxa"/>
            <w:shd w:val="clear" w:color="auto" w:fill="FFFFFF" w:themeFill="background1"/>
            <w:noWrap/>
            <w:vAlign w:val="bottom"/>
            <w:hideMark/>
          </w:tcPr>
          <w:p w14:paraId="4DE34838"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495" w:type="dxa"/>
            <w:shd w:val="clear" w:color="auto" w:fill="FFFFFF" w:themeFill="background1"/>
            <w:noWrap/>
            <w:vAlign w:val="bottom"/>
            <w:hideMark/>
          </w:tcPr>
          <w:p w14:paraId="23567313"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145" w:type="dxa"/>
            <w:shd w:val="clear" w:color="auto" w:fill="FFFFFF" w:themeFill="background1"/>
            <w:noWrap/>
            <w:vAlign w:val="bottom"/>
            <w:hideMark/>
          </w:tcPr>
          <w:p w14:paraId="46895480"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c>
          <w:tcPr>
            <w:tcW w:w="1749" w:type="dxa"/>
            <w:shd w:val="clear" w:color="auto" w:fill="FFFFFF" w:themeFill="background1"/>
            <w:noWrap/>
            <w:vAlign w:val="bottom"/>
            <w:hideMark/>
          </w:tcPr>
          <w:p w14:paraId="1D7B9FF9"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Nr. beneficiari</w:t>
            </w:r>
          </w:p>
        </w:tc>
        <w:tc>
          <w:tcPr>
            <w:tcW w:w="1491" w:type="dxa"/>
            <w:shd w:val="clear" w:color="auto" w:fill="FFFFFF" w:themeFill="background1"/>
            <w:noWrap/>
            <w:vAlign w:val="bottom"/>
            <w:hideMark/>
          </w:tcPr>
          <w:p w14:paraId="2AB4D565" w14:textId="77777777" w:rsidR="00A356B8" w:rsidRPr="00736448" w:rsidRDefault="00A356B8" w:rsidP="00A356B8">
            <w:pPr>
              <w:spacing w:after="0" w:line="240" w:lineRule="auto"/>
              <w:jc w:val="center"/>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Suma, lei</w:t>
            </w:r>
          </w:p>
        </w:tc>
      </w:tr>
      <w:tr w:rsidR="00A356B8" w:rsidRPr="00B7675F" w14:paraId="3046A58D" w14:textId="77777777" w:rsidTr="00B27804">
        <w:trPr>
          <w:trHeight w:val="264"/>
        </w:trPr>
        <w:tc>
          <w:tcPr>
            <w:tcW w:w="1263" w:type="dxa"/>
            <w:shd w:val="clear" w:color="auto" w:fill="FFFFFF" w:themeFill="background1"/>
            <w:noWrap/>
            <w:vAlign w:val="bottom"/>
            <w:hideMark/>
          </w:tcPr>
          <w:p w14:paraId="0F0A066D"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AUSTRIA</w:t>
            </w:r>
          </w:p>
        </w:tc>
        <w:tc>
          <w:tcPr>
            <w:tcW w:w="1557" w:type="dxa"/>
            <w:shd w:val="clear" w:color="auto" w:fill="FFFFFF" w:themeFill="background1"/>
            <w:noWrap/>
            <w:vAlign w:val="bottom"/>
            <w:hideMark/>
          </w:tcPr>
          <w:p w14:paraId="0EA54D8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52</w:t>
            </w:r>
          </w:p>
        </w:tc>
        <w:tc>
          <w:tcPr>
            <w:tcW w:w="1463" w:type="dxa"/>
            <w:shd w:val="clear" w:color="auto" w:fill="FFFFFF" w:themeFill="background1"/>
            <w:noWrap/>
            <w:vAlign w:val="bottom"/>
            <w:hideMark/>
          </w:tcPr>
          <w:p w14:paraId="769CFEC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1181141.37</w:t>
            </w:r>
          </w:p>
        </w:tc>
        <w:tc>
          <w:tcPr>
            <w:tcW w:w="1577" w:type="dxa"/>
            <w:shd w:val="clear" w:color="auto" w:fill="FFFFFF" w:themeFill="background1"/>
            <w:noWrap/>
            <w:vAlign w:val="bottom"/>
            <w:hideMark/>
          </w:tcPr>
          <w:p w14:paraId="7FE6E8F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48</w:t>
            </w:r>
          </w:p>
        </w:tc>
        <w:tc>
          <w:tcPr>
            <w:tcW w:w="1483" w:type="dxa"/>
            <w:shd w:val="clear" w:color="auto" w:fill="FFFFFF" w:themeFill="background1"/>
            <w:noWrap/>
            <w:vAlign w:val="bottom"/>
            <w:hideMark/>
          </w:tcPr>
          <w:p w14:paraId="588523E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1125610.36</w:t>
            </w:r>
          </w:p>
        </w:tc>
        <w:tc>
          <w:tcPr>
            <w:tcW w:w="1576" w:type="dxa"/>
            <w:shd w:val="clear" w:color="auto" w:fill="FFFFFF" w:themeFill="background1"/>
            <w:noWrap/>
            <w:vAlign w:val="bottom"/>
            <w:hideMark/>
          </w:tcPr>
          <w:p w14:paraId="06BE2CD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w:t>
            </w:r>
          </w:p>
        </w:tc>
        <w:tc>
          <w:tcPr>
            <w:tcW w:w="1344" w:type="dxa"/>
            <w:shd w:val="clear" w:color="auto" w:fill="FFFFFF" w:themeFill="background1"/>
            <w:noWrap/>
            <w:vAlign w:val="bottom"/>
            <w:hideMark/>
          </w:tcPr>
          <w:p w14:paraId="48CB974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55531.01</w:t>
            </w:r>
          </w:p>
        </w:tc>
        <w:tc>
          <w:tcPr>
            <w:tcW w:w="1495" w:type="dxa"/>
            <w:shd w:val="clear" w:color="auto" w:fill="FFFFFF" w:themeFill="background1"/>
            <w:noWrap/>
            <w:vAlign w:val="bottom"/>
            <w:hideMark/>
          </w:tcPr>
          <w:p w14:paraId="4577C18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1E485B7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58E9D4F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1D9D22A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4F72FCA6" w14:textId="77777777" w:rsidTr="00B27804">
        <w:trPr>
          <w:trHeight w:val="264"/>
        </w:trPr>
        <w:tc>
          <w:tcPr>
            <w:tcW w:w="1263" w:type="dxa"/>
            <w:shd w:val="clear" w:color="auto" w:fill="FFFFFF" w:themeFill="background1"/>
            <w:noWrap/>
            <w:vAlign w:val="bottom"/>
            <w:hideMark/>
          </w:tcPr>
          <w:p w14:paraId="2149E000"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BELARUS</w:t>
            </w:r>
          </w:p>
        </w:tc>
        <w:tc>
          <w:tcPr>
            <w:tcW w:w="1557" w:type="dxa"/>
            <w:shd w:val="clear" w:color="auto" w:fill="FFFFFF" w:themeFill="background1"/>
            <w:noWrap/>
            <w:vAlign w:val="bottom"/>
            <w:hideMark/>
          </w:tcPr>
          <w:p w14:paraId="2A23284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66</w:t>
            </w:r>
          </w:p>
        </w:tc>
        <w:tc>
          <w:tcPr>
            <w:tcW w:w="1463" w:type="dxa"/>
            <w:shd w:val="clear" w:color="auto" w:fill="FFFFFF" w:themeFill="background1"/>
            <w:noWrap/>
            <w:vAlign w:val="bottom"/>
            <w:hideMark/>
          </w:tcPr>
          <w:p w14:paraId="21CE1D0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994269.21</w:t>
            </w:r>
          </w:p>
        </w:tc>
        <w:tc>
          <w:tcPr>
            <w:tcW w:w="1577" w:type="dxa"/>
            <w:shd w:val="clear" w:color="auto" w:fill="FFFFFF" w:themeFill="background1"/>
            <w:noWrap/>
            <w:vAlign w:val="bottom"/>
            <w:hideMark/>
          </w:tcPr>
          <w:p w14:paraId="7B3CE74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60</w:t>
            </w:r>
          </w:p>
        </w:tc>
        <w:tc>
          <w:tcPr>
            <w:tcW w:w="1483" w:type="dxa"/>
            <w:shd w:val="clear" w:color="auto" w:fill="FFFFFF" w:themeFill="background1"/>
            <w:noWrap/>
            <w:vAlign w:val="bottom"/>
            <w:hideMark/>
          </w:tcPr>
          <w:p w14:paraId="6A81055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885446.66</w:t>
            </w:r>
          </w:p>
        </w:tc>
        <w:tc>
          <w:tcPr>
            <w:tcW w:w="1576" w:type="dxa"/>
            <w:shd w:val="clear" w:color="auto" w:fill="FFFFFF" w:themeFill="background1"/>
            <w:noWrap/>
            <w:vAlign w:val="bottom"/>
            <w:hideMark/>
          </w:tcPr>
          <w:p w14:paraId="72B72C0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w:t>
            </w:r>
          </w:p>
        </w:tc>
        <w:tc>
          <w:tcPr>
            <w:tcW w:w="1344" w:type="dxa"/>
            <w:shd w:val="clear" w:color="auto" w:fill="FFFFFF" w:themeFill="background1"/>
            <w:noWrap/>
            <w:vAlign w:val="bottom"/>
            <w:hideMark/>
          </w:tcPr>
          <w:p w14:paraId="7820FCA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57072.77</w:t>
            </w:r>
          </w:p>
        </w:tc>
        <w:tc>
          <w:tcPr>
            <w:tcW w:w="1495" w:type="dxa"/>
            <w:shd w:val="clear" w:color="auto" w:fill="FFFFFF" w:themeFill="background1"/>
            <w:noWrap/>
            <w:vAlign w:val="bottom"/>
            <w:hideMark/>
          </w:tcPr>
          <w:p w14:paraId="248A8E0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w:t>
            </w:r>
          </w:p>
        </w:tc>
        <w:tc>
          <w:tcPr>
            <w:tcW w:w="1145" w:type="dxa"/>
            <w:shd w:val="clear" w:color="auto" w:fill="FFFFFF" w:themeFill="background1"/>
            <w:noWrap/>
            <w:vAlign w:val="bottom"/>
            <w:hideMark/>
          </w:tcPr>
          <w:p w14:paraId="7277954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51749.78</w:t>
            </w:r>
          </w:p>
        </w:tc>
        <w:tc>
          <w:tcPr>
            <w:tcW w:w="1749" w:type="dxa"/>
            <w:shd w:val="clear" w:color="auto" w:fill="FFFFFF" w:themeFill="background1"/>
            <w:noWrap/>
            <w:vAlign w:val="bottom"/>
            <w:hideMark/>
          </w:tcPr>
          <w:p w14:paraId="70A5E25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w:t>
            </w:r>
          </w:p>
        </w:tc>
        <w:tc>
          <w:tcPr>
            <w:tcW w:w="1491" w:type="dxa"/>
            <w:shd w:val="clear" w:color="auto" w:fill="FFFFFF" w:themeFill="background1"/>
            <w:noWrap/>
            <w:vAlign w:val="bottom"/>
            <w:hideMark/>
          </w:tcPr>
          <w:p w14:paraId="26E8E3A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171412.09</w:t>
            </w:r>
          </w:p>
        </w:tc>
      </w:tr>
      <w:tr w:rsidR="00A356B8" w:rsidRPr="00B7675F" w14:paraId="2A0CF933" w14:textId="77777777" w:rsidTr="00B27804">
        <w:trPr>
          <w:trHeight w:val="264"/>
        </w:trPr>
        <w:tc>
          <w:tcPr>
            <w:tcW w:w="1263" w:type="dxa"/>
            <w:shd w:val="clear" w:color="auto" w:fill="FFFFFF" w:themeFill="background1"/>
            <w:noWrap/>
            <w:vAlign w:val="bottom"/>
            <w:hideMark/>
          </w:tcPr>
          <w:p w14:paraId="09534ADE"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BELGIA</w:t>
            </w:r>
          </w:p>
        </w:tc>
        <w:tc>
          <w:tcPr>
            <w:tcW w:w="1557" w:type="dxa"/>
            <w:shd w:val="clear" w:color="auto" w:fill="FFFFFF" w:themeFill="background1"/>
            <w:noWrap/>
            <w:vAlign w:val="bottom"/>
            <w:hideMark/>
          </w:tcPr>
          <w:p w14:paraId="5B6BE2F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463" w:type="dxa"/>
            <w:shd w:val="clear" w:color="auto" w:fill="FFFFFF" w:themeFill="background1"/>
            <w:noWrap/>
            <w:vAlign w:val="bottom"/>
            <w:hideMark/>
          </w:tcPr>
          <w:p w14:paraId="54EF000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41709.77</w:t>
            </w:r>
          </w:p>
        </w:tc>
        <w:tc>
          <w:tcPr>
            <w:tcW w:w="1577" w:type="dxa"/>
            <w:shd w:val="clear" w:color="auto" w:fill="FFFFFF" w:themeFill="background1"/>
            <w:noWrap/>
            <w:vAlign w:val="bottom"/>
            <w:hideMark/>
          </w:tcPr>
          <w:p w14:paraId="6FE13F1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w:t>
            </w:r>
          </w:p>
        </w:tc>
        <w:tc>
          <w:tcPr>
            <w:tcW w:w="1483" w:type="dxa"/>
            <w:shd w:val="clear" w:color="auto" w:fill="FFFFFF" w:themeFill="background1"/>
            <w:noWrap/>
            <w:vAlign w:val="bottom"/>
            <w:hideMark/>
          </w:tcPr>
          <w:p w14:paraId="2F3E762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18620.97</w:t>
            </w:r>
          </w:p>
        </w:tc>
        <w:tc>
          <w:tcPr>
            <w:tcW w:w="1576" w:type="dxa"/>
            <w:shd w:val="clear" w:color="auto" w:fill="FFFFFF" w:themeFill="background1"/>
            <w:noWrap/>
            <w:vAlign w:val="bottom"/>
            <w:hideMark/>
          </w:tcPr>
          <w:p w14:paraId="0A47888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344" w:type="dxa"/>
            <w:shd w:val="clear" w:color="auto" w:fill="FFFFFF" w:themeFill="background1"/>
            <w:noWrap/>
            <w:vAlign w:val="bottom"/>
            <w:hideMark/>
          </w:tcPr>
          <w:p w14:paraId="754CFB5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23088.8</w:t>
            </w:r>
          </w:p>
        </w:tc>
        <w:tc>
          <w:tcPr>
            <w:tcW w:w="1495" w:type="dxa"/>
            <w:shd w:val="clear" w:color="auto" w:fill="FFFFFF" w:themeFill="background1"/>
            <w:noWrap/>
            <w:vAlign w:val="bottom"/>
            <w:hideMark/>
          </w:tcPr>
          <w:p w14:paraId="2552BB6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71EB476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6A206D4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790E061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59417CCA" w14:textId="77777777" w:rsidTr="00B27804">
        <w:trPr>
          <w:trHeight w:val="264"/>
        </w:trPr>
        <w:tc>
          <w:tcPr>
            <w:tcW w:w="1263" w:type="dxa"/>
            <w:shd w:val="clear" w:color="auto" w:fill="FFFFFF" w:themeFill="background1"/>
            <w:noWrap/>
            <w:vAlign w:val="bottom"/>
            <w:hideMark/>
          </w:tcPr>
          <w:p w14:paraId="4EC0E6C7"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BULGARIA</w:t>
            </w:r>
          </w:p>
        </w:tc>
        <w:tc>
          <w:tcPr>
            <w:tcW w:w="1557" w:type="dxa"/>
            <w:shd w:val="clear" w:color="auto" w:fill="FFFFFF" w:themeFill="background1"/>
            <w:noWrap/>
            <w:vAlign w:val="bottom"/>
            <w:hideMark/>
          </w:tcPr>
          <w:p w14:paraId="5962448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139</w:t>
            </w:r>
          </w:p>
        </w:tc>
        <w:tc>
          <w:tcPr>
            <w:tcW w:w="1463" w:type="dxa"/>
            <w:shd w:val="clear" w:color="auto" w:fill="FFFFFF" w:themeFill="background1"/>
            <w:noWrap/>
            <w:vAlign w:val="bottom"/>
            <w:hideMark/>
          </w:tcPr>
          <w:p w14:paraId="29EC8A0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2569816.76</w:t>
            </w:r>
          </w:p>
        </w:tc>
        <w:tc>
          <w:tcPr>
            <w:tcW w:w="1577" w:type="dxa"/>
            <w:shd w:val="clear" w:color="auto" w:fill="FFFFFF" w:themeFill="background1"/>
            <w:noWrap/>
            <w:vAlign w:val="bottom"/>
            <w:hideMark/>
          </w:tcPr>
          <w:p w14:paraId="7278CA5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123</w:t>
            </w:r>
          </w:p>
        </w:tc>
        <w:tc>
          <w:tcPr>
            <w:tcW w:w="1483" w:type="dxa"/>
            <w:shd w:val="clear" w:color="auto" w:fill="FFFFFF" w:themeFill="background1"/>
            <w:noWrap/>
            <w:vAlign w:val="bottom"/>
            <w:hideMark/>
          </w:tcPr>
          <w:p w14:paraId="1EF87A7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2362516.7</w:t>
            </w:r>
          </w:p>
        </w:tc>
        <w:tc>
          <w:tcPr>
            <w:tcW w:w="1576" w:type="dxa"/>
            <w:shd w:val="clear" w:color="auto" w:fill="FFFFFF" w:themeFill="background1"/>
            <w:noWrap/>
            <w:vAlign w:val="bottom"/>
            <w:hideMark/>
          </w:tcPr>
          <w:p w14:paraId="3D7E62D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w:t>
            </w:r>
          </w:p>
        </w:tc>
        <w:tc>
          <w:tcPr>
            <w:tcW w:w="1344" w:type="dxa"/>
            <w:shd w:val="clear" w:color="auto" w:fill="FFFFFF" w:themeFill="background1"/>
            <w:noWrap/>
            <w:vAlign w:val="bottom"/>
            <w:hideMark/>
          </w:tcPr>
          <w:p w14:paraId="34A1F25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115718.8</w:t>
            </w:r>
          </w:p>
        </w:tc>
        <w:tc>
          <w:tcPr>
            <w:tcW w:w="1495" w:type="dxa"/>
            <w:shd w:val="clear" w:color="auto" w:fill="FFFFFF" w:themeFill="background1"/>
            <w:noWrap/>
            <w:vAlign w:val="bottom"/>
            <w:hideMark/>
          </w:tcPr>
          <w:p w14:paraId="43DB14E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145" w:type="dxa"/>
            <w:shd w:val="clear" w:color="auto" w:fill="FFFFFF" w:themeFill="background1"/>
            <w:noWrap/>
            <w:vAlign w:val="bottom"/>
            <w:hideMark/>
          </w:tcPr>
          <w:p w14:paraId="46BEA4B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91581.26</w:t>
            </w:r>
          </w:p>
        </w:tc>
        <w:tc>
          <w:tcPr>
            <w:tcW w:w="1749" w:type="dxa"/>
            <w:shd w:val="clear" w:color="auto" w:fill="FFFFFF" w:themeFill="background1"/>
            <w:noWrap/>
            <w:vAlign w:val="bottom"/>
            <w:hideMark/>
          </w:tcPr>
          <w:p w14:paraId="1AC1A11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w:t>
            </w:r>
          </w:p>
        </w:tc>
        <w:tc>
          <w:tcPr>
            <w:tcW w:w="1491" w:type="dxa"/>
            <w:shd w:val="clear" w:color="auto" w:fill="FFFFFF" w:themeFill="background1"/>
            <w:noWrap/>
            <w:vAlign w:val="bottom"/>
            <w:hideMark/>
          </w:tcPr>
          <w:p w14:paraId="114D304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213963.42</w:t>
            </w:r>
          </w:p>
        </w:tc>
      </w:tr>
      <w:tr w:rsidR="00A356B8" w:rsidRPr="00B7675F" w14:paraId="1A13FB97" w14:textId="77777777" w:rsidTr="00B27804">
        <w:trPr>
          <w:trHeight w:val="264"/>
        </w:trPr>
        <w:tc>
          <w:tcPr>
            <w:tcW w:w="1263" w:type="dxa"/>
            <w:shd w:val="clear" w:color="auto" w:fill="FFFFFF" w:themeFill="background1"/>
            <w:noWrap/>
            <w:vAlign w:val="bottom"/>
            <w:hideMark/>
          </w:tcPr>
          <w:p w14:paraId="405D344A"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CEHIA</w:t>
            </w:r>
          </w:p>
        </w:tc>
        <w:tc>
          <w:tcPr>
            <w:tcW w:w="1557" w:type="dxa"/>
            <w:shd w:val="clear" w:color="auto" w:fill="FFFFFF" w:themeFill="background1"/>
            <w:noWrap/>
            <w:vAlign w:val="bottom"/>
            <w:hideMark/>
          </w:tcPr>
          <w:p w14:paraId="52ABCBB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92</w:t>
            </w:r>
          </w:p>
        </w:tc>
        <w:tc>
          <w:tcPr>
            <w:tcW w:w="1463" w:type="dxa"/>
            <w:shd w:val="clear" w:color="auto" w:fill="FFFFFF" w:themeFill="background1"/>
            <w:noWrap/>
            <w:vAlign w:val="bottom"/>
            <w:hideMark/>
          </w:tcPr>
          <w:p w14:paraId="23B39E6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1797182.7</w:t>
            </w:r>
          </w:p>
        </w:tc>
        <w:tc>
          <w:tcPr>
            <w:tcW w:w="1577" w:type="dxa"/>
            <w:shd w:val="clear" w:color="auto" w:fill="FFFFFF" w:themeFill="background1"/>
            <w:noWrap/>
            <w:vAlign w:val="bottom"/>
            <w:hideMark/>
          </w:tcPr>
          <w:p w14:paraId="3CD0844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72</w:t>
            </w:r>
          </w:p>
        </w:tc>
        <w:tc>
          <w:tcPr>
            <w:tcW w:w="1483" w:type="dxa"/>
            <w:shd w:val="clear" w:color="auto" w:fill="FFFFFF" w:themeFill="background1"/>
            <w:noWrap/>
            <w:vAlign w:val="bottom"/>
            <w:hideMark/>
          </w:tcPr>
          <w:p w14:paraId="266E52E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1453529.19</w:t>
            </w:r>
          </w:p>
        </w:tc>
        <w:tc>
          <w:tcPr>
            <w:tcW w:w="1576" w:type="dxa"/>
            <w:shd w:val="clear" w:color="auto" w:fill="FFFFFF" w:themeFill="background1"/>
            <w:noWrap/>
            <w:vAlign w:val="bottom"/>
            <w:hideMark/>
          </w:tcPr>
          <w:p w14:paraId="716E747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19</w:t>
            </w:r>
          </w:p>
        </w:tc>
        <w:tc>
          <w:tcPr>
            <w:tcW w:w="1344" w:type="dxa"/>
            <w:shd w:val="clear" w:color="auto" w:fill="FFFFFF" w:themeFill="background1"/>
            <w:noWrap/>
            <w:vAlign w:val="bottom"/>
            <w:hideMark/>
          </w:tcPr>
          <w:p w14:paraId="3576638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302696.3</w:t>
            </w:r>
          </w:p>
        </w:tc>
        <w:tc>
          <w:tcPr>
            <w:tcW w:w="1495" w:type="dxa"/>
            <w:shd w:val="clear" w:color="auto" w:fill="FFFFFF" w:themeFill="background1"/>
            <w:noWrap/>
            <w:vAlign w:val="bottom"/>
            <w:hideMark/>
          </w:tcPr>
          <w:p w14:paraId="19D40BE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145" w:type="dxa"/>
            <w:shd w:val="clear" w:color="auto" w:fill="FFFFFF" w:themeFill="background1"/>
            <w:noWrap/>
            <w:vAlign w:val="bottom"/>
            <w:hideMark/>
          </w:tcPr>
          <w:p w14:paraId="76DA688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40957.21</w:t>
            </w:r>
          </w:p>
        </w:tc>
        <w:tc>
          <w:tcPr>
            <w:tcW w:w="1749" w:type="dxa"/>
            <w:shd w:val="clear" w:color="auto" w:fill="FFFFFF" w:themeFill="background1"/>
            <w:noWrap/>
            <w:vAlign w:val="bottom"/>
            <w:hideMark/>
          </w:tcPr>
          <w:p w14:paraId="33E9C0D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2996D27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73CB5515" w14:textId="77777777" w:rsidTr="00B27804">
        <w:trPr>
          <w:trHeight w:val="264"/>
        </w:trPr>
        <w:tc>
          <w:tcPr>
            <w:tcW w:w="1263" w:type="dxa"/>
            <w:shd w:val="clear" w:color="auto" w:fill="FFFFFF" w:themeFill="background1"/>
            <w:noWrap/>
            <w:vAlign w:val="bottom"/>
            <w:hideMark/>
          </w:tcPr>
          <w:p w14:paraId="0BA78EB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ESTONIA</w:t>
            </w:r>
          </w:p>
        </w:tc>
        <w:tc>
          <w:tcPr>
            <w:tcW w:w="1557" w:type="dxa"/>
            <w:shd w:val="clear" w:color="auto" w:fill="FFFFFF" w:themeFill="background1"/>
            <w:noWrap/>
            <w:vAlign w:val="bottom"/>
            <w:hideMark/>
          </w:tcPr>
          <w:p w14:paraId="361B11E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w:t>
            </w:r>
          </w:p>
        </w:tc>
        <w:tc>
          <w:tcPr>
            <w:tcW w:w="1463" w:type="dxa"/>
            <w:shd w:val="clear" w:color="auto" w:fill="FFFFFF" w:themeFill="background1"/>
            <w:noWrap/>
            <w:vAlign w:val="bottom"/>
            <w:hideMark/>
          </w:tcPr>
          <w:p w14:paraId="478A4AF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206034.33</w:t>
            </w:r>
          </w:p>
        </w:tc>
        <w:tc>
          <w:tcPr>
            <w:tcW w:w="1577" w:type="dxa"/>
            <w:shd w:val="clear" w:color="auto" w:fill="FFFFFF" w:themeFill="background1"/>
            <w:noWrap/>
            <w:vAlign w:val="bottom"/>
            <w:hideMark/>
          </w:tcPr>
          <w:p w14:paraId="1F6BD31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10</w:t>
            </w:r>
          </w:p>
        </w:tc>
        <w:tc>
          <w:tcPr>
            <w:tcW w:w="1483" w:type="dxa"/>
            <w:shd w:val="clear" w:color="auto" w:fill="FFFFFF" w:themeFill="background1"/>
            <w:noWrap/>
            <w:vAlign w:val="bottom"/>
            <w:hideMark/>
          </w:tcPr>
          <w:p w14:paraId="068D9A2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206034.33</w:t>
            </w:r>
          </w:p>
        </w:tc>
        <w:tc>
          <w:tcPr>
            <w:tcW w:w="1576" w:type="dxa"/>
            <w:shd w:val="clear" w:color="auto" w:fill="FFFFFF" w:themeFill="background1"/>
            <w:noWrap/>
            <w:vAlign w:val="bottom"/>
            <w:hideMark/>
          </w:tcPr>
          <w:p w14:paraId="0160B07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755F030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5903DAB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03E991B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3287018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w:t>
            </w:r>
          </w:p>
        </w:tc>
        <w:tc>
          <w:tcPr>
            <w:tcW w:w="1491" w:type="dxa"/>
            <w:shd w:val="clear" w:color="auto" w:fill="FFFFFF" w:themeFill="background1"/>
            <w:noWrap/>
            <w:vAlign w:val="bottom"/>
            <w:hideMark/>
          </w:tcPr>
          <w:p w14:paraId="005263C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973846.4</w:t>
            </w:r>
          </w:p>
        </w:tc>
      </w:tr>
      <w:tr w:rsidR="00A356B8" w:rsidRPr="00B7675F" w14:paraId="7521459A" w14:textId="77777777" w:rsidTr="00B27804">
        <w:trPr>
          <w:trHeight w:val="264"/>
        </w:trPr>
        <w:tc>
          <w:tcPr>
            <w:tcW w:w="1263" w:type="dxa"/>
            <w:shd w:val="clear" w:color="auto" w:fill="FFFFFF" w:themeFill="background1"/>
            <w:noWrap/>
            <w:vAlign w:val="bottom"/>
            <w:hideMark/>
          </w:tcPr>
          <w:p w14:paraId="5A8C0DE0"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GERMANIA</w:t>
            </w:r>
          </w:p>
        </w:tc>
        <w:tc>
          <w:tcPr>
            <w:tcW w:w="1557" w:type="dxa"/>
            <w:shd w:val="clear" w:color="auto" w:fill="FFFFFF" w:themeFill="background1"/>
            <w:noWrap/>
            <w:vAlign w:val="bottom"/>
            <w:hideMark/>
          </w:tcPr>
          <w:p w14:paraId="49FD2D5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757</w:t>
            </w:r>
          </w:p>
        </w:tc>
        <w:tc>
          <w:tcPr>
            <w:tcW w:w="1463" w:type="dxa"/>
            <w:shd w:val="clear" w:color="auto" w:fill="FFFFFF" w:themeFill="background1"/>
            <w:noWrap/>
            <w:vAlign w:val="bottom"/>
            <w:hideMark/>
          </w:tcPr>
          <w:p w14:paraId="10C1D3E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18802194.33</w:t>
            </w:r>
          </w:p>
        </w:tc>
        <w:tc>
          <w:tcPr>
            <w:tcW w:w="1577" w:type="dxa"/>
            <w:shd w:val="clear" w:color="auto" w:fill="FFFFFF" w:themeFill="background1"/>
            <w:noWrap/>
            <w:vAlign w:val="bottom"/>
            <w:hideMark/>
          </w:tcPr>
          <w:p w14:paraId="76EA0DB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716</w:t>
            </w:r>
          </w:p>
        </w:tc>
        <w:tc>
          <w:tcPr>
            <w:tcW w:w="1483" w:type="dxa"/>
            <w:shd w:val="clear" w:color="auto" w:fill="FFFFFF" w:themeFill="background1"/>
            <w:noWrap/>
            <w:vAlign w:val="bottom"/>
            <w:hideMark/>
          </w:tcPr>
          <w:p w14:paraId="0C1D216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18144783.96</w:t>
            </w:r>
          </w:p>
        </w:tc>
        <w:tc>
          <w:tcPr>
            <w:tcW w:w="1576" w:type="dxa"/>
            <w:shd w:val="clear" w:color="auto" w:fill="FFFFFF" w:themeFill="background1"/>
            <w:noWrap/>
            <w:vAlign w:val="bottom"/>
            <w:hideMark/>
          </w:tcPr>
          <w:p w14:paraId="5497A3C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23</w:t>
            </w:r>
          </w:p>
        </w:tc>
        <w:tc>
          <w:tcPr>
            <w:tcW w:w="1344" w:type="dxa"/>
            <w:shd w:val="clear" w:color="auto" w:fill="FFFFFF" w:themeFill="background1"/>
            <w:noWrap/>
            <w:vAlign w:val="bottom"/>
            <w:hideMark/>
          </w:tcPr>
          <w:p w14:paraId="5872824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268858.96</w:t>
            </w:r>
          </w:p>
        </w:tc>
        <w:tc>
          <w:tcPr>
            <w:tcW w:w="1495" w:type="dxa"/>
            <w:shd w:val="clear" w:color="auto" w:fill="FFFFFF" w:themeFill="background1"/>
            <w:noWrap/>
            <w:vAlign w:val="bottom"/>
            <w:hideMark/>
          </w:tcPr>
          <w:p w14:paraId="3BFBA83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w:t>
            </w:r>
          </w:p>
        </w:tc>
        <w:tc>
          <w:tcPr>
            <w:tcW w:w="1145" w:type="dxa"/>
            <w:shd w:val="clear" w:color="auto" w:fill="FFFFFF" w:themeFill="background1"/>
            <w:noWrap/>
            <w:vAlign w:val="bottom"/>
            <w:hideMark/>
          </w:tcPr>
          <w:p w14:paraId="407227F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388551.41</w:t>
            </w:r>
          </w:p>
        </w:tc>
        <w:tc>
          <w:tcPr>
            <w:tcW w:w="1749" w:type="dxa"/>
            <w:shd w:val="clear" w:color="auto" w:fill="FFFFFF" w:themeFill="background1"/>
            <w:noWrap/>
            <w:vAlign w:val="bottom"/>
            <w:hideMark/>
          </w:tcPr>
          <w:p w14:paraId="7673251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3A62A35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4FFCBC57" w14:textId="77777777" w:rsidTr="00B27804">
        <w:trPr>
          <w:trHeight w:val="264"/>
        </w:trPr>
        <w:tc>
          <w:tcPr>
            <w:tcW w:w="1263" w:type="dxa"/>
            <w:shd w:val="clear" w:color="auto" w:fill="FFFFFF" w:themeFill="background1"/>
            <w:noWrap/>
            <w:vAlign w:val="bottom"/>
            <w:hideMark/>
          </w:tcPr>
          <w:p w14:paraId="18780E9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LITUANIA</w:t>
            </w:r>
          </w:p>
        </w:tc>
        <w:tc>
          <w:tcPr>
            <w:tcW w:w="1557" w:type="dxa"/>
            <w:shd w:val="clear" w:color="auto" w:fill="FFFFFF" w:themeFill="background1"/>
            <w:noWrap/>
            <w:vAlign w:val="bottom"/>
            <w:hideMark/>
          </w:tcPr>
          <w:p w14:paraId="50D4BB8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42</w:t>
            </w:r>
          </w:p>
        </w:tc>
        <w:tc>
          <w:tcPr>
            <w:tcW w:w="1463" w:type="dxa"/>
            <w:shd w:val="clear" w:color="auto" w:fill="FFFFFF" w:themeFill="background1"/>
            <w:noWrap/>
            <w:vAlign w:val="bottom"/>
            <w:hideMark/>
          </w:tcPr>
          <w:p w14:paraId="0C2C045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286002.89</w:t>
            </w:r>
          </w:p>
        </w:tc>
        <w:tc>
          <w:tcPr>
            <w:tcW w:w="1577" w:type="dxa"/>
            <w:shd w:val="clear" w:color="auto" w:fill="FFFFFF" w:themeFill="background1"/>
            <w:noWrap/>
            <w:vAlign w:val="bottom"/>
            <w:hideMark/>
          </w:tcPr>
          <w:p w14:paraId="0FB02C1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32</w:t>
            </w:r>
          </w:p>
        </w:tc>
        <w:tc>
          <w:tcPr>
            <w:tcW w:w="1483" w:type="dxa"/>
            <w:shd w:val="clear" w:color="auto" w:fill="FFFFFF" w:themeFill="background1"/>
            <w:noWrap/>
            <w:vAlign w:val="bottom"/>
            <w:hideMark/>
          </w:tcPr>
          <w:p w14:paraId="7498530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213673.32</w:t>
            </w:r>
          </w:p>
        </w:tc>
        <w:tc>
          <w:tcPr>
            <w:tcW w:w="1576" w:type="dxa"/>
            <w:shd w:val="clear" w:color="auto" w:fill="FFFFFF" w:themeFill="background1"/>
            <w:noWrap/>
            <w:vAlign w:val="bottom"/>
            <w:hideMark/>
          </w:tcPr>
          <w:p w14:paraId="12B7451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9</w:t>
            </w:r>
          </w:p>
        </w:tc>
        <w:tc>
          <w:tcPr>
            <w:tcW w:w="1344" w:type="dxa"/>
            <w:shd w:val="clear" w:color="auto" w:fill="FFFFFF" w:themeFill="background1"/>
            <w:noWrap/>
            <w:vAlign w:val="bottom"/>
            <w:hideMark/>
          </w:tcPr>
          <w:p w14:paraId="1BE2205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68421.09</w:t>
            </w:r>
          </w:p>
        </w:tc>
        <w:tc>
          <w:tcPr>
            <w:tcW w:w="1495" w:type="dxa"/>
            <w:shd w:val="clear" w:color="auto" w:fill="FFFFFF" w:themeFill="background1"/>
            <w:noWrap/>
            <w:vAlign w:val="bottom"/>
            <w:hideMark/>
          </w:tcPr>
          <w:p w14:paraId="4D0001D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145" w:type="dxa"/>
            <w:shd w:val="clear" w:color="auto" w:fill="FFFFFF" w:themeFill="background1"/>
            <w:noWrap/>
            <w:vAlign w:val="bottom"/>
            <w:hideMark/>
          </w:tcPr>
          <w:p w14:paraId="1453C3E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3908.48</w:t>
            </w:r>
          </w:p>
        </w:tc>
        <w:tc>
          <w:tcPr>
            <w:tcW w:w="1749" w:type="dxa"/>
            <w:shd w:val="clear" w:color="auto" w:fill="FFFFFF" w:themeFill="background1"/>
            <w:noWrap/>
            <w:vAlign w:val="bottom"/>
            <w:hideMark/>
          </w:tcPr>
          <w:p w14:paraId="6C8FB8E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19</w:t>
            </w:r>
          </w:p>
        </w:tc>
        <w:tc>
          <w:tcPr>
            <w:tcW w:w="1491" w:type="dxa"/>
            <w:shd w:val="clear" w:color="auto" w:fill="FFFFFF" w:themeFill="background1"/>
            <w:noWrap/>
            <w:vAlign w:val="bottom"/>
            <w:hideMark/>
          </w:tcPr>
          <w:p w14:paraId="60B662E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855574.98</w:t>
            </w:r>
          </w:p>
        </w:tc>
      </w:tr>
      <w:tr w:rsidR="00A356B8" w:rsidRPr="00B7675F" w14:paraId="41BB899B" w14:textId="77777777" w:rsidTr="00B27804">
        <w:trPr>
          <w:trHeight w:val="264"/>
        </w:trPr>
        <w:tc>
          <w:tcPr>
            <w:tcW w:w="1263" w:type="dxa"/>
            <w:shd w:val="clear" w:color="auto" w:fill="FFFFFF" w:themeFill="background1"/>
            <w:noWrap/>
            <w:vAlign w:val="bottom"/>
            <w:hideMark/>
          </w:tcPr>
          <w:p w14:paraId="2DD22495"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POLONIA</w:t>
            </w:r>
          </w:p>
        </w:tc>
        <w:tc>
          <w:tcPr>
            <w:tcW w:w="1557" w:type="dxa"/>
            <w:shd w:val="clear" w:color="auto" w:fill="FFFFFF" w:themeFill="background1"/>
            <w:noWrap/>
            <w:vAlign w:val="bottom"/>
            <w:hideMark/>
          </w:tcPr>
          <w:p w14:paraId="71D22CD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19</w:t>
            </w:r>
          </w:p>
        </w:tc>
        <w:tc>
          <w:tcPr>
            <w:tcW w:w="1463" w:type="dxa"/>
            <w:shd w:val="clear" w:color="auto" w:fill="FFFFFF" w:themeFill="background1"/>
            <w:noWrap/>
            <w:vAlign w:val="bottom"/>
            <w:hideMark/>
          </w:tcPr>
          <w:p w14:paraId="270EFD3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507180.67</w:t>
            </w:r>
          </w:p>
        </w:tc>
        <w:tc>
          <w:tcPr>
            <w:tcW w:w="1577" w:type="dxa"/>
            <w:shd w:val="clear" w:color="auto" w:fill="FFFFFF" w:themeFill="background1"/>
            <w:noWrap/>
            <w:vAlign w:val="bottom"/>
            <w:hideMark/>
          </w:tcPr>
          <w:p w14:paraId="0515CB6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18</w:t>
            </w:r>
          </w:p>
        </w:tc>
        <w:tc>
          <w:tcPr>
            <w:tcW w:w="1483" w:type="dxa"/>
            <w:shd w:val="clear" w:color="auto" w:fill="FFFFFF" w:themeFill="background1"/>
            <w:noWrap/>
            <w:vAlign w:val="bottom"/>
            <w:hideMark/>
          </w:tcPr>
          <w:p w14:paraId="3029EC4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457237.17</w:t>
            </w:r>
          </w:p>
        </w:tc>
        <w:tc>
          <w:tcPr>
            <w:tcW w:w="1576" w:type="dxa"/>
            <w:shd w:val="clear" w:color="auto" w:fill="FFFFFF" w:themeFill="background1"/>
            <w:noWrap/>
            <w:vAlign w:val="bottom"/>
            <w:hideMark/>
          </w:tcPr>
          <w:p w14:paraId="5359B41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344" w:type="dxa"/>
            <w:shd w:val="clear" w:color="auto" w:fill="FFFFFF" w:themeFill="background1"/>
            <w:noWrap/>
            <w:vAlign w:val="bottom"/>
            <w:hideMark/>
          </w:tcPr>
          <w:p w14:paraId="335F73F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49943.5</w:t>
            </w:r>
          </w:p>
        </w:tc>
        <w:tc>
          <w:tcPr>
            <w:tcW w:w="1495" w:type="dxa"/>
            <w:shd w:val="clear" w:color="auto" w:fill="FFFFFF" w:themeFill="background1"/>
            <w:noWrap/>
            <w:vAlign w:val="bottom"/>
            <w:hideMark/>
          </w:tcPr>
          <w:p w14:paraId="6FF14DE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1746A27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0BD25E8F"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20824C7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103ACAC5" w14:textId="77777777" w:rsidTr="00B27804">
        <w:trPr>
          <w:trHeight w:val="264"/>
        </w:trPr>
        <w:tc>
          <w:tcPr>
            <w:tcW w:w="1263" w:type="dxa"/>
            <w:shd w:val="clear" w:color="auto" w:fill="FFFFFF" w:themeFill="background1"/>
            <w:noWrap/>
            <w:vAlign w:val="bottom"/>
            <w:hideMark/>
          </w:tcPr>
          <w:p w14:paraId="529AD121"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PORTUGALIA</w:t>
            </w:r>
          </w:p>
        </w:tc>
        <w:tc>
          <w:tcPr>
            <w:tcW w:w="1557" w:type="dxa"/>
            <w:shd w:val="clear" w:color="auto" w:fill="FFFFFF" w:themeFill="background1"/>
            <w:noWrap/>
            <w:vAlign w:val="bottom"/>
            <w:hideMark/>
          </w:tcPr>
          <w:p w14:paraId="1855C65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25</w:t>
            </w:r>
          </w:p>
        </w:tc>
        <w:tc>
          <w:tcPr>
            <w:tcW w:w="1463" w:type="dxa"/>
            <w:shd w:val="clear" w:color="auto" w:fill="FFFFFF" w:themeFill="background1"/>
            <w:noWrap/>
            <w:vAlign w:val="bottom"/>
            <w:hideMark/>
          </w:tcPr>
          <w:p w14:paraId="2DA5D76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604422.34</w:t>
            </w:r>
          </w:p>
        </w:tc>
        <w:tc>
          <w:tcPr>
            <w:tcW w:w="1577" w:type="dxa"/>
            <w:shd w:val="clear" w:color="auto" w:fill="FFFFFF" w:themeFill="background1"/>
            <w:noWrap/>
            <w:vAlign w:val="bottom"/>
            <w:hideMark/>
          </w:tcPr>
          <w:p w14:paraId="4E45A3A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22</w:t>
            </w:r>
          </w:p>
        </w:tc>
        <w:tc>
          <w:tcPr>
            <w:tcW w:w="1483" w:type="dxa"/>
            <w:shd w:val="clear" w:color="auto" w:fill="FFFFFF" w:themeFill="background1"/>
            <w:noWrap/>
            <w:vAlign w:val="bottom"/>
            <w:hideMark/>
          </w:tcPr>
          <w:p w14:paraId="60A3DC3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543665.9</w:t>
            </w:r>
          </w:p>
        </w:tc>
        <w:tc>
          <w:tcPr>
            <w:tcW w:w="1576" w:type="dxa"/>
            <w:shd w:val="clear" w:color="auto" w:fill="FFFFFF" w:themeFill="background1"/>
            <w:noWrap/>
            <w:vAlign w:val="bottom"/>
            <w:hideMark/>
          </w:tcPr>
          <w:p w14:paraId="0944EE3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344" w:type="dxa"/>
            <w:shd w:val="clear" w:color="auto" w:fill="FFFFFF" w:themeFill="background1"/>
            <w:noWrap/>
            <w:vAlign w:val="bottom"/>
            <w:hideMark/>
          </w:tcPr>
          <w:p w14:paraId="3472CC6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60756.44</w:t>
            </w:r>
          </w:p>
        </w:tc>
        <w:tc>
          <w:tcPr>
            <w:tcW w:w="1495" w:type="dxa"/>
            <w:shd w:val="clear" w:color="auto" w:fill="FFFFFF" w:themeFill="background1"/>
            <w:noWrap/>
            <w:vAlign w:val="bottom"/>
            <w:hideMark/>
          </w:tcPr>
          <w:p w14:paraId="331970C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720758F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1EEC755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705F39D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50EF0191" w14:textId="77777777" w:rsidTr="00B27804">
        <w:trPr>
          <w:trHeight w:val="264"/>
        </w:trPr>
        <w:tc>
          <w:tcPr>
            <w:tcW w:w="1263" w:type="dxa"/>
            <w:shd w:val="clear" w:color="auto" w:fill="FFFFFF" w:themeFill="background1"/>
            <w:noWrap/>
            <w:vAlign w:val="bottom"/>
            <w:hideMark/>
          </w:tcPr>
          <w:p w14:paraId="3A819D24" w14:textId="7F221D22" w:rsidR="00A356B8" w:rsidRPr="00736448" w:rsidRDefault="00A356B8" w:rsidP="00E15964">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ROM</w:t>
            </w:r>
            <w:r w:rsidR="00E15964">
              <w:rPr>
                <w:rFonts w:asciiTheme="majorHAnsi" w:eastAsia="Times New Roman" w:hAnsiTheme="majorHAnsi" w:cstheme="majorHAnsi"/>
                <w:sz w:val="20"/>
                <w:szCs w:val="20"/>
                <w:lang w:val="ro-MD"/>
              </w:rPr>
              <w:t>Â</w:t>
            </w:r>
            <w:r w:rsidRPr="00736448">
              <w:rPr>
                <w:rFonts w:asciiTheme="majorHAnsi" w:eastAsia="Times New Roman" w:hAnsiTheme="majorHAnsi" w:cstheme="majorHAnsi"/>
                <w:sz w:val="20"/>
                <w:szCs w:val="20"/>
                <w:lang w:val="ro-MD"/>
              </w:rPr>
              <w:t>NIA</w:t>
            </w:r>
          </w:p>
        </w:tc>
        <w:tc>
          <w:tcPr>
            <w:tcW w:w="1557" w:type="dxa"/>
            <w:shd w:val="clear" w:color="auto" w:fill="FFFFFF" w:themeFill="background1"/>
            <w:noWrap/>
            <w:vAlign w:val="bottom"/>
            <w:hideMark/>
          </w:tcPr>
          <w:p w14:paraId="1976430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424</w:t>
            </w:r>
          </w:p>
        </w:tc>
        <w:tc>
          <w:tcPr>
            <w:tcW w:w="1463" w:type="dxa"/>
            <w:shd w:val="clear" w:color="auto" w:fill="FFFFFF" w:themeFill="background1"/>
            <w:noWrap/>
            <w:vAlign w:val="bottom"/>
            <w:hideMark/>
          </w:tcPr>
          <w:p w14:paraId="68F6FC7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12702006.05</w:t>
            </w:r>
          </w:p>
        </w:tc>
        <w:tc>
          <w:tcPr>
            <w:tcW w:w="1577" w:type="dxa"/>
            <w:shd w:val="clear" w:color="auto" w:fill="FFFFFF" w:themeFill="background1"/>
            <w:noWrap/>
            <w:vAlign w:val="bottom"/>
            <w:hideMark/>
          </w:tcPr>
          <w:p w14:paraId="663FA07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397</w:t>
            </w:r>
          </w:p>
        </w:tc>
        <w:tc>
          <w:tcPr>
            <w:tcW w:w="1483" w:type="dxa"/>
            <w:shd w:val="clear" w:color="auto" w:fill="FFFFFF" w:themeFill="background1"/>
            <w:noWrap/>
            <w:vAlign w:val="bottom"/>
            <w:hideMark/>
          </w:tcPr>
          <w:p w14:paraId="31FCDE0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12101021.36</w:t>
            </w:r>
          </w:p>
        </w:tc>
        <w:tc>
          <w:tcPr>
            <w:tcW w:w="1576" w:type="dxa"/>
            <w:shd w:val="clear" w:color="auto" w:fill="FFFFFF" w:themeFill="background1"/>
            <w:noWrap/>
            <w:vAlign w:val="bottom"/>
            <w:hideMark/>
          </w:tcPr>
          <w:p w14:paraId="4CDDE39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24</w:t>
            </w:r>
          </w:p>
        </w:tc>
        <w:tc>
          <w:tcPr>
            <w:tcW w:w="1344" w:type="dxa"/>
            <w:shd w:val="clear" w:color="auto" w:fill="FFFFFF" w:themeFill="background1"/>
            <w:noWrap/>
            <w:vAlign w:val="bottom"/>
            <w:hideMark/>
          </w:tcPr>
          <w:p w14:paraId="777020A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518278.9</w:t>
            </w:r>
          </w:p>
        </w:tc>
        <w:tc>
          <w:tcPr>
            <w:tcW w:w="1495" w:type="dxa"/>
            <w:shd w:val="clear" w:color="auto" w:fill="FFFFFF" w:themeFill="background1"/>
            <w:noWrap/>
            <w:vAlign w:val="bottom"/>
            <w:hideMark/>
          </w:tcPr>
          <w:p w14:paraId="23A13428"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145" w:type="dxa"/>
            <w:shd w:val="clear" w:color="auto" w:fill="FFFFFF" w:themeFill="background1"/>
            <w:noWrap/>
            <w:vAlign w:val="bottom"/>
            <w:hideMark/>
          </w:tcPr>
          <w:p w14:paraId="7A5AB0AE"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82705.79</w:t>
            </w:r>
          </w:p>
        </w:tc>
        <w:tc>
          <w:tcPr>
            <w:tcW w:w="1749" w:type="dxa"/>
            <w:shd w:val="clear" w:color="auto" w:fill="FFFFFF" w:themeFill="background1"/>
            <w:noWrap/>
            <w:vAlign w:val="bottom"/>
            <w:hideMark/>
          </w:tcPr>
          <w:p w14:paraId="0438EE5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171D0FA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434690C3" w14:textId="77777777" w:rsidTr="00B27804">
        <w:trPr>
          <w:trHeight w:val="264"/>
        </w:trPr>
        <w:tc>
          <w:tcPr>
            <w:tcW w:w="1263" w:type="dxa"/>
            <w:shd w:val="clear" w:color="auto" w:fill="FFFFFF" w:themeFill="background1"/>
            <w:noWrap/>
            <w:vAlign w:val="bottom"/>
            <w:hideMark/>
          </w:tcPr>
          <w:p w14:paraId="7C1BE779"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TURCIA</w:t>
            </w:r>
          </w:p>
        </w:tc>
        <w:tc>
          <w:tcPr>
            <w:tcW w:w="1557" w:type="dxa"/>
            <w:shd w:val="clear" w:color="auto" w:fill="FFFFFF" w:themeFill="background1"/>
            <w:noWrap/>
            <w:vAlign w:val="bottom"/>
            <w:hideMark/>
          </w:tcPr>
          <w:p w14:paraId="558BF7F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463" w:type="dxa"/>
            <w:shd w:val="clear" w:color="auto" w:fill="FFFFFF" w:themeFill="background1"/>
            <w:noWrap/>
            <w:vAlign w:val="bottom"/>
            <w:hideMark/>
          </w:tcPr>
          <w:p w14:paraId="75B4342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57450.42</w:t>
            </w:r>
          </w:p>
        </w:tc>
        <w:tc>
          <w:tcPr>
            <w:tcW w:w="1577" w:type="dxa"/>
            <w:shd w:val="clear" w:color="auto" w:fill="FFFFFF" w:themeFill="background1"/>
            <w:noWrap/>
            <w:vAlign w:val="bottom"/>
            <w:hideMark/>
          </w:tcPr>
          <w:p w14:paraId="1D42180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3</w:t>
            </w:r>
          </w:p>
        </w:tc>
        <w:tc>
          <w:tcPr>
            <w:tcW w:w="1483" w:type="dxa"/>
            <w:shd w:val="clear" w:color="auto" w:fill="FFFFFF" w:themeFill="background1"/>
            <w:noWrap/>
            <w:vAlign w:val="bottom"/>
            <w:hideMark/>
          </w:tcPr>
          <w:p w14:paraId="0B9FDC2C"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57450.42</w:t>
            </w:r>
          </w:p>
        </w:tc>
        <w:tc>
          <w:tcPr>
            <w:tcW w:w="1576" w:type="dxa"/>
            <w:shd w:val="clear" w:color="auto" w:fill="FFFFFF" w:themeFill="background1"/>
            <w:noWrap/>
            <w:vAlign w:val="bottom"/>
            <w:hideMark/>
          </w:tcPr>
          <w:p w14:paraId="0ECE367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180D1D39"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4A26D5F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4EEA6E45"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1295203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7E028F7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43F3ECBC" w14:textId="77777777" w:rsidTr="00B27804">
        <w:trPr>
          <w:trHeight w:val="264"/>
        </w:trPr>
        <w:tc>
          <w:tcPr>
            <w:tcW w:w="1263" w:type="dxa"/>
            <w:shd w:val="clear" w:color="auto" w:fill="FFFFFF" w:themeFill="background1"/>
            <w:noWrap/>
            <w:vAlign w:val="bottom"/>
            <w:hideMark/>
          </w:tcPr>
          <w:p w14:paraId="052C5C17"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UCRAINA</w:t>
            </w:r>
          </w:p>
        </w:tc>
        <w:tc>
          <w:tcPr>
            <w:tcW w:w="1557" w:type="dxa"/>
            <w:shd w:val="clear" w:color="auto" w:fill="FFFFFF" w:themeFill="background1"/>
            <w:noWrap/>
            <w:vAlign w:val="bottom"/>
            <w:hideMark/>
          </w:tcPr>
          <w:p w14:paraId="11D58A4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463" w:type="dxa"/>
            <w:shd w:val="clear" w:color="auto" w:fill="FFFFFF" w:themeFill="background1"/>
            <w:noWrap/>
            <w:vAlign w:val="bottom"/>
            <w:hideMark/>
          </w:tcPr>
          <w:p w14:paraId="4826171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26245.05</w:t>
            </w:r>
          </w:p>
        </w:tc>
        <w:tc>
          <w:tcPr>
            <w:tcW w:w="1577" w:type="dxa"/>
            <w:shd w:val="clear" w:color="auto" w:fill="FFFFFF" w:themeFill="background1"/>
            <w:noWrap/>
            <w:vAlign w:val="bottom"/>
            <w:hideMark/>
          </w:tcPr>
          <w:p w14:paraId="7851872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83" w:type="dxa"/>
            <w:shd w:val="clear" w:color="auto" w:fill="FFFFFF" w:themeFill="background1"/>
            <w:noWrap/>
            <w:vAlign w:val="bottom"/>
            <w:hideMark/>
          </w:tcPr>
          <w:p w14:paraId="6ABAD84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576" w:type="dxa"/>
            <w:shd w:val="clear" w:color="auto" w:fill="FFFFFF" w:themeFill="background1"/>
            <w:noWrap/>
            <w:vAlign w:val="bottom"/>
            <w:hideMark/>
          </w:tcPr>
          <w:p w14:paraId="1D081867"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w:t>
            </w:r>
          </w:p>
        </w:tc>
        <w:tc>
          <w:tcPr>
            <w:tcW w:w="1344" w:type="dxa"/>
            <w:shd w:val="clear" w:color="auto" w:fill="FFFFFF" w:themeFill="background1"/>
            <w:noWrap/>
            <w:vAlign w:val="bottom"/>
            <w:hideMark/>
          </w:tcPr>
          <w:p w14:paraId="5A9CDD8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26245.05</w:t>
            </w:r>
          </w:p>
        </w:tc>
        <w:tc>
          <w:tcPr>
            <w:tcW w:w="1495" w:type="dxa"/>
            <w:shd w:val="clear" w:color="auto" w:fill="FFFFFF" w:themeFill="background1"/>
            <w:noWrap/>
            <w:vAlign w:val="bottom"/>
            <w:hideMark/>
          </w:tcPr>
          <w:p w14:paraId="4EEAF056"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2612F5DA"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406E612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6592989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163AF906" w14:textId="77777777" w:rsidTr="00B27804">
        <w:trPr>
          <w:trHeight w:val="264"/>
        </w:trPr>
        <w:tc>
          <w:tcPr>
            <w:tcW w:w="1263" w:type="dxa"/>
            <w:shd w:val="clear" w:color="auto" w:fill="FFFFFF" w:themeFill="background1"/>
            <w:noWrap/>
            <w:vAlign w:val="bottom"/>
            <w:hideMark/>
          </w:tcPr>
          <w:p w14:paraId="7FCDBE03" w14:textId="77777777" w:rsidR="00A356B8" w:rsidRPr="00736448" w:rsidRDefault="00A356B8" w:rsidP="00A356B8">
            <w:pPr>
              <w:spacing w:after="0" w:line="240" w:lineRule="auto"/>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UNGARIA</w:t>
            </w:r>
          </w:p>
        </w:tc>
        <w:tc>
          <w:tcPr>
            <w:tcW w:w="1557" w:type="dxa"/>
            <w:shd w:val="clear" w:color="auto" w:fill="FFFFFF" w:themeFill="background1"/>
            <w:noWrap/>
            <w:vAlign w:val="bottom"/>
            <w:hideMark/>
          </w:tcPr>
          <w:p w14:paraId="12FF718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463" w:type="dxa"/>
            <w:shd w:val="clear" w:color="auto" w:fill="FFFFFF" w:themeFill="background1"/>
            <w:noWrap/>
            <w:vAlign w:val="bottom"/>
            <w:hideMark/>
          </w:tcPr>
          <w:p w14:paraId="6CB21171"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148839.52</w:t>
            </w:r>
          </w:p>
        </w:tc>
        <w:tc>
          <w:tcPr>
            <w:tcW w:w="1577" w:type="dxa"/>
            <w:shd w:val="clear" w:color="auto" w:fill="FFFFFF" w:themeFill="background1"/>
            <w:noWrap/>
            <w:vAlign w:val="bottom"/>
            <w:hideMark/>
          </w:tcPr>
          <w:p w14:paraId="0654030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6</w:t>
            </w:r>
          </w:p>
        </w:tc>
        <w:tc>
          <w:tcPr>
            <w:tcW w:w="1483" w:type="dxa"/>
            <w:shd w:val="clear" w:color="auto" w:fill="FFFFFF" w:themeFill="background1"/>
            <w:noWrap/>
            <w:vAlign w:val="bottom"/>
            <w:hideMark/>
          </w:tcPr>
          <w:p w14:paraId="60040704"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148839.52</w:t>
            </w:r>
          </w:p>
        </w:tc>
        <w:tc>
          <w:tcPr>
            <w:tcW w:w="1576" w:type="dxa"/>
            <w:shd w:val="clear" w:color="auto" w:fill="FFFFFF" w:themeFill="background1"/>
            <w:noWrap/>
            <w:vAlign w:val="bottom"/>
            <w:hideMark/>
          </w:tcPr>
          <w:p w14:paraId="158E1380"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344" w:type="dxa"/>
            <w:shd w:val="clear" w:color="auto" w:fill="FFFFFF" w:themeFill="background1"/>
            <w:noWrap/>
            <w:vAlign w:val="bottom"/>
            <w:hideMark/>
          </w:tcPr>
          <w:p w14:paraId="068ED053"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5" w:type="dxa"/>
            <w:shd w:val="clear" w:color="auto" w:fill="FFFFFF" w:themeFill="background1"/>
            <w:noWrap/>
            <w:vAlign w:val="bottom"/>
            <w:hideMark/>
          </w:tcPr>
          <w:p w14:paraId="2FDAA3D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145" w:type="dxa"/>
            <w:shd w:val="clear" w:color="auto" w:fill="FFFFFF" w:themeFill="background1"/>
            <w:noWrap/>
            <w:vAlign w:val="bottom"/>
            <w:hideMark/>
          </w:tcPr>
          <w:p w14:paraId="71CB7472"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749" w:type="dxa"/>
            <w:shd w:val="clear" w:color="auto" w:fill="FFFFFF" w:themeFill="background1"/>
            <w:noWrap/>
            <w:vAlign w:val="bottom"/>
            <w:hideMark/>
          </w:tcPr>
          <w:p w14:paraId="253F2C5B"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c>
          <w:tcPr>
            <w:tcW w:w="1491" w:type="dxa"/>
            <w:shd w:val="clear" w:color="auto" w:fill="FFFFFF" w:themeFill="background1"/>
            <w:noWrap/>
            <w:vAlign w:val="bottom"/>
            <w:hideMark/>
          </w:tcPr>
          <w:p w14:paraId="03956B1D" w14:textId="77777777" w:rsidR="00A356B8" w:rsidRPr="00736448" w:rsidRDefault="00A356B8" w:rsidP="00A356B8">
            <w:pPr>
              <w:spacing w:after="0" w:line="240" w:lineRule="auto"/>
              <w:jc w:val="right"/>
              <w:rPr>
                <w:rFonts w:asciiTheme="majorHAnsi" w:eastAsia="Times New Roman" w:hAnsiTheme="majorHAnsi" w:cstheme="majorHAnsi"/>
                <w:sz w:val="20"/>
                <w:szCs w:val="20"/>
                <w:lang w:val="ro-MD"/>
              </w:rPr>
            </w:pPr>
            <w:r w:rsidRPr="00736448">
              <w:rPr>
                <w:rFonts w:asciiTheme="majorHAnsi" w:eastAsia="Times New Roman" w:hAnsiTheme="majorHAnsi" w:cstheme="majorHAnsi"/>
                <w:sz w:val="20"/>
                <w:szCs w:val="20"/>
                <w:lang w:val="ro-MD"/>
              </w:rPr>
              <w:t>0</w:t>
            </w:r>
          </w:p>
        </w:tc>
      </w:tr>
      <w:tr w:rsidR="00A356B8" w:rsidRPr="00B7675F" w14:paraId="0CD2C641" w14:textId="77777777" w:rsidTr="00B27804">
        <w:trPr>
          <w:trHeight w:val="264"/>
        </w:trPr>
        <w:tc>
          <w:tcPr>
            <w:tcW w:w="1263" w:type="dxa"/>
            <w:shd w:val="clear" w:color="auto" w:fill="FFFFFF" w:themeFill="background1"/>
            <w:noWrap/>
            <w:vAlign w:val="bottom"/>
            <w:hideMark/>
          </w:tcPr>
          <w:p w14:paraId="6F702B93" w14:textId="77777777" w:rsidR="00A356B8" w:rsidRPr="00736448" w:rsidRDefault="00A356B8" w:rsidP="00A356B8">
            <w:pPr>
              <w:spacing w:after="0" w:line="240" w:lineRule="auto"/>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TOTAL</w:t>
            </w:r>
          </w:p>
        </w:tc>
        <w:tc>
          <w:tcPr>
            <w:tcW w:w="1557" w:type="dxa"/>
            <w:shd w:val="clear" w:color="auto" w:fill="FFFFFF" w:themeFill="background1"/>
            <w:noWrap/>
            <w:vAlign w:val="bottom"/>
            <w:hideMark/>
          </w:tcPr>
          <w:p w14:paraId="3D44A2C9"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1642</w:t>
            </w:r>
          </w:p>
        </w:tc>
        <w:tc>
          <w:tcPr>
            <w:tcW w:w="1463" w:type="dxa"/>
            <w:shd w:val="clear" w:color="auto" w:fill="FFFFFF" w:themeFill="background1"/>
            <w:noWrap/>
            <w:vAlign w:val="bottom"/>
            <w:hideMark/>
          </w:tcPr>
          <w:p w14:paraId="0D25C094"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39924495.41</w:t>
            </w:r>
          </w:p>
        </w:tc>
        <w:tc>
          <w:tcPr>
            <w:tcW w:w="1577" w:type="dxa"/>
            <w:shd w:val="clear" w:color="auto" w:fill="FFFFFF" w:themeFill="background1"/>
            <w:noWrap/>
            <w:vAlign w:val="bottom"/>
            <w:hideMark/>
          </w:tcPr>
          <w:p w14:paraId="7C59B32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1512</w:t>
            </w:r>
          </w:p>
        </w:tc>
        <w:tc>
          <w:tcPr>
            <w:tcW w:w="1483" w:type="dxa"/>
            <w:shd w:val="clear" w:color="auto" w:fill="FFFFFF" w:themeFill="background1"/>
            <w:noWrap/>
            <w:vAlign w:val="bottom"/>
            <w:hideMark/>
          </w:tcPr>
          <w:p w14:paraId="183A9A4A"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37718429.86</w:t>
            </w:r>
          </w:p>
        </w:tc>
        <w:tc>
          <w:tcPr>
            <w:tcW w:w="1576" w:type="dxa"/>
            <w:shd w:val="clear" w:color="auto" w:fill="FFFFFF" w:themeFill="background1"/>
            <w:noWrap/>
            <w:vAlign w:val="bottom"/>
            <w:hideMark/>
          </w:tcPr>
          <w:p w14:paraId="1B3DC880"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99</w:t>
            </w:r>
          </w:p>
        </w:tc>
        <w:tc>
          <w:tcPr>
            <w:tcW w:w="1344" w:type="dxa"/>
            <w:shd w:val="clear" w:color="auto" w:fill="FFFFFF" w:themeFill="background1"/>
            <w:noWrap/>
            <w:vAlign w:val="bottom"/>
            <w:hideMark/>
          </w:tcPr>
          <w:p w14:paraId="2C41922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1546611.62</w:t>
            </w:r>
          </w:p>
        </w:tc>
        <w:tc>
          <w:tcPr>
            <w:tcW w:w="1495" w:type="dxa"/>
            <w:shd w:val="clear" w:color="auto" w:fill="FFFFFF" w:themeFill="background1"/>
            <w:noWrap/>
            <w:vAlign w:val="bottom"/>
            <w:hideMark/>
          </w:tcPr>
          <w:p w14:paraId="6A905F65"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31</w:t>
            </w:r>
          </w:p>
        </w:tc>
        <w:tc>
          <w:tcPr>
            <w:tcW w:w="1145" w:type="dxa"/>
            <w:shd w:val="clear" w:color="auto" w:fill="FFFFFF" w:themeFill="background1"/>
            <w:noWrap/>
            <w:vAlign w:val="bottom"/>
            <w:hideMark/>
          </w:tcPr>
          <w:p w14:paraId="3FA88A3F"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659453.93</w:t>
            </w:r>
          </w:p>
        </w:tc>
        <w:tc>
          <w:tcPr>
            <w:tcW w:w="1749" w:type="dxa"/>
            <w:shd w:val="clear" w:color="auto" w:fill="FFFFFF" w:themeFill="background1"/>
            <w:noWrap/>
            <w:vAlign w:val="bottom"/>
            <w:hideMark/>
          </w:tcPr>
          <w:p w14:paraId="3FCC6396"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46</w:t>
            </w:r>
          </w:p>
        </w:tc>
        <w:tc>
          <w:tcPr>
            <w:tcW w:w="1491" w:type="dxa"/>
            <w:shd w:val="clear" w:color="auto" w:fill="FFFFFF" w:themeFill="background1"/>
            <w:noWrap/>
            <w:vAlign w:val="bottom"/>
            <w:hideMark/>
          </w:tcPr>
          <w:p w14:paraId="1F153D06" w14:textId="77777777" w:rsidR="00A356B8" w:rsidRPr="00736448" w:rsidRDefault="00A356B8" w:rsidP="00A356B8">
            <w:pPr>
              <w:spacing w:after="0" w:line="240" w:lineRule="auto"/>
              <w:jc w:val="right"/>
              <w:rPr>
                <w:rFonts w:asciiTheme="majorHAnsi" w:eastAsia="Times New Roman" w:hAnsiTheme="majorHAnsi" w:cstheme="majorHAnsi"/>
                <w:b/>
                <w:bCs/>
                <w:sz w:val="20"/>
                <w:szCs w:val="20"/>
                <w:lang w:val="ro-MD"/>
              </w:rPr>
            </w:pPr>
            <w:r w:rsidRPr="00736448">
              <w:rPr>
                <w:rFonts w:asciiTheme="majorHAnsi" w:eastAsia="Times New Roman" w:hAnsiTheme="majorHAnsi" w:cstheme="majorHAnsi"/>
                <w:b/>
                <w:bCs/>
                <w:sz w:val="20"/>
                <w:szCs w:val="20"/>
                <w:lang w:val="ro-MD"/>
              </w:rPr>
              <w:t>2214796.89</w:t>
            </w:r>
          </w:p>
        </w:tc>
      </w:tr>
    </w:tbl>
    <w:p w14:paraId="0D0C7280" w14:textId="77777777" w:rsidR="00A356B8" w:rsidRPr="00736448" w:rsidRDefault="00A356B8" w:rsidP="003D0784">
      <w:pPr>
        <w:shd w:val="clear" w:color="auto" w:fill="FFFFFF"/>
        <w:spacing w:after="0" w:line="276" w:lineRule="auto"/>
        <w:rPr>
          <w:rFonts w:asciiTheme="majorHAnsi" w:eastAsia="Times New Roman" w:hAnsiTheme="majorHAnsi" w:cstheme="majorHAnsi"/>
          <w:sz w:val="24"/>
          <w:szCs w:val="24"/>
          <w:lang w:val="ro-MD"/>
        </w:rPr>
        <w:sectPr w:rsidR="00A356B8" w:rsidRPr="00736448" w:rsidSect="00036557">
          <w:pgSz w:w="16838" w:h="11906" w:orient="landscape"/>
          <w:pgMar w:top="720" w:right="360" w:bottom="566" w:left="360" w:header="708" w:footer="708" w:gutter="0"/>
          <w:cols w:space="708"/>
          <w:docGrid w:linePitch="360"/>
        </w:sectPr>
      </w:pPr>
    </w:p>
    <w:p w14:paraId="5739EB32" w14:textId="73B653A0" w:rsidR="003D0784" w:rsidRPr="00736448" w:rsidRDefault="003D0784" w:rsidP="003D0784">
      <w:pPr>
        <w:pStyle w:val="2"/>
        <w:spacing w:before="0"/>
        <w:jc w:val="right"/>
        <w:rPr>
          <w:rFonts w:cstheme="majorHAnsi"/>
          <w:b/>
          <w:bCs/>
          <w:color w:val="000000" w:themeColor="text1"/>
          <w:sz w:val="24"/>
          <w:szCs w:val="24"/>
          <w:lang w:val="ro-MD"/>
        </w:rPr>
      </w:pPr>
      <w:r w:rsidRPr="00736448">
        <w:rPr>
          <w:rFonts w:cstheme="majorHAnsi"/>
          <w:b/>
          <w:bCs/>
          <w:color w:val="000000" w:themeColor="text1"/>
          <w:sz w:val="24"/>
          <w:szCs w:val="24"/>
          <w:lang w:val="ro-MD"/>
        </w:rPr>
        <w:t xml:space="preserve">Anexa nr. </w:t>
      </w:r>
      <w:r w:rsidR="00A32714" w:rsidRPr="00736448">
        <w:rPr>
          <w:rFonts w:cstheme="majorHAnsi"/>
          <w:b/>
          <w:bCs/>
          <w:color w:val="000000" w:themeColor="text1"/>
          <w:sz w:val="24"/>
          <w:szCs w:val="24"/>
          <w:lang w:val="ro-MD"/>
        </w:rPr>
        <w:t>9</w:t>
      </w:r>
    </w:p>
    <w:p w14:paraId="6400BD12" w14:textId="77777777" w:rsidR="003D0784" w:rsidRPr="00736448" w:rsidRDefault="003D0784" w:rsidP="003D0784">
      <w:pPr>
        <w:spacing w:after="0"/>
        <w:jc w:val="center"/>
        <w:rPr>
          <w:rFonts w:asciiTheme="majorHAnsi" w:hAnsiTheme="majorHAnsi" w:cstheme="majorHAnsi"/>
          <w:b/>
          <w:lang w:val="ro-MD"/>
        </w:rPr>
      </w:pPr>
      <w:r w:rsidRPr="00736448">
        <w:rPr>
          <w:rFonts w:asciiTheme="majorHAnsi" w:hAnsiTheme="majorHAnsi" w:cstheme="majorHAnsi"/>
          <w:b/>
          <w:lang w:val="ro-MD"/>
        </w:rPr>
        <w:t>Analiza veniturilor pe tipuri de indicatori în anul 2022</w:t>
      </w:r>
    </w:p>
    <w:p w14:paraId="0B624890" w14:textId="77777777" w:rsidR="003D0784" w:rsidRPr="00736448" w:rsidRDefault="003D0784" w:rsidP="003D0784">
      <w:pPr>
        <w:spacing w:after="0"/>
        <w:jc w:val="right"/>
        <w:rPr>
          <w:rFonts w:asciiTheme="majorHAnsi" w:hAnsiTheme="majorHAnsi" w:cstheme="majorHAnsi"/>
          <w:b/>
          <w:sz w:val="20"/>
          <w:szCs w:val="20"/>
          <w:lang w:val="ro-MD"/>
        </w:rPr>
      </w:pPr>
      <w:r w:rsidRPr="00736448">
        <w:rPr>
          <w:rFonts w:asciiTheme="majorHAnsi" w:hAnsiTheme="majorHAnsi" w:cstheme="majorHAnsi"/>
          <w:b/>
          <w:sz w:val="20"/>
          <w:szCs w:val="20"/>
          <w:lang w:val="ro-MD"/>
        </w:rPr>
        <w:t>(mii lei)</w:t>
      </w:r>
    </w:p>
    <w:tbl>
      <w:tblPr>
        <w:tblW w:w="13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gridCol w:w="764"/>
        <w:gridCol w:w="1082"/>
        <w:gridCol w:w="1082"/>
        <w:gridCol w:w="1082"/>
        <w:gridCol w:w="1082"/>
        <w:gridCol w:w="991"/>
        <w:gridCol w:w="900"/>
      </w:tblGrid>
      <w:tr w:rsidR="003D0784" w:rsidRPr="00B7675F" w14:paraId="60A469AD" w14:textId="77777777" w:rsidTr="005F6348">
        <w:trPr>
          <w:trHeight w:val="20"/>
        </w:trPr>
        <w:tc>
          <w:tcPr>
            <w:tcW w:w="6941" w:type="dxa"/>
            <w:shd w:val="clear" w:color="auto" w:fill="auto"/>
            <w:vAlign w:val="center"/>
          </w:tcPr>
          <w:p w14:paraId="54867ACD"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p>
        </w:tc>
        <w:tc>
          <w:tcPr>
            <w:tcW w:w="764" w:type="dxa"/>
            <w:shd w:val="clear" w:color="auto" w:fill="auto"/>
            <w:noWrap/>
            <w:vAlign w:val="center"/>
          </w:tcPr>
          <w:p w14:paraId="4621F70B"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p>
        </w:tc>
        <w:tc>
          <w:tcPr>
            <w:tcW w:w="2164" w:type="dxa"/>
            <w:gridSpan w:val="2"/>
            <w:shd w:val="clear" w:color="auto" w:fill="auto"/>
            <w:noWrap/>
            <w:vAlign w:val="center"/>
          </w:tcPr>
          <w:p w14:paraId="200F4268"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Plan</w:t>
            </w:r>
          </w:p>
        </w:tc>
        <w:tc>
          <w:tcPr>
            <w:tcW w:w="1082" w:type="dxa"/>
            <w:vMerge w:val="restart"/>
            <w:shd w:val="clear" w:color="auto" w:fill="auto"/>
            <w:noWrap/>
            <w:vAlign w:val="center"/>
          </w:tcPr>
          <w:p w14:paraId="0473485B"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 xml:space="preserve">Executat  </w:t>
            </w:r>
          </w:p>
        </w:tc>
        <w:tc>
          <w:tcPr>
            <w:tcW w:w="1082" w:type="dxa"/>
            <w:vMerge w:val="restart"/>
            <w:shd w:val="clear" w:color="auto" w:fill="auto"/>
            <w:noWrap/>
            <w:vAlign w:val="center"/>
          </w:tcPr>
          <w:p w14:paraId="55AB83DA"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Efectiv</w:t>
            </w:r>
          </w:p>
        </w:tc>
        <w:tc>
          <w:tcPr>
            <w:tcW w:w="1891" w:type="dxa"/>
            <w:gridSpan w:val="2"/>
            <w:shd w:val="clear" w:color="auto" w:fill="auto"/>
            <w:noWrap/>
            <w:vAlign w:val="center"/>
          </w:tcPr>
          <w:p w14:paraId="2FEE3643"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Total</w:t>
            </w:r>
          </w:p>
        </w:tc>
      </w:tr>
      <w:tr w:rsidR="003D0784" w:rsidRPr="00B7675F" w14:paraId="39C155E2" w14:textId="77777777" w:rsidTr="005F6348">
        <w:trPr>
          <w:trHeight w:val="20"/>
        </w:trPr>
        <w:tc>
          <w:tcPr>
            <w:tcW w:w="6941" w:type="dxa"/>
            <w:shd w:val="clear" w:color="auto" w:fill="auto"/>
            <w:vAlign w:val="center"/>
          </w:tcPr>
          <w:p w14:paraId="1E76FAAD"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Denumirea</w:t>
            </w:r>
          </w:p>
        </w:tc>
        <w:tc>
          <w:tcPr>
            <w:tcW w:w="764" w:type="dxa"/>
            <w:shd w:val="clear" w:color="auto" w:fill="auto"/>
            <w:noWrap/>
            <w:vAlign w:val="center"/>
          </w:tcPr>
          <w:p w14:paraId="557B76BE"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ECO</w:t>
            </w:r>
          </w:p>
        </w:tc>
        <w:tc>
          <w:tcPr>
            <w:tcW w:w="1082" w:type="dxa"/>
            <w:shd w:val="clear" w:color="auto" w:fill="auto"/>
            <w:noWrap/>
            <w:vAlign w:val="center"/>
          </w:tcPr>
          <w:p w14:paraId="7C874431"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 xml:space="preserve">Aprobat </w:t>
            </w:r>
            <w:r w:rsidRPr="00736448">
              <w:rPr>
                <w:rFonts w:asciiTheme="majorHAnsi" w:eastAsia="Times New Roman" w:hAnsiTheme="majorHAnsi" w:cstheme="majorHAnsi"/>
                <w:b/>
                <w:bCs/>
                <w:sz w:val="18"/>
                <w:szCs w:val="18"/>
                <w:lang w:val="ro-MD"/>
              </w:rPr>
              <w:br/>
              <w:t xml:space="preserve">pe an </w:t>
            </w:r>
          </w:p>
        </w:tc>
        <w:tc>
          <w:tcPr>
            <w:tcW w:w="1082" w:type="dxa"/>
            <w:shd w:val="clear" w:color="auto" w:fill="auto"/>
            <w:noWrap/>
            <w:vAlign w:val="center"/>
          </w:tcPr>
          <w:p w14:paraId="6C4FFE97"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Precizat</w:t>
            </w:r>
            <w:r w:rsidRPr="00736448">
              <w:rPr>
                <w:rFonts w:asciiTheme="majorHAnsi" w:eastAsia="Times New Roman" w:hAnsiTheme="majorHAnsi" w:cstheme="majorHAnsi"/>
                <w:b/>
                <w:bCs/>
                <w:sz w:val="18"/>
                <w:szCs w:val="18"/>
                <w:lang w:val="ro-MD"/>
              </w:rPr>
              <w:br/>
              <w:t xml:space="preserve">pe an </w:t>
            </w:r>
          </w:p>
        </w:tc>
        <w:tc>
          <w:tcPr>
            <w:tcW w:w="1082" w:type="dxa"/>
            <w:vMerge/>
            <w:shd w:val="clear" w:color="auto" w:fill="auto"/>
            <w:noWrap/>
            <w:vAlign w:val="center"/>
          </w:tcPr>
          <w:p w14:paraId="53E6CB2F"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p>
        </w:tc>
        <w:tc>
          <w:tcPr>
            <w:tcW w:w="1082" w:type="dxa"/>
            <w:vMerge/>
            <w:shd w:val="clear" w:color="auto" w:fill="auto"/>
            <w:noWrap/>
            <w:vAlign w:val="center"/>
          </w:tcPr>
          <w:p w14:paraId="580DAC4E"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p>
        </w:tc>
        <w:tc>
          <w:tcPr>
            <w:tcW w:w="991" w:type="dxa"/>
            <w:shd w:val="clear" w:color="auto" w:fill="auto"/>
            <w:noWrap/>
            <w:vAlign w:val="center"/>
          </w:tcPr>
          <w:p w14:paraId="1F980B33"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 xml:space="preserve"> Creanțe</w:t>
            </w:r>
          </w:p>
        </w:tc>
        <w:tc>
          <w:tcPr>
            <w:tcW w:w="900" w:type="dxa"/>
            <w:shd w:val="clear" w:color="auto" w:fill="auto"/>
            <w:noWrap/>
            <w:vAlign w:val="center"/>
          </w:tcPr>
          <w:p w14:paraId="26F2555B"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 xml:space="preserve"> Datorii</w:t>
            </w:r>
          </w:p>
        </w:tc>
      </w:tr>
      <w:tr w:rsidR="003D0784" w:rsidRPr="00B7675F" w14:paraId="5FCD471C" w14:textId="77777777" w:rsidTr="005F6348">
        <w:trPr>
          <w:trHeight w:val="20"/>
        </w:trPr>
        <w:tc>
          <w:tcPr>
            <w:tcW w:w="6941" w:type="dxa"/>
            <w:shd w:val="clear" w:color="auto" w:fill="auto"/>
            <w:vAlign w:val="center"/>
            <w:hideMark/>
          </w:tcPr>
          <w:p w14:paraId="49088010"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w:t>
            </w:r>
          </w:p>
        </w:tc>
        <w:tc>
          <w:tcPr>
            <w:tcW w:w="764" w:type="dxa"/>
            <w:shd w:val="clear" w:color="auto" w:fill="auto"/>
            <w:noWrap/>
            <w:vAlign w:val="center"/>
            <w:hideMark/>
          </w:tcPr>
          <w:p w14:paraId="6625D228"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w:t>
            </w:r>
          </w:p>
        </w:tc>
        <w:tc>
          <w:tcPr>
            <w:tcW w:w="1082" w:type="dxa"/>
            <w:shd w:val="clear" w:color="auto" w:fill="auto"/>
            <w:noWrap/>
            <w:vAlign w:val="center"/>
            <w:hideMark/>
          </w:tcPr>
          <w:p w14:paraId="53FC3B65"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w:t>
            </w:r>
          </w:p>
        </w:tc>
        <w:tc>
          <w:tcPr>
            <w:tcW w:w="1082" w:type="dxa"/>
            <w:shd w:val="clear" w:color="auto" w:fill="auto"/>
            <w:noWrap/>
            <w:vAlign w:val="center"/>
            <w:hideMark/>
          </w:tcPr>
          <w:p w14:paraId="0E7F7CFE"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w:t>
            </w:r>
          </w:p>
        </w:tc>
        <w:tc>
          <w:tcPr>
            <w:tcW w:w="1082" w:type="dxa"/>
            <w:shd w:val="clear" w:color="auto" w:fill="auto"/>
            <w:noWrap/>
            <w:vAlign w:val="center"/>
            <w:hideMark/>
          </w:tcPr>
          <w:p w14:paraId="4BEAD3F2"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5</w:t>
            </w:r>
          </w:p>
        </w:tc>
        <w:tc>
          <w:tcPr>
            <w:tcW w:w="1082" w:type="dxa"/>
            <w:shd w:val="clear" w:color="auto" w:fill="auto"/>
            <w:noWrap/>
            <w:vAlign w:val="center"/>
            <w:hideMark/>
          </w:tcPr>
          <w:p w14:paraId="0AD1C32F"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w:t>
            </w:r>
          </w:p>
        </w:tc>
        <w:tc>
          <w:tcPr>
            <w:tcW w:w="991" w:type="dxa"/>
            <w:shd w:val="clear" w:color="auto" w:fill="auto"/>
            <w:noWrap/>
            <w:vAlign w:val="center"/>
            <w:hideMark/>
          </w:tcPr>
          <w:p w14:paraId="2C399481"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7</w:t>
            </w:r>
          </w:p>
        </w:tc>
        <w:tc>
          <w:tcPr>
            <w:tcW w:w="900" w:type="dxa"/>
            <w:shd w:val="clear" w:color="auto" w:fill="auto"/>
            <w:noWrap/>
            <w:vAlign w:val="center"/>
            <w:hideMark/>
          </w:tcPr>
          <w:p w14:paraId="3802D5B5" w14:textId="77777777" w:rsidR="003D0784" w:rsidRPr="00736448" w:rsidRDefault="003D0784" w:rsidP="005F6348">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8</w:t>
            </w:r>
          </w:p>
        </w:tc>
      </w:tr>
      <w:tr w:rsidR="003D0784" w:rsidRPr="00B7675F" w14:paraId="2833618D" w14:textId="77777777" w:rsidTr="005F6348">
        <w:trPr>
          <w:trHeight w:val="20"/>
        </w:trPr>
        <w:tc>
          <w:tcPr>
            <w:tcW w:w="6941" w:type="dxa"/>
            <w:shd w:val="clear" w:color="auto" w:fill="auto"/>
            <w:vAlign w:val="center"/>
            <w:hideMark/>
          </w:tcPr>
          <w:p w14:paraId="612DEC83"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I.  VENITURI</w:t>
            </w:r>
          </w:p>
        </w:tc>
        <w:tc>
          <w:tcPr>
            <w:tcW w:w="764" w:type="dxa"/>
            <w:shd w:val="clear" w:color="auto" w:fill="auto"/>
            <w:noWrap/>
            <w:vAlign w:val="center"/>
            <w:hideMark/>
          </w:tcPr>
          <w:p w14:paraId="39D75AA5"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w:t>
            </w:r>
          </w:p>
        </w:tc>
        <w:tc>
          <w:tcPr>
            <w:tcW w:w="1082" w:type="dxa"/>
            <w:shd w:val="clear" w:color="auto" w:fill="auto"/>
            <w:noWrap/>
            <w:vAlign w:val="center"/>
          </w:tcPr>
          <w:p w14:paraId="15BD4BDA"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31224240,7</w:t>
            </w:r>
          </w:p>
        </w:tc>
        <w:tc>
          <w:tcPr>
            <w:tcW w:w="1082" w:type="dxa"/>
            <w:shd w:val="clear" w:color="auto" w:fill="auto"/>
            <w:noWrap/>
            <w:vAlign w:val="center"/>
          </w:tcPr>
          <w:p w14:paraId="1A13B0DB"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34200589,4</w:t>
            </w:r>
          </w:p>
        </w:tc>
        <w:tc>
          <w:tcPr>
            <w:tcW w:w="1082" w:type="dxa"/>
            <w:shd w:val="clear" w:color="auto" w:fill="auto"/>
            <w:noWrap/>
            <w:vAlign w:val="center"/>
          </w:tcPr>
          <w:p w14:paraId="0074800E"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33796071,0</w:t>
            </w:r>
          </w:p>
        </w:tc>
        <w:tc>
          <w:tcPr>
            <w:tcW w:w="1082" w:type="dxa"/>
            <w:shd w:val="clear" w:color="auto" w:fill="auto"/>
            <w:noWrap/>
            <w:vAlign w:val="center"/>
          </w:tcPr>
          <w:p w14:paraId="106138EF"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19244051,2</w:t>
            </w:r>
          </w:p>
        </w:tc>
        <w:tc>
          <w:tcPr>
            <w:tcW w:w="991" w:type="dxa"/>
            <w:shd w:val="clear" w:color="auto" w:fill="auto"/>
            <w:noWrap/>
            <w:vAlign w:val="center"/>
          </w:tcPr>
          <w:p w14:paraId="7CD1E3DE"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2171824,6</w:t>
            </w:r>
          </w:p>
        </w:tc>
        <w:tc>
          <w:tcPr>
            <w:tcW w:w="900" w:type="dxa"/>
            <w:shd w:val="clear" w:color="auto" w:fill="auto"/>
            <w:noWrap/>
            <w:vAlign w:val="center"/>
          </w:tcPr>
          <w:p w14:paraId="1B1FA616"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154249,6</w:t>
            </w:r>
          </w:p>
        </w:tc>
      </w:tr>
      <w:tr w:rsidR="003D0784" w:rsidRPr="00B7675F" w14:paraId="756C832C" w14:textId="77777777" w:rsidTr="005F6348">
        <w:trPr>
          <w:trHeight w:val="20"/>
        </w:trPr>
        <w:tc>
          <w:tcPr>
            <w:tcW w:w="6941" w:type="dxa"/>
            <w:shd w:val="clear" w:color="auto" w:fill="auto"/>
            <w:vAlign w:val="bottom"/>
            <w:hideMark/>
          </w:tcPr>
          <w:p w14:paraId="5632239B"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CONTRIBUŢII ŞI PRIME DE ASIGURĂRI OBLIGATORII</w:t>
            </w:r>
          </w:p>
        </w:tc>
        <w:tc>
          <w:tcPr>
            <w:tcW w:w="764" w:type="dxa"/>
            <w:shd w:val="clear" w:color="auto" w:fill="auto"/>
            <w:noWrap/>
            <w:vAlign w:val="center"/>
            <w:hideMark/>
          </w:tcPr>
          <w:p w14:paraId="5C8CD2CA"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12</w:t>
            </w:r>
          </w:p>
        </w:tc>
        <w:tc>
          <w:tcPr>
            <w:tcW w:w="1082" w:type="dxa"/>
            <w:shd w:val="clear" w:color="auto" w:fill="auto"/>
            <w:noWrap/>
            <w:vAlign w:val="center"/>
          </w:tcPr>
          <w:p w14:paraId="217F754A"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18367738,2</w:t>
            </w:r>
          </w:p>
        </w:tc>
        <w:tc>
          <w:tcPr>
            <w:tcW w:w="1082" w:type="dxa"/>
            <w:shd w:val="clear" w:color="auto" w:fill="auto"/>
            <w:noWrap/>
            <w:vAlign w:val="center"/>
          </w:tcPr>
          <w:p w14:paraId="31C34C8F"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18553038,2</w:t>
            </w:r>
          </w:p>
        </w:tc>
        <w:tc>
          <w:tcPr>
            <w:tcW w:w="1082" w:type="dxa"/>
            <w:shd w:val="clear" w:color="auto" w:fill="auto"/>
            <w:noWrap/>
            <w:vAlign w:val="center"/>
          </w:tcPr>
          <w:p w14:paraId="2C5CD807"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18573343,6</w:t>
            </w:r>
          </w:p>
        </w:tc>
        <w:tc>
          <w:tcPr>
            <w:tcW w:w="1082" w:type="dxa"/>
            <w:shd w:val="clear" w:color="auto" w:fill="auto"/>
            <w:noWrap/>
            <w:vAlign w:val="center"/>
          </w:tcPr>
          <w:p w14:paraId="00D8425D"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18800697,6</w:t>
            </w:r>
          </w:p>
        </w:tc>
        <w:tc>
          <w:tcPr>
            <w:tcW w:w="991" w:type="dxa"/>
            <w:shd w:val="clear" w:color="auto" w:fill="auto"/>
            <w:noWrap/>
            <w:vAlign w:val="center"/>
          </w:tcPr>
          <w:p w14:paraId="037697A5"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2092166,1</w:t>
            </w:r>
          </w:p>
        </w:tc>
        <w:tc>
          <w:tcPr>
            <w:tcW w:w="900" w:type="dxa"/>
            <w:shd w:val="clear" w:color="auto" w:fill="auto"/>
            <w:noWrap/>
            <w:vAlign w:val="center"/>
          </w:tcPr>
          <w:p w14:paraId="77A44EB6"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147286,9</w:t>
            </w:r>
          </w:p>
        </w:tc>
      </w:tr>
      <w:tr w:rsidR="003D0784" w:rsidRPr="00B7675F" w14:paraId="61DDD73E" w14:textId="77777777" w:rsidTr="005F6348">
        <w:trPr>
          <w:trHeight w:val="20"/>
        </w:trPr>
        <w:tc>
          <w:tcPr>
            <w:tcW w:w="6941" w:type="dxa"/>
            <w:shd w:val="clear" w:color="auto" w:fill="auto"/>
            <w:vAlign w:val="bottom"/>
            <w:hideMark/>
          </w:tcPr>
          <w:p w14:paraId="5EF134E1"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CONTRIBUŢII DE ASIGURĂRI SOCIALE DE STAT OBLIGATORII</w:t>
            </w:r>
          </w:p>
        </w:tc>
        <w:tc>
          <w:tcPr>
            <w:tcW w:w="764" w:type="dxa"/>
            <w:shd w:val="clear" w:color="auto" w:fill="auto"/>
            <w:noWrap/>
            <w:vAlign w:val="center"/>
            <w:hideMark/>
          </w:tcPr>
          <w:p w14:paraId="66868C5A"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121</w:t>
            </w:r>
          </w:p>
        </w:tc>
        <w:tc>
          <w:tcPr>
            <w:tcW w:w="1082" w:type="dxa"/>
            <w:shd w:val="clear" w:color="auto" w:fill="auto"/>
            <w:noWrap/>
            <w:vAlign w:val="center"/>
          </w:tcPr>
          <w:p w14:paraId="52C3591F"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18367738,2</w:t>
            </w:r>
          </w:p>
        </w:tc>
        <w:tc>
          <w:tcPr>
            <w:tcW w:w="1082" w:type="dxa"/>
            <w:shd w:val="clear" w:color="000000" w:fill="FFFFFF"/>
            <w:noWrap/>
            <w:vAlign w:val="center"/>
          </w:tcPr>
          <w:p w14:paraId="2B3EE0D7"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18553038,2</w:t>
            </w:r>
          </w:p>
        </w:tc>
        <w:tc>
          <w:tcPr>
            <w:tcW w:w="1082" w:type="dxa"/>
            <w:shd w:val="clear" w:color="000000" w:fill="FFFFFF"/>
            <w:noWrap/>
            <w:vAlign w:val="center"/>
          </w:tcPr>
          <w:p w14:paraId="2644652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18573343,6</w:t>
            </w:r>
          </w:p>
        </w:tc>
        <w:tc>
          <w:tcPr>
            <w:tcW w:w="1082" w:type="dxa"/>
            <w:shd w:val="clear" w:color="000000" w:fill="FFFFFF"/>
            <w:noWrap/>
            <w:vAlign w:val="center"/>
          </w:tcPr>
          <w:p w14:paraId="28E898B4"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18800697,6</w:t>
            </w:r>
          </w:p>
        </w:tc>
        <w:tc>
          <w:tcPr>
            <w:tcW w:w="991" w:type="dxa"/>
            <w:shd w:val="clear" w:color="000000" w:fill="FFFFFF"/>
            <w:noWrap/>
            <w:vAlign w:val="center"/>
          </w:tcPr>
          <w:p w14:paraId="7E36F293"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2092166,1</w:t>
            </w:r>
          </w:p>
        </w:tc>
        <w:tc>
          <w:tcPr>
            <w:tcW w:w="900" w:type="dxa"/>
            <w:shd w:val="clear" w:color="000000" w:fill="FFFFFF"/>
            <w:noWrap/>
            <w:vAlign w:val="center"/>
          </w:tcPr>
          <w:p w14:paraId="1D04F2A8"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147286,9</w:t>
            </w:r>
          </w:p>
        </w:tc>
      </w:tr>
      <w:tr w:rsidR="003D0784" w:rsidRPr="00B7675F" w14:paraId="7EB8EEB6" w14:textId="77777777" w:rsidTr="005F6348">
        <w:trPr>
          <w:trHeight w:val="20"/>
        </w:trPr>
        <w:tc>
          <w:tcPr>
            <w:tcW w:w="6941" w:type="dxa"/>
            <w:shd w:val="clear" w:color="auto" w:fill="auto"/>
            <w:vAlign w:val="bottom"/>
            <w:hideMark/>
          </w:tcPr>
          <w:p w14:paraId="169758EA"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Contribuții de asigurări sociale de stat obligatorii virate de angajatori</w:t>
            </w:r>
          </w:p>
        </w:tc>
        <w:tc>
          <w:tcPr>
            <w:tcW w:w="764" w:type="dxa"/>
            <w:shd w:val="clear" w:color="auto" w:fill="auto"/>
            <w:noWrap/>
            <w:vAlign w:val="center"/>
            <w:hideMark/>
          </w:tcPr>
          <w:p w14:paraId="473AD85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121100</w:t>
            </w:r>
          </w:p>
        </w:tc>
        <w:tc>
          <w:tcPr>
            <w:tcW w:w="1082" w:type="dxa"/>
            <w:shd w:val="clear" w:color="auto" w:fill="auto"/>
            <w:noWrap/>
            <w:vAlign w:val="center"/>
          </w:tcPr>
          <w:p w14:paraId="378B029C"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18180412,6</w:t>
            </w:r>
          </w:p>
        </w:tc>
        <w:tc>
          <w:tcPr>
            <w:tcW w:w="1082" w:type="dxa"/>
            <w:shd w:val="clear" w:color="000000" w:fill="FFFFFF"/>
            <w:noWrap/>
            <w:vAlign w:val="center"/>
          </w:tcPr>
          <w:p w14:paraId="6AEFF58F"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18335712,6</w:t>
            </w:r>
          </w:p>
        </w:tc>
        <w:tc>
          <w:tcPr>
            <w:tcW w:w="1082" w:type="dxa"/>
            <w:shd w:val="clear" w:color="auto" w:fill="auto"/>
            <w:noWrap/>
            <w:vAlign w:val="center"/>
          </w:tcPr>
          <w:p w14:paraId="12AC5574"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18335593,4</w:t>
            </w:r>
          </w:p>
        </w:tc>
        <w:tc>
          <w:tcPr>
            <w:tcW w:w="1082" w:type="dxa"/>
            <w:shd w:val="clear" w:color="auto" w:fill="auto"/>
            <w:noWrap/>
            <w:vAlign w:val="center"/>
          </w:tcPr>
          <w:p w14:paraId="7857093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18546012,5</w:t>
            </w:r>
          </w:p>
        </w:tc>
        <w:tc>
          <w:tcPr>
            <w:tcW w:w="991" w:type="dxa"/>
            <w:shd w:val="clear" w:color="auto" w:fill="auto"/>
            <w:noWrap/>
            <w:vAlign w:val="center"/>
          </w:tcPr>
          <w:p w14:paraId="3E08BCFF"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1723036,3</w:t>
            </w:r>
          </w:p>
        </w:tc>
        <w:tc>
          <w:tcPr>
            <w:tcW w:w="900" w:type="dxa"/>
            <w:shd w:val="clear" w:color="auto" w:fill="auto"/>
            <w:noWrap/>
            <w:vAlign w:val="center"/>
          </w:tcPr>
          <w:p w14:paraId="704769F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111269,5</w:t>
            </w:r>
          </w:p>
        </w:tc>
      </w:tr>
      <w:tr w:rsidR="003D0784" w:rsidRPr="00B7675F" w14:paraId="3F4A7E64" w14:textId="77777777" w:rsidTr="005F6348">
        <w:trPr>
          <w:trHeight w:val="20"/>
        </w:trPr>
        <w:tc>
          <w:tcPr>
            <w:tcW w:w="6941" w:type="dxa"/>
            <w:shd w:val="clear" w:color="auto" w:fill="auto"/>
            <w:vAlign w:val="bottom"/>
            <w:hideMark/>
          </w:tcPr>
          <w:p w14:paraId="17AAAF23"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Contribuții de asigurări sociale de stat obligatorii, virate de persoanele fizice ce îşi desfășoară activitate pe cont propriu</w:t>
            </w:r>
          </w:p>
        </w:tc>
        <w:tc>
          <w:tcPr>
            <w:tcW w:w="764" w:type="dxa"/>
            <w:shd w:val="clear" w:color="auto" w:fill="auto"/>
            <w:vAlign w:val="center"/>
            <w:hideMark/>
          </w:tcPr>
          <w:p w14:paraId="0A0D7E4D"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121310</w:t>
            </w:r>
          </w:p>
        </w:tc>
        <w:tc>
          <w:tcPr>
            <w:tcW w:w="1082" w:type="dxa"/>
            <w:shd w:val="clear" w:color="auto" w:fill="auto"/>
            <w:vAlign w:val="center"/>
          </w:tcPr>
          <w:p w14:paraId="42B3065F"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130690,7</w:t>
            </w:r>
          </w:p>
        </w:tc>
        <w:tc>
          <w:tcPr>
            <w:tcW w:w="1082" w:type="dxa"/>
            <w:shd w:val="clear" w:color="000000" w:fill="FFFFFF"/>
            <w:vAlign w:val="center"/>
          </w:tcPr>
          <w:p w14:paraId="69083F6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130690,7</w:t>
            </w:r>
          </w:p>
        </w:tc>
        <w:tc>
          <w:tcPr>
            <w:tcW w:w="1082" w:type="dxa"/>
            <w:shd w:val="clear" w:color="auto" w:fill="auto"/>
            <w:vAlign w:val="center"/>
          </w:tcPr>
          <w:p w14:paraId="7C754AE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128237,7</w:t>
            </w:r>
          </w:p>
        </w:tc>
        <w:tc>
          <w:tcPr>
            <w:tcW w:w="1082" w:type="dxa"/>
            <w:shd w:val="clear" w:color="auto" w:fill="auto"/>
            <w:vAlign w:val="center"/>
          </w:tcPr>
          <w:p w14:paraId="3AC75CC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130616,2</w:t>
            </w:r>
          </w:p>
        </w:tc>
        <w:tc>
          <w:tcPr>
            <w:tcW w:w="991" w:type="dxa"/>
            <w:shd w:val="clear" w:color="auto" w:fill="auto"/>
            <w:noWrap/>
            <w:vAlign w:val="center"/>
          </w:tcPr>
          <w:p w14:paraId="0D3E340E"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24038,0</w:t>
            </w:r>
          </w:p>
        </w:tc>
        <w:tc>
          <w:tcPr>
            <w:tcW w:w="900" w:type="dxa"/>
            <w:shd w:val="clear" w:color="auto" w:fill="auto"/>
            <w:noWrap/>
            <w:vAlign w:val="center"/>
          </w:tcPr>
          <w:p w14:paraId="265FABB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17736,1</w:t>
            </w:r>
          </w:p>
        </w:tc>
      </w:tr>
      <w:tr w:rsidR="003D0784" w:rsidRPr="00B7675F" w14:paraId="3FF1CC93" w14:textId="77777777" w:rsidTr="005F6348">
        <w:trPr>
          <w:trHeight w:val="20"/>
        </w:trPr>
        <w:tc>
          <w:tcPr>
            <w:tcW w:w="6941" w:type="dxa"/>
            <w:shd w:val="clear" w:color="auto" w:fill="auto"/>
            <w:vAlign w:val="bottom"/>
            <w:hideMark/>
          </w:tcPr>
          <w:p w14:paraId="27DF9B0C"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Contribuții de asigurări sociale de stat individuale virate de persoanele fizice care au încheiat contract individual</w:t>
            </w:r>
          </w:p>
        </w:tc>
        <w:tc>
          <w:tcPr>
            <w:tcW w:w="764" w:type="dxa"/>
            <w:shd w:val="clear" w:color="auto" w:fill="auto"/>
            <w:noWrap/>
            <w:vAlign w:val="center"/>
            <w:hideMark/>
          </w:tcPr>
          <w:p w14:paraId="484BD13C"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121320</w:t>
            </w:r>
          </w:p>
        </w:tc>
        <w:tc>
          <w:tcPr>
            <w:tcW w:w="1082" w:type="dxa"/>
            <w:shd w:val="clear" w:color="auto" w:fill="auto"/>
            <w:noWrap/>
            <w:vAlign w:val="center"/>
          </w:tcPr>
          <w:p w14:paraId="1FA6B54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5329,6</w:t>
            </w:r>
          </w:p>
        </w:tc>
        <w:tc>
          <w:tcPr>
            <w:tcW w:w="1082" w:type="dxa"/>
            <w:shd w:val="clear" w:color="000000" w:fill="FFFFFF"/>
            <w:noWrap/>
            <w:vAlign w:val="center"/>
          </w:tcPr>
          <w:p w14:paraId="59852D6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5329,6</w:t>
            </w:r>
          </w:p>
        </w:tc>
        <w:tc>
          <w:tcPr>
            <w:tcW w:w="1082" w:type="dxa"/>
            <w:shd w:val="clear" w:color="auto" w:fill="auto"/>
            <w:noWrap/>
            <w:vAlign w:val="center"/>
          </w:tcPr>
          <w:p w14:paraId="652B7C44"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4891,5</w:t>
            </w:r>
          </w:p>
        </w:tc>
        <w:tc>
          <w:tcPr>
            <w:tcW w:w="1082" w:type="dxa"/>
            <w:shd w:val="clear" w:color="auto" w:fill="auto"/>
            <w:noWrap/>
            <w:vAlign w:val="center"/>
          </w:tcPr>
          <w:p w14:paraId="504B313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4767,7</w:t>
            </w:r>
          </w:p>
        </w:tc>
        <w:tc>
          <w:tcPr>
            <w:tcW w:w="991" w:type="dxa"/>
            <w:shd w:val="clear" w:color="auto" w:fill="auto"/>
            <w:noWrap/>
            <w:vAlign w:val="center"/>
          </w:tcPr>
          <w:p w14:paraId="6FABF62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109,9</w:t>
            </w:r>
          </w:p>
        </w:tc>
        <w:tc>
          <w:tcPr>
            <w:tcW w:w="900" w:type="dxa"/>
            <w:shd w:val="clear" w:color="auto" w:fill="auto"/>
            <w:noWrap/>
            <w:vAlign w:val="center"/>
          </w:tcPr>
          <w:p w14:paraId="330E201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1733,3</w:t>
            </w:r>
          </w:p>
        </w:tc>
      </w:tr>
      <w:tr w:rsidR="003D0784" w:rsidRPr="00B7675F" w14:paraId="5CCF4877" w14:textId="77777777" w:rsidTr="005F6348">
        <w:trPr>
          <w:trHeight w:val="20"/>
        </w:trPr>
        <w:tc>
          <w:tcPr>
            <w:tcW w:w="6941" w:type="dxa"/>
            <w:shd w:val="clear" w:color="auto" w:fill="auto"/>
            <w:vAlign w:val="bottom"/>
            <w:hideMark/>
          </w:tcPr>
          <w:p w14:paraId="3A420269"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Contribuții  de asigurări sociale de stat obligatorii, virate de titularii de patentă de întreprinzător</w:t>
            </w:r>
          </w:p>
        </w:tc>
        <w:tc>
          <w:tcPr>
            <w:tcW w:w="764" w:type="dxa"/>
            <w:shd w:val="clear" w:color="auto" w:fill="auto"/>
            <w:vAlign w:val="center"/>
            <w:hideMark/>
          </w:tcPr>
          <w:p w14:paraId="11635C4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121330</w:t>
            </w:r>
          </w:p>
        </w:tc>
        <w:tc>
          <w:tcPr>
            <w:tcW w:w="1082" w:type="dxa"/>
            <w:shd w:val="clear" w:color="auto" w:fill="auto"/>
            <w:vAlign w:val="center"/>
          </w:tcPr>
          <w:p w14:paraId="2BD7B30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51305,3</w:t>
            </w:r>
          </w:p>
        </w:tc>
        <w:tc>
          <w:tcPr>
            <w:tcW w:w="1082" w:type="dxa"/>
            <w:shd w:val="clear" w:color="000000" w:fill="FFFFFF"/>
            <w:vAlign w:val="center"/>
          </w:tcPr>
          <w:p w14:paraId="0CFB3BCE"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51305,3</w:t>
            </w:r>
          </w:p>
        </w:tc>
        <w:tc>
          <w:tcPr>
            <w:tcW w:w="1082" w:type="dxa"/>
            <w:shd w:val="clear" w:color="auto" w:fill="auto"/>
            <w:vAlign w:val="center"/>
          </w:tcPr>
          <w:p w14:paraId="1D320CC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43201,6</w:t>
            </w:r>
          </w:p>
        </w:tc>
        <w:tc>
          <w:tcPr>
            <w:tcW w:w="1082" w:type="dxa"/>
            <w:shd w:val="clear" w:color="auto" w:fill="auto"/>
            <w:vAlign w:val="center"/>
          </w:tcPr>
          <w:p w14:paraId="2420F7F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41831,0</w:t>
            </w:r>
          </w:p>
        </w:tc>
        <w:tc>
          <w:tcPr>
            <w:tcW w:w="991" w:type="dxa"/>
            <w:shd w:val="clear" w:color="auto" w:fill="auto"/>
            <w:noWrap/>
            <w:vAlign w:val="center"/>
          </w:tcPr>
          <w:p w14:paraId="1FD4EDF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2630,2</w:t>
            </w:r>
          </w:p>
        </w:tc>
        <w:tc>
          <w:tcPr>
            <w:tcW w:w="900" w:type="dxa"/>
            <w:shd w:val="clear" w:color="auto" w:fill="auto"/>
            <w:noWrap/>
            <w:vAlign w:val="center"/>
          </w:tcPr>
          <w:p w14:paraId="46B9B13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13048,7</w:t>
            </w:r>
          </w:p>
        </w:tc>
      </w:tr>
      <w:tr w:rsidR="003D0784" w:rsidRPr="00B7675F" w14:paraId="516E3D48" w14:textId="77777777" w:rsidTr="005F6348">
        <w:trPr>
          <w:trHeight w:val="20"/>
        </w:trPr>
        <w:tc>
          <w:tcPr>
            <w:tcW w:w="6941" w:type="dxa"/>
            <w:shd w:val="clear" w:color="auto" w:fill="auto"/>
            <w:vAlign w:val="bottom"/>
            <w:hideMark/>
          </w:tcPr>
          <w:p w14:paraId="171BE8C1"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Contribuții de asigurări sociale de stat obligatorii, virate de persoanele fizice, proprietarii de terenuri agricole</w:t>
            </w:r>
          </w:p>
        </w:tc>
        <w:tc>
          <w:tcPr>
            <w:tcW w:w="764" w:type="dxa"/>
            <w:shd w:val="clear" w:color="auto" w:fill="auto"/>
            <w:vAlign w:val="center"/>
            <w:hideMark/>
          </w:tcPr>
          <w:p w14:paraId="24BD00B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121340</w:t>
            </w:r>
          </w:p>
        </w:tc>
        <w:tc>
          <w:tcPr>
            <w:tcW w:w="1082" w:type="dxa"/>
            <w:shd w:val="clear" w:color="auto" w:fill="auto"/>
            <w:vAlign w:val="center"/>
          </w:tcPr>
          <w:p w14:paraId="01D05235"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1082" w:type="dxa"/>
            <w:shd w:val="clear" w:color="000000" w:fill="FFFFFF"/>
            <w:vAlign w:val="center"/>
          </w:tcPr>
          <w:p w14:paraId="2FEE6ECE"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1082" w:type="dxa"/>
            <w:shd w:val="clear" w:color="auto" w:fill="auto"/>
            <w:vAlign w:val="center"/>
          </w:tcPr>
          <w:p w14:paraId="691DAD7A"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201,5</w:t>
            </w:r>
          </w:p>
        </w:tc>
        <w:tc>
          <w:tcPr>
            <w:tcW w:w="1082" w:type="dxa"/>
            <w:shd w:val="clear" w:color="auto" w:fill="auto"/>
            <w:vAlign w:val="center"/>
          </w:tcPr>
          <w:p w14:paraId="32950D98"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8,2</w:t>
            </w:r>
          </w:p>
        </w:tc>
        <w:tc>
          <w:tcPr>
            <w:tcW w:w="991" w:type="dxa"/>
            <w:shd w:val="clear" w:color="auto" w:fill="auto"/>
            <w:noWrap/>
            <w:vAlign w:val="center"/>
          </w:tcPr>
          <w:p w14:paraId="1B3745C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3,4</w:t>
            </w:r>
          </w:p>
        </w:tc>
        <w:tc>
          <w:tcPr>
            <w:tcW w:w="900" w:type="dxa"/>
            <w:shd w:val="clear" w:color="auto" w:fill="auto"/>
            <w:noWrap/>
            <w:vAlign w:val="center"/>
          </w:tcPr>
          <w:p w14:paraId="327BC62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917,2</w:t>
            </w:r>
          </w:p>
        </w:tc>
      </w:tr>
      <w:tr w:rsidR="003D0784" w:rsidRPr="00B7675F" w14:paraId="5E6A2F8A" w14:textId="77777777" w:rsidTr="005F6348">
        <w:trPr>
          <w:trHeight w:val="20"/>
        </w:trPr>
        <w:tc>
          <w:tcPr>
            <w:tcW w:w="6941" w:type="dxa"/>
            <w:shd w:val="clear" w:color="auto" w:fill="auto"/>
            <w:vAlign w:val="bottom"/>
            <w:hideMark/>
          </w:tcPr>
          <w:p w14:paraId="0D31CEF2"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Majorarea de întârziere (penalitatea)calculată pentru neachitarea în termen a contribuțiilor de asigurări sociale de stat obligatorii</w:t>
            </w:r>
          </w:p>
        </w:tc>
        <w:tc>
          <w:tcPr>
            <w:tcW w:w="764" w:type="dxa"/>
            <w:shd w:val="clear" w:color="auto" w:fill="auto"/>
            <w:vAlign w:val="center"/>
            <w:hideMark/>
          </w:tcPr>
          <w:p w14:paraId="4ADCE0F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121410</w:t>
            </w:r>
          </w:p>
        </w:tc>
        <w:tc>
          <w:tcPr>
            <w:tcW w:w="1082" w:type="dxa"/>
            <w:shd w:val="clear" w:color="auto" w:fill="auto"/>
            <w:vAlign w:val="center"/>
          </w:tcPr>
          <w:p w14:paraId="16AE854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1082" w:type="dxa"/>
            <w:shd w:val="clear" w:color="000000" w:fill="FFFFFF"/>
            <w:vAlign w:val="center"/>
          </w:tcPr>
          <w:p w14:paraId="403A99DA"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30000,0</w:t>
            </w:r>
          </w:p>
        </w:tc>
        <w:tc>
          <w:tcPr>
            <w:tcW w:w="1082" w:type="dxa"/>
            <w:shd w:val="clear" w:color="auto" w:fill="auto"/>
            <w:vAlign w:val="center"/>
          </w:tcPr>
          <w:p w14:paraId="232D237A"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61217,9</w:t>
            </w:r>
          </w:p>
        </w:tc>
        <w:tc>
          <w:tcPr>
            <w:tcW w:w="1082" w:type="dxa"/>
            <w:shd w:val="clear" w:color="auto" w:fill="auto"/>
            <w:vAlign w:val="center"/>
          </w:tcPr>
          <w:p w14:paraId="15B6CCA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77462,0</w:t>
            </w:r>
          </w:p>
        </w:tc>
        <w:tc>
          <w:tcPr>
            <w:tcW w:w="991" w:type="dxa"/>
            <w:shd w:val="clear" w:color="auto" w:fill="auto"/>
            <w:noWrap/>
            <w:vAlign w:val="center"/>
          </w:tcPr>
          <w:p w14:paraId="20D5C12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342348,3</w:t>
            </w:r>
          </w:p>
        </w:tc>
        <w:tc>
          <w:tcPr>
            <w:tcW w:w="900" w:type="dxa"/>
            <w:shd w:val="clear" w:color="auto" w:fill="auto"/>
            <w:noWrap/>
            <w:vAlign w:val="center"/>
          </w:tcPr>
          <w:p w14:paraId="43603F5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2582,1</w:t>
            </w:r>
          </w:p>
        </w:tc>
      </w:tr>
      <w:tr w:rsidR="003D0784" w:rsidRPr="00B7675F" w14:paraId="3F8EAEC1" w14:textId="77777777" w:rsidTr="005F6348">
        <w:trPr>
          <w:trHeight w:val="20"/>
        </w:trPr>
        <w:tc>
          <w:tcPr>
            <w:tcW w:w="6941" w:type="dxa"/>
            <w:shd w:val="clear" w:color="auto" w:fill="auto"/>
            <w:vAlign w:val="bottom"/>
            <w:hideMark/>
          </w:tcPr>
          <w:p w14:paraId="2AAE998D"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ALTE VENITURI</w:t>
            </w:r>
          </w:p>
        </w:tc>
        <w:tc>
          <w:tcPr>
            <w:tcW w:w="764" w:type="dxa"/>
            <w:shd w:val="clear" w:color="auto" w:fill="auto"/>
            <w:noWrap/>
            <w:vAlign w:val="center"/>
            <w:hideMark/>
          </w:tcPr>
          <w:p w14:paraId="07457697"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w:t>
            </w:r>
          </w:p>
        </w:tc>
        <w:tc>
          <w:tcPr>
            <w:tcW w:w="1082" w:type="dxa"/>
            <w:shd w:val="clear" w:color="auto" w:fill="auto"/>
            <w:noWrap/>
            <w:vAlign w:val="center"/>
          </w:tcPr>
          <w:p w14:paraId="0EE33375"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306490,0</w:t>
            </w:r>
          </w:p>
        </w:tc>
        <w:tc>
          <w:tcPr>
            <w:tcW w:w="1082" w:type="dxa"/>
            <w:shd w:val="clear" w:color="000000" w:fill="FFFFFF"/>
            <w:noWrap/>
            <w:vAlign w:val="center"/>
          </w:tcPr>
          <w:p w14:paraId="3D39D69D"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345190,0</w:t>
            </w:r>
          </w:p>
        </w:tc>
        <w:tc>
          <w:tcPr>
            <w:tcW w:w="1082" w:type="dxa"/>
            <w:shd w:val="clear" w:color="000000" w:fill="FFFFFF"/>
            <w:noWrap/>
            <w:vAlign w:val="center"/>
          </w:tcPr>
          <w:p w14:paraId="6EEB06F8"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428700,3</w:t>
            </w:r>
          </w:p>
        </w:tc>
        <w:tc>
          <w:tcPr>
            <w:tcW w:w="1082" w:type="dxa"/>
            <w:shd w:val="clear" w:color="000000" w:fill="FFFFFF"/>
            <w:noWrap/>
            <w:vAlign w:val="center"/>
          </w:tcPr>
          <w:p w14:paraId="4977524D"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443353,6</w:t>
            </w:r>
          </w:p>
        </w:tc>
        <w:tc>
          <w:tcPr>
            <w:tcW w:w="991" w:type="dxa"/>
            <w:shd w:val="clear" w:color="000000" w:fill="FFFFFF"/>
            <w:noWrap/>
            <w:vAlign w:val="center"/>
          </w:tcPr>
          <w:p w14:paraId="019D37B5"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79658,5</w:t>
            </w:r>
          </w:p>
        </w:tc>
        <w:tc>
          <w:tcPr>
            <w:tcW w:w="900" w:type="dxa"/>
            <w:shd w:val="clear" w:color="000000" w:fill="FFFFFF"/>
            <w:noWrap/>
            <w:vAlign w:val="center"/>
          </w:tcPr>
          <w:p w14:paraId="076EC52B"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6962,7</w:t>
            </w:r>
          </w:p>
        </w:tc>
      </w:tr>
      <w:tr w:rsidR="003D0784" w:rsidRPr="00B7675F" w14:paraId="65C6C3CC" w14:textId="77777777" w:rsidTr="005F6348">
        <w:trPr>
          <w:trHeight w:val="20"/>
        </w:trPr>
        <w:tc>
          <w:tcPr>
            <w:tcW w:w="6941" w:type="dxa"/>
            <w:shd w:val="clear" w:color="auto" w:fill="auto"/>
            <w:vAlign w:val="bottom"/>
            <w:hideMark/>
          </w:tcPr>
          <w:p w14:paraId="5FD306ED"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VENITURI DIN PROPRIETATE</w:t>
            </w:r>
          </w:p>
        </w:tc>
        <w:tc>
          <w:tcPr>
            <w:tcW w:w="764" w:type="dxa"/>
            <w:shd w:val="clear" w:color="auto" w:fill="auto"/>
            <w:noWrap/>
            <w:vAlign w:val="center"/>
            <w:hideMark/>
          </w:tcPr>
          <w:p w14:paraId="3DBDAE54"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141</w:t>
            </w:r>
          </w:p>
        </w:tc>
        <w:tc>
          <w:tcPr>
            <w:tcW w:w="1082" w:type="dxa"/>
            <w:shd w:val="clear" w:color="auto" w:fill="auto"/>
            <w:noWrap/>
            <w:vAlign w:val="center"/>
          </w:tcPr>
          <w:p w14:paraId="30D5AC80"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3000,0</w:t>
            </w:r>
          </w:p>
        </w:tc>
        <w:tc>
          <w:tcPr>
            <w:tcW w:w="1082" w:type="dxa"/>
            <w:shd w:val="clear" w:color="000000" w:fill="FFFFFF"/>
            <w:noWrap/>
            <w:vAlign w:val="center"/>
          </w:tcPr>
          <w:p w14:paraId="10477821"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3000,0</w:t>
            </w:r>
          </w:p>
        </w:tc>
        <w:tc>
          <w:tcPr>
            <w:tcW w:w="1082" w:type="dxa"/>
            <w:shd w:val="clear" w:color="000000" w:fill="FFFFFF"/>
            <w:noWrap/>
            <w:vAlign w:val="center"/>
          </w:tcPr>
          <w:p w14:paraId="20D8445C"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6014,1</w:t>
            </w:r>
          </w:p>
        </w:tc>
        <w:tc>
          <w:tcPr>
            <w:tcW w:w="1082" w:type="dxa"/>
            <w:shd w:val="clear" w:color="000000" w:fill="FFFFFF"/>
            <w:noWrap/>
            <w:vAlign w:val="center"/>
          </w:tcPr>
          <w:p w14:paraId="23C3440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6014,1</w:t>
            </w:r>
          </w:p>
        </w:tc>
        <w:tc>
          <w:tcPr>
            <w:tcW w:w="991" w:type="dxa"/>
            <w:shd w:val="clear" w:color="000000" w:fill="FFFFFF"/>
            <w:noWrap/>
            <w:vAlign w:val="center"/>
          </w:tcPr>
          <w:p w14:paraId="1514B840"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c>
          <w:tcPr>
            <w:tcW w:w="900" w:type="dxa"/>
            <w:shd w:val="clear" w:color="000000" w:fill="FFFFFF"/>
            <w:noWrap/>
            <w:vAlign w:val="center"/>
          </w:tcPr>
          <w:p w14:paraId="56ED3994"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r>
      <w:tr w:rsidR="003D0784" w:rsidRPr="00B7675F" w14:paraId="647A21FF" w14:textId="77777777" w:rsidTr="005F6348">
        <w:trPr>
          <w:trHeight w:val="20"/>
        </w:trPr>
        <w:tc>
          <w:tcPr>
            <w:tcW w:w="6941" w:type="dxa"/>
            <w:shd w:val="clear" w:color="auto" w:fill="auto"/>
            <w:vAlign w:val="bottom"/>
            <w:hideMark/>
          </w:tcPr>
          <w:p w14:paraId="15524B91"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Dobânzi încasate la soldurile mijloacelor bănești la conturile bancare ale bugetului asigurărilor sociale de stat</w:t>
            </w:r>
          </w:p>
        </w:tc>
        <w:tc>
          <w:tcPr>
            <w:tcW w:w="764" w:type="dxa"/>
            <w:shd w:val="clear" w:color="auto" w:fill="auto"/>
            <w:noWrap/>
            <w:vAlign w:val="center"/>
            <w:hideMark/>
          </w:tcPr>
          <w:p w14:paraId="1129C714"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141115</w:t>
            </w:r>
          </w:p>
        </w:tc>
        <w:tc>
          <w:tcPr>
            <w:tcW w:w="1082" w:type="dxa"/>
            <w:shd w:val="clear" w:color="auto" w:fill="auto"/>
            <w:noWrap/>
            <w:vAlign w:val="center"/>
          </w:tcPr>
          <w:p w14:paraId="0AC71619"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3000,0</w:t>
            </w:r>
          </w:p>
        </w:tc>
        <w:tc>
          <w:tcPr>
            <w:tcW w:w="1082" w:type="dxa"/>
            <w:shd w:val="clear" w:color="000000" w:fill="FFFFFF"/>
            <w:noWrap/>
            <w:vAlign w:val="center"/>
          </w:tcPr>
          <w:p w14:paraId="12A769A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3000,0</w:t>
            </w:r>
          </w:p>
        </w:tc>
        <w:tc>
          <w:tcPr>
            <w:tcW w:w="1082" w:type="dxa"/>
            <w:shd w:val="clear" w:color="auto" w:fill="auto"/>
            <w:noWrap/>
            <w:vAlign w:val="center"/>
          </w:tcPr>
          <w:p w14:paraId="3B8D7B85"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6014,1</w:t>
            </w:r>
          </w:p>
        </w:tc>
        <w:tc>
          <w:tcPr>
            <w:tcW w:w="1082" w:type="dxa"/>
            <w:shd w:val="clear" w:color="auto" w:fill="auto"/>
            <w:noWrap/>
            <w:vAlign w:val="center"/>
          </w:tcPr>
          <w:p w14:paraId="3DC8723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6014,1</w:t>
            </w:r>
          </w:p>
        </w:tc>
        <w:tc>
          <w:tcPr>
            <w:tcW w:w="991" w:type="dxa"/>
            <w:shd w:val="clear" w:color="auto" w:fill="auto"/>
            <w:noWrap/>
            <w:vAlign w:val="center"/>
          </w:tcPr>
          <w:p w14:paraId="4DD253BD"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900" w:type="dxa"/>
            <w:shd w:val="clear" w:color="auto" w:fill="auto"/>
            <w:noWrap/>
            <w:vAlign w:val="center"/>
          </w:tcPr>
          <w:p w14:paraId="18E3568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r>
      <w:tr w:rsidR="003D0784" w:rsidRPr="00B7675F" w14:paraId="0E28F296" w14:textId="77777777" w:rsidTr="005F6348">
        <w:trPr>
          <w:trHeight w:val="20"/>
        </w:trPr>
        <w:tc>
          <w:tcPr>
            <w:tcW w:w="6941" w:type="dxa"/>
            <w:shd w:val="clear" w:color="auto" w:fill="auto"/>
            <w:vAlign w:val="bottom"/>
            <w:hideMark/>
          </w:tcPr>
          <w:p w14:paraId="3C772800"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VENITURI DIN VÂNZAREA MĂRFURILOR ŞI SERVICIILOR</w:t>
            </w:r>
          </w:p>
        </w:tc>
        <w:tc>
          <w:tcPr>
            <w:tcW w:w="764" w:type="dxa"/>
            <w:shd w:val="clear" w:color="auto" w:fill="auto"/>
            <w:noWrap/>
            <w:vAlign w:val="center"/>
            <w:hideMark/>
          </w:tcPr>
          <w:p w14:paraId="42466536"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142</w:t>
            </w:r>
          </w:p>
        </w:tc>
        <w:tc>
          <w:tcPr>
            <w:tcW w:w="1082" w:type="dxa"/>
            <w:shd w:val="clear" w:color="auto" w:fill="auto"/>
            <w:noWrap/>
            <w:vAlign w:val="center"/>
          </w:tcPr>
          <w:p w14:paraId="21A5A0F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1082" w:type="dxa"/>
            <w:shd w:val="clear" w:color="000000" w:fill="FFFFFF"/>
            <w:noWrap/>
            <w:vAlign w:val="center"/>
          </w:tcPr>
          <w:p w14:paraId="6A1CB6C3"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c>
          <w:tcPr>
            <w:tcW w:w="1082" w:type="dxa"/>
            <w:shd w:val="clear" w:color="000000" w:fill="FFFFFF"/>
            <w:noWrap/>
            <w:vAlign w:val="center"/>
          </w:tcPr>
          <w:p w14:paraId="6A9C35EC"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54,6</w:t>
            </w:r>
          </w:p>
        </w:tc>
        <w:tc>
          <w:tcPr>
            <w:tcW w:w="1082" w:type="dxa"/>
            <w:shd w:val="clear" w:color="000000" w:fill="FFFFFF"/>
            <w:noWrap/>
            <w:vAlign w:val="center"/>
          </w:tcPr>
          <w:p w14:paraId="05CD8BD5"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1947,3</w:t>
            </w:r>
          </w:p>
        </w:tc>
        <w:tc>
          <w:tcPr>
            <w:tcW w:w="991" w:type="dxa"/>
            <w:shd w:val="clear" w:color="000000" w:fill="FFFFFF"/>
            <w:noWrap/>
            <w:vAlign w:val="center"/>
          </w:tcPr>
          <w:p w14:paraId="397A2FD7"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11263,4</w:t>
            </w:r>
          </w:p>
        </w:tc>
        <w:tc>
          <w:tcPr>
            <w:tcW w:w="900" w:type="dxa"/>
            <w:shd w:val="clear" w:color="000000" w:fill="FFFFFF"/>
            <w:noWrap/>
            <w:vAlign w:val="center"/>
          </w:tcPr>
          <w:p w14:paraId="1F8A0D3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3,3</w:t>
            </w:r>
          </w:p>
        </w:tc>
      </w:tr>
      <w:tr w:rsidR="003D0784" w:rsidRPr="00B7675F" w14:paraId="5078F126" w14:textId="77777777" w:rsidTr="005F6348">
        <w:trPr>
          <w:trHeight w:val="20"/>
        </w:trPr>
        <w:tc>
          <w:tcPr>
            <w:tcW w:w="6941" w:type="dxa"/>
            <w:shd w:val="clear" w:color="auto" w:fill="auto"/>
            <w:vAlign w:val="bottom"/>
            <w:hideMark/>
          </w:tcPr>
          <w:p w14:paraId="53EF198A"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Mijloace încasate în bugetul asigurărilor sociale de stat conform documentelor executorii privind răspunderea subsidiară</w:t>
            </w:r>
          </w:p>
        </w:tc>
        <w:tc>
          <w:tcPr>
            <w:tcW w:w="764" w:type="dxa"/>
            <w:shd w:val="clear" w:color="auto" w:fill="auto"/>
            <w:noWrap/>
            <w:vAlign w:val="center"/>
            <w:hideMark/>
          </w:tcPr>
          <w:p w14:paraId="16B3B40D"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142237</w:t>
            </w:r>
          </w:p>
        </w:tc>
        <w:tc>
          <w:tcPr>
            <w:tcW w:w="1082" w:type="dxa"/>
            <w:shd w:val="clear" w:color="auto" w:fill="auto"/>
            <w:noWrap/>
            <w:vAlign w:val="center"/>
          </w:tcPr>
          <w:p w14:paraId="070F264D"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1082" w:type="dxa"/>
            <w:shd w:val="clear" w:color="000000" w:fill="FFFFFF"/>
            <w:noWrap/>
            <w:vAlign w:val="center"/>
          </w:tcPr>
          <w:p w14:paraId="6B3D07B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1082" w:type="dxa"/>
            <w:shd w:val="clear" w:color="auto" w:fill="auto"/>
            <w:noWrap/>
            <w:vAlign w:val="center"/>
          </w:tcPr>
          <w:p w14:paraId="1F5D52E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54,6</w:t>
            </w:r>
          </w:p>
        </w:tc>
        <w:tc>
          <w:tcPr>
            <w:tcW w:w="1082" w:type="dxa"/>
            <w:shd w:val="clear" w:color="auto" w:fill="auto"/>
            <w:noWrap/>
            <w:vAlign w:val="center"/>
          </w:tcPr>
          <w:p w14:paraId="5A42C2A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1947,3</w:t>
            </w:r>
          </w:p>
        </w:tc>
        <w:tc>
          <w:tcPr>
            <w:tcW w:w="991" w:type="dxa"/>
            <w:shd w:val="clear" w:color="auto" w:fill="auto"/>
            <w:noWrap/>
            <w:vAlign w:val="center"/>
          </w:tcPr>
          <w:p w14:paraId="4E31A2B5"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11263,4</w:t>
            </w:r>
          </w:p>
        </w:tc>
        <w:tc>
          <w:tcPr>
            <w:tcW w:w="900" w:type="dxa"/>
            <w:shd w:val="clear" w:color="auto" w:fill="auto"/>
            <w:noWrap/>
            <w:vAlign w:val="center"/>
          </w:tcPr>
          <w:p w14:paraId="613BDC2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3,3</w:t>
            </w:r>
          </w:p>
        </w:tc>
      </w:tr>
      <w:tr w:rsidR="003D0784" w:rsidRPr="00B7675F" w14:paraId="0F8A41CA" w14:textId="77777777" w:rsidTr="005F6348">
        <w:trPr>
          <w:trHeight w:val="20"/>
        </w:trPr>
        <w:tc>
          <w:tcPr>
            <w:tcW w:w="6941" w:type="dxa"/>
            <w:shd w:val="clear" w:color="auto" w:fill="auto"/>
            <w:vAlign w:val="bottom"/>
            <w:hideMark/>
          </w:tcPr>
          <w:p w14:paraId="4AC80EC1"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AMENZI ŞI SANCŢIUNI</w:t>
            </w:r>
          </w:p>
        </w:tc>
        <w:tc>
          <w:tcPr>
            <w:tcW w:w="764" w:type="dxa"/>
            <w:shd w:val="clear" w:color="auto" w:fill="auto"/>
            <w:noWrap/>
            <w:vAlign w:val="center"/>
            <w:hideMark/>
          </w:tcPr>
          <w:p w14:paraId="77EAD4AE"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143</w:t>
            </w:r>
          </w:p>
        </w:tc>
        <w:tc>
          <w:tcPr>
            <w:tcW w:w="1082" w:type="dxa"/>
            <w:shd w:val="clear" w:color="auto" w:fill="auto"/>
            <w:noWrap/>
            <w:vAlign w:val="center"/>
          </w:tcPr>
          <w:p w14:paraId="06EE1DDC"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2900,0</w:t>
            </w:r>
          </w:p>
        </w:tc>
        <w:tc>
          <w:tcPr>
            <w:tcW w:w="1082" w:type="dxa"/>
            <w:shd w:val="clear" w:color="000000" w:fill="FFFFFF"/>
            <w:noWrap/>
            <w:vAlign w:val="center"/>
          </w:tcPr>
          <w:p w14:paraId="77FC4421"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2900,0</w:t>
            </w:r>
          </w:p>
        </w:tc>
        <w:tc>
          <w:tcPr>
            <w:tcW w:w="1082" w:type="dxa"/>
            <w:shd w:val="clear" w:color="auto" w:fill="auto"/>
            <w:noWrap/>
            <w:vAlign w:val="center"/>
          </w:tcPr>
          <w:p w14:paraId="23CEA39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935,7</w:t>
            </w:r>
          </w:p>
        </w:tc>
        <w:tc>
          <w:tcPr>
            <w:tcW w:w="1082" w:type="dxa"/>
            <w:shd w:val="clear" w:color="000000" w:fill="FFFFFF"/>
            <w:noWrap/>
            <w:vAlign w:val="center"/>
          </w:tcPr>
          <w:p w14:paraId="4965DC00"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1556,0</w:t>
            </w:r>
          </w:p>
        </w:tc>
        <w:tc>
          <w:tcPr>
            <w:tcW w:w="991" w:type="dxa"/>
            <w:shd w:val="clear" w:color="000000" w:fill="FFFFFF"/>
            <w:noWrap/>
            <w:vAlign w:val="center"/>
          </w:tcPr>
          <w:p w14:paraId="63B5BC2C"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28202,1</w:t>
            </w:r>
          </w:p>
        </w:tc>
        <w:tc>
          <w:tcPr>
            <w:tcW w:w="900" w:type="dxa"/>
            <w:shd w:val="clear" w:color="000000" w:fill="FFFFFF"/>
            <w:noWrap/>
            <w:vAlign w:val="center"/>
          </w:tcPr>
          <w:p w14:paraId="4E00CB76"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622,6</w:t>
            </w:r>
          </w:p>
        </w:tc>
      </w:tr>
      <w:tr w:rsidR="003D0784" w:rsidRPr="00B7675F" w14:paraId="77E9B67F" w14:textId="77777777" w:rsidTr="005F6348">
        <w:trPr>
          <w:trHeight w:val="20"/>
        </w:trPr>
        <w:tc>
          <w:tcPr>
            <w:tcW w:w="6941" w:type="dxa"/>
            <w:shd w:val="clear" w:color="auto" w:fill="auto"/>
            <w:hideMark/>
          </w:tcPr>
          <w:p w14:paraId="460AA6A4"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 xml:space="preserve">Amenzi şi sancțiuni contravenționale încasate în bugetul asigurărilor sociale de stat </w:t>
            </w:r>
          </w:p>
        </w:tc>
        <w:tc>
          <w:tcPr>
            <w:tcW w:w="764" w:type="dxa"/>
            <w:shd w:val="clear" w:color="auto" w:fill="auto"/>
            <w:noWrap/>
            <w:vAlign w:val="center"/>
            <w:hideMark/>
          </w:tcPr>
          <w:p w14:paraId="21A7CDA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143150</w:t>
            </w:r>
          </w:p>
        </w:tc>
        <w:tc>
          <w:tcPr>
            <w:tcW w:w="1082" w:type="dxa"/>
            <w:shd w:val="clear" w:color="auto" w:fill="auto"/>
            <w:noWrap/>
            <w:vAlign w:val="center"/>
          </w:tcPr>
          <w:p w14:paraId="3D884A1E"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100,0</w:t>
            </w:r>
          </w:p>
        </w:tc>
        <w:tc>
          <w:tcPr>
            <w:tcW w:w="1082" w:type="dxa"/>
            <w:shd w:val="clear" w:color="000000" w:fill="FFFFFF"/>
            <w:noWrap/>
            <w:vAlign w:val="center"/>
          </w:tcPr>
          <w:p w14:paraId="3090365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100,0</w:t>
            </w:r>
          </w:p>
        </w:tc>
        <w:tc>
          <w:tcPr>
            <w:tcW w:w="1082" w:type="dxa"/>
            <w:shd w:val="clear" w:color="auto" w:fill="auto"/>
            <w:noWrap/>
            <w:vAlign w:val="center"/>
          </w:tcPr>
          <w:p w14:paraId="27809DF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40,3</w:t>
            </w:r>
          </w:p>
        </w:tc>
        <w:tc>
          <w:tcPr>
            <w:tcW w:w="1082" w:type="dxa"/>
            <w:shd w:val="clear" w:color="auto" w:fill="auto"/>
            <w:noWrap/>
            <w:vAlign w:val="center"/>
          </w:tcPr>
          <w:p w14:paraId="0C38CCB9"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991" w:type="dxa"/>
            <w:shd w:val="clear" w:color="auto" w:fill="auto"/>
            <w:noWrap/>
            <w:vAlign w:val="center"/>
          </w:tcPr>
          <w:p w14:paraId="7A128D5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900" w:type="dxa"/>
            <w:shd w:val="clear" w:color="auto" w:fill="auto"/>
            <w:noWrap/>
            <w:vAlign w:val="center"/>
          </w:tcPr>
          <w:p w14:paraId="34C4AB3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r>
      <w:tr w:rsidR="003D0784" w:rsidRPr="00B7675F" w14:paraId="333938A0" w14:textId="77777777" w:rsidTr="005F6348">
        <w:trPr>
          <w:trHeight w:val="20"/>
        </w:trPr>
        <w:tc>
          <w:tcPr>
            <w:tcW w:w="6941" w:type="dxa"/>
            <w:shd w:val="clear" w:color="auto" w:fill="auto"/>
            <w:vAlign w:val="bottom"/>
            <w:hideMark/>
          </w:tcPr>
          <w:p w14:paraId="5C0B0B97"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 xml:space="preserve">Amenzi aferente plăților la bugetul asigurărilor sociale de stat </w:t>
            </w:r>
          </w:p>
        </w:tc>
        <w:tc>
          <w:tcPr>
            <w:tcW w:w="764" w:type="dxa"/>
            <w:shd w:val="clear" w:color="auto" w:fill="auto"/>
            <w:noWrap/>
            <w:vAlign w:val="center"/>
            <w:hideMark/>
          </w:tcPr>
          <w:p w14:paraId="2EC87799"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143430</w:t>
            </w:r>
          </w:p>
        </w:tc>
        <w:tc>
          <w:tcPr>
            <w:tcW w:w="1082" w:type="dxa"/>
            <w:shd w:val="clear" w:color="auto" w:fill="auto"/>
            <w:noWrap/>
            <w:vAlign w:val="center"/>
          </w:tcPr>
          <w:p w14:paraId="5BA0F6F5"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2800,0</w:t>
            </w:r>
          </w:p>
        </w:tc>
        <w:tc>
          <w:tcPr>
            <w:tcW w:w="1082" w:type="dxa"/>
            <w:shd w:val="clear" w:color="000000" w:fill="FFFFFF"/>
            <w:noWrap/>
            <w:vAlign w:val="center"/>
          </w:tcPr>
          <w:p w14:paraId="492EEEB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2800,0</w:t>
            </w:r>
          </w:p>
        </w:tc>
        <w:tc>
          <w:tcPr>
            <w:tcW w:w="1082" w:type="dxa"/>
            <w:shd w:val="clear" w:color="auto" w:fill="auto"/>
            <w:noWrap/>
            <w:vAlign w:val="center"/>
          </w:tcPr>
          <w:p w14:paraId="2887E66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895,4</w:t>
            </w:r>
          </w:p>
        </w:tc>
        <w:tc>
          <w:tcPr>
            <w:tcW w:w="1082" w:type="dxa"/>
            <w:shd w:val="clear" w:color="auto" w:fill="auto"/>
            <w:noWrap/>
            <w:vAlign w:val="center"/>
          </w:tcPr>
          <w:p w14:paraId="009EB8B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1556,0</w:t>
            </w:r>
          </w:p>
        </w:tc>
        <w:tc>
          <w:tcPr>
            <w:tcW w:w="991" w:type="dxa"/>
            <w:shd w:val="clear" w:color="auto" w:fill="auto"/>
            <w:noWrap/>
            <w:vAlign w:val="center"/>
          </w:tcPr>
          <w:p w14:paraId="64200569"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28202,1</w:t>
            </w:r>
          </w:p>
        </w:tc>
        <w:tc>
          <w:tcPr>
            <w:tcW w:w="900" w:type="dxa"/>
            <w:shd w:val="clear" w:color="auto" w:fill="auto"/>
            <w:noWrap/>
            <w:vAlign w:val="center"/>
          </w:tcPr>
          <w:p w14:paraId="3B7C864E"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622,6</w:t>
            </w:r>
          </w:p>
        </w:tc>
      </w:tr>
      <w:tr w:rsidR="003D0784" w:rsidRPr="00B7675F" w14:paraId="123F4581" w14:textId="77777777" w:rsidTr="005F6348">
        <w:trPr>
          <w:trHeight w:val="20"/>
        </w:trPr>
        <w:tc>
          <w:tcPr>
            <w:tcW w:w="6941" w:type="dxa"/>
            <w:shd w:val="clear" w:color="auto" w:fill="auto"/>
            <w:vAlign w:val="bottom"/>
            <w:hideMark/>
          </w:tcPr>
          <w:p w14:paraId="353E273F"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ALTE VENITURI ŞI VENITURI NEIDENTIFICATE</w:t>
            </w:r>
          </w:p>
        </w:tc>
        <w:tc>
          <w:tcPr>
            <w:tcW w:w="764" w:type="dxa"/>
            <w:shd w:val="clear" w:color="auto" w:fill="auto"/>
            <w:noWrap/>
            <w:vAlign w:val="center"/>
            <w:hideMark/>
          </w:tcPr>
          <w:p w14:paraId="2C745C8D"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145</w:t>
            </w:r>
          </w:p>
        </w:tc>
        <w:tc>
          <w:tcPr>
            <w:tcW w:w="1082" w:type="dxa"/>
            <w:shd w:val="clear" w:color="auto" w:fill="auto"/>
            <w:noWrap/>
            <w:vAlign w:val="center"/>
          </w:tcPr>
          <w:p w14:paraId="070F5DB3"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300590,0</w:t>
            </w:r>
          </w:p>
        </w:tc>
        <w:tc>
          <w:tcPr>
            <w:tcW w:w="1082" w:type="dxa"/>
            <w:shd w:val="clear" w:color="000000" w:fill="FFFFFF"/>
            <w:noWrap/>
            <w:vAlign w:val="center"/>
          </w:tcPr>
          <w:p w14:paraId="738A52A6"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339290,0</w:t>
            </w:r>
          </w:p>
        </w:tc>
        <w:tc>
          <w:tcPr>
            <w:tcW w:w="1082" w:type="dxa"/>
            <w:shd w:val="clear" w:color="000000" w:fill="FFFFFF"/>
            <w:noWrap/>
            <w:vAlign w:val="center"/>
          </w:tcPr>
          <w:p w14:paraId="1C91941B"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421695,9</w:t>
            </w:r>
          </w:p>
        </w:tc>
        <w:tc>
          <w:tcPr>
            <w:tcW w:w="1082" w:type="dxa"/>
            <w:shd w:val="clear" w:color="000000" w:fill="FFFFFF"/>
            <w:noWrap/>
            <w:vAlign w:val="center"/>
          </w:tcPr>
          <w:p w14:paraId="17EB959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433836,2</w:t>
            </w:r>
          </w:p>
        </w:tc>
        <w:tc>
          <w:tcPr>
            <w:tcW w:w="991" w:type="dxa"/>
            <w:shd w:val="clear" w:color="000000" w:fill="FFFFFF"/>
            <w:noWrap/>
            <w:vAlign w:val="center"/>
          </w:tcPr>
          <w:p w14:paraId="43D5B9A3"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40193,0</w:t>
            </w:r>
          </w:p>
        </w:tc>
        <w:tc>
          <w:tcPr>
            <w:tcW w:w="900" w:type="dxa"/>
            <w:shd w:val="clear" w:color="000000" w:fill="FFFFFF"/>
            <w:noWrap/>
            <w:vAlign w:val="center"/>
          </w:tcPr>
          <w:p w14:paraId="793F738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6336,8</w:t>
            </w:r>
          </w:p>
        </w:tc>
      </w:tr>
      <w:tr w:rsidR="003D0784" w:rsidRPr="00B7675F" w14:paraId="0FE0D3E2" w14:textId="77777777" w:rsidTr="005F6348">
        <w:trPr>
          <w:trHeight w:val="20"/>
        </w:trPr>
        <w:tc>
          <w:tcPr>
            <w:tcW w:w="6941" w:type="dxa"/>
            <w:shd w:val="clear" w:color="auto" w:fill="auto"/>
            <w:vAlign w:val="bottom"/>
            <w:hideMark/>
          </w:tcPr>
          <w:p w14:paraId="205A2255"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 xml:space="preserve">Alte venituri încasate în bugetul asigurărilor sociale de stat </w:t>
            </w:r>
          </w:p>
        </w:tc>
        <w:tc>
          <w:tcPr>
            <w:tcW w:w="764" w:type="dxa"/>
            <w:shd w:val="clear" w:color="auto" w:fill="auto"/>
            <w:noWrap/>
            <w:vAlign w:val="center"/>
            <w:hideMark/>
          </w:tcPr>
          <w:p w14:paraId="3CE3E0C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145120</w:t>
            </w:r>
          </w:p>
        </w:tc>
        <w:tc>
          <w:tcPr>
            <w:tcW w:w="1082" w:type="dxa"/>
            <w:shd w:val="clear" w:color="auto" w:fill="auto"/>
            <w:noWrap/>
            <w:vAlign w:val="center"/>
          </w:tcPr>
          <w:p w14:paraId="0D32501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2040,0</w:t>
            </w:r>
          </w:p>
        </w:tc>
        <w:tc>
          <w:tcPr>
            <w:tcW w:w="1082" w:type="dxa"/>
            <w:shd w:val="clear" w:color="000000" w:fill="FFFFFF"/>
            <w:noWrap/>
            <w:vAlign w:val="center"/>
          </w:tcPr>
          <w:p w14:paraId="5E364AA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640,0</w:t>
            </w:r>
          </w:p>
        </w:tc>
        <w:tc>
          <w:tcPr>
            <w:tcW w:w="1082" w:type="dxa"/>
            <w:shd w:val="clear" w:color="auto" w:fill="auto"/>
            <w:noWrap/>
            <w:vAlign w:val="center"/>
          </w:tcPr>
          <w:p w14:paraId="63D9F40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884,5</w:t>
            </w:r>
          </w:p>
        </w:tc>
        <w:tc>
          <w:tcPr>
            <w:tcW w:w="1082" w:type="dxa"/>
            <w:shd w:val="clear" w:color="auto" w:fill="auto"/>
            <w:noWrap/>
            <w:vAlign w:val="center"/>
          </w:tcPr>
          <w:p w14:paraId="3B72AB5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926,5</w:t>
            </w:r>
          </w:p>
        </w:tc>
        <w:tc>
          <w:tcPr>
            <w:tcW w:w="991" w:type="dxa"/>
            <w:shd w:val="clear" w:color="auto" w:fill="auto"/>
            <w:noWrap/>
            <w:vAlign w:val="center"/>
          </w:tcPr>
          <w:p w14:paraId="39234447"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72,7</w:t>
            </w:r>
          </w:p>
        </w:tc>
        <w:tc>
          <w:tcPr>
            <w:tcW w:w="900" w:type="dxa"/>
            <w:shd w:val="clear" w:color="auto" w:fill="auto"/>
            <w:noWrap/>
            <w:vAlign w:val="center"/>
          </w:tcPr>
          <w:p w14:paraId="18FF295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r>
      <w:tr w:rsidR="003D0784" w:rsidRPr="00B7675F" w14:paraId="0E9E3E7E" w14:textId="77777777" w:rsidTr="005F6348">
        <w:trPr>
          <w:trHeight w:val="20"/>
        </w:trPr>
        <w:tc>
          <w:tcPr>
            <w:tcW w:w="6941" w:type="dxa"/>
            <w:shd w:val="clear" w:color="auto" w:fill="auto"/>
            <w:vAlign w:val="bottom"/>
            <w:hideMark/>
          </w:tcPr>
          <w:p w14:paraId="3F2D3535"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Impozit unic perceput  de la rezidenții parcurilor pentru tehnologii informaționale</w:t>
            </w:r>
          </w:p>
        </w:tc>
        <w:tc>
          <w:tcPr>
            <w:tcW w:w="764" w:type="dxa"/>
            <w:shd w:val="clear" w:color="auto" w:fill="auto"/>
            <w:noWrap/>
            <w:vAlign w:val="center"/>
            <w:hideMark/>
          </w:tcPr>
          <w:p w14:paraId="445EFD42"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145161</w:t>
            </w:r>
          </w:p>
        </w:tc>
        <w:tc>
          <w:tcPr>
            <w:tcW w:w="1082" w:type="dxa"/>
            <w:shd w:val="clear" w:color="auto" w:fill="auto"/>
            <w:noWrap/>
            <w:vAlign w:val="center"/>
          </w:tcPr>
          <w:p w14:paraId="0B26A00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298550,0</w:t>
            </w:r>
          </w:p>
        </w:tc>
        <w:tc>
          <w:tcPr>
            <w:tcW w:w="1082" w:type="dxa"/>
            <w:shd w:val="clear" w:color="000000" w:fill="FFFFFF"/>
            <w:noWrap/>
            <w:vAlign w:val="center"/>
          </w:tcPr>
          <w:p w14:paraId="63D4DD5D"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338650,0</w:t>
            </w:r>
          </w:p>
        </w:tc>
        <w:tc>
          <w:tcPr>
            <w:tcW w:w="1082" w:type="dxa"/>
            <w:shd w:val="clear" w:color="auto" w:fill="auto"/>
            <w:noWrap/>
            <w:vAlign w:val="center"/>
          </w:tcPr>
          <w:p w14:paraId="783D2FE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420811,4</w:t>
            </w:r>
          </w:p>
        </w:tc>
        <w:tc>
          <w:tcPr>
            <w:tcW w:w="1082" w:type="dxa"/>
            <w:shd w:val="clear" w:color="auto" w:fill="auto"/>
            <w:noWrap/>
            <w:vAlign w:val="center"/>
          </w:tcPr>
          <w:p w14:paraId="5E64433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432909,7</w:t>
            </w:r>
          </w:p>
        </w:tc>
        <w:tc>
          <w:tcPr>
            <w:tcW w:w="991" w:type="dxa"/>
            <w:shd w:val="clear" w:color="auto" w:fill="auto"/>
            <w:noWrap/>
            <w:vAlign w:val="center"/>
          </w:tcPr>
          <w:p w14:paraId="477407D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40120,3</w:t>
            </w:r>
          </w:p>
        </w:tc>
        <w:tc>
          <w:tcPr>
            <w:tcW w:w="900" w:type="dxa"/>
            <w:shd w:val="clear" w:color="auto" w:fill="auto"/>
            <w:noWrap/>
            <w:vAlign w:val="center"/>
          </w:tcPr>
          <w:p w14:paraId="495CF7E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6336,8</w:t>
            </w:r>
          </w:p>
        </w:tc>
      </w:tr>
      <w:tr w:rsidR="003D0784" w:rsidRPr="00B7675F" w14:paraId="2D7446EF" w14:textId="77777777" w:rsidTr="005F6348">
        <w:trPr>
          <w:trHeight w:val="20"/>
        </w:trPr>
        <w:tc>
          <w:tcPr>
            <w:tcW w:w="6941" w:type="dxa"/>
            <w:shd w:val="clear" w:color="auto" w:fill="auto"/>
            <w:hideMark/>
          </w:tcPr>
          <w:p w14:paraId="67D033C0"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TRANSFERURI PRIMITE ÎN CADRUL BUGETULUI PUBLIC NAŢIONAL</w:t>
            </w:r>
          </w:p>
        </w:tc>
        <w:tc>
          <w:tcPr>
            <w:tcW w:w="764" w:type="dxa"/>
            <w:shd w:val="clear" w:color="auto" w:fill="auto"/>
            <w:noWrap/>
            <w:vAlign w:val="center"/>
            <w:hideMark/>
          </w:tcPr>
          <w:p w14:paraId="395E2DA2"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19</w:t>
            </w:r>
          </w:p>
        </w:tc>
        <w:tc>
          <w:tcPr>
            <w:tcW w:w="1082" w:type="dxa"/>
            <w:shd w:val="clear" w:color="auto" w:fill="auto"/>
            <w:noWrap/>
            <w:vAlign w:val="center"/>
          </w:tcPr>
          <w:p w14:paraId="6D09745E"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12550012,5</w:t>
            </w:r>
          </w:p>
        </w:tc>
        <w:tc>
          <w:tcPr>
            <w:tcW w:w="1082" w:type="dxa"/>
            <w:shd w:val="clear" w:color="000000" w:fill="FFFFFF"/>
            <w:noWrap/>
            <w:vAlign w:val="center"/>
          </w:tcPr>
          <w:p w14:paraId="1EC23628"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15302361,2</w:t>
            </w:r>
          </w:p>
        </w:tc>
        <w:tc>
          <w:tcPr>
            <w:tcW w:w="1082" w:type="dxa"/>
            <w:shd w:val="clear" w:color="auto" w:fill="auto"/>
            <w:noWrap/>
            <w:vAlign w:val="center"/>
          </w:tcPr>
          <w:p w14:paraId="1BA467B0"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14794027,1</w:t>
            </w:r>
          </w:p>
        </w:tc>
        <w:tc>
          <w:tcPr>
            <w:tcW w:w="1082" w:type="dxa"/>
            <w:shd w:val="clear" w:color="auto" w:fill="auto"/>
            <w:noWrap/>
            <w:vAlign w:val="center"/>
          </w:tcPr>
          <w:p w14:paraId="0D2A8589"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c>
          <w:tcPr>
            <w:tcW w:w="991" w:type="dxa"/>
            <w:shd w:val="clear" w:color="auto" w:fill="auto"/>
            <w:noWrap/>
            <w:vAlign w:val="center"/>
          </w:tcPr>
          <w:p w14:paraId="33518DE5"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900" w:type="dxa"/>
            <w:shd w:val="clear" w:color="auto" w:fill="auto"/>
            <w:noWrap/>
            <w:vAlign w:val="center"/>
          </w:tcPr>
          <w:p w14:paraId="5ABD5BB6"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r>
      <w:tr w:rsidR="003D0784" w:rsidRPr="00B7675F" w14:paraId="77C15282" w14:textId="77777777" w:rsidTr="005F6348">
        <w:trPr>
          <w:trHeight w:val="20"/>
        </w:trPr>
        <w:tc>
          <w:tcPr>
            <w:tcW w:w="6941" w:type="dxa"/>
            <w:shd w:val="clear" w:color="auto" w:fill="auto"/>
            <w:vAlign w:val="bottom"/>
            <w:hideMark/>
          </w:tcPr>
          <w:p w14:paraId="60D2154A" w14:textId="77777777" w:rsidR="003D0784" w:rsidRPr="00736448" w:rsidRDefault="003D0784" w:rsidP="005F6348">
            <w:pPr>
              <w:spacing w:after="0" w:line="240" w:lineRule="auto"/>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Transferuri primite în cadrul bugetului consolidat central</w:t>
            </w:r>
          </w:p>
        </w:tc>
        <w:tc>
          <w:tcPr>
            <w:tcW w:w="764" w:type="dxa"/>
            <w:shd w:val="clear" w:color="auto" w:fill="auto"/>
            <w:noWrap/>
            <w:vAlign w:val="center"/>
            <w:hideMark/>
          </w:tcPr>
          <w:p w14:paraId="7687A93F"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192</w:t>
            </w:r>
          </w:p>
        </w:tc>
        <w:tc>
          <w:tcPr>
            <w:tcW w:w="1082" w:type="dxa"/>
            <w:shd w:val="clear" w:color="auto" w:fill="auto"/>
            <w:noWrap/>
            <w:vAlign w:val="center"/>
          </w:tcPr>
          <w:p w14:paraId="4D74CF45"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12550012,5</w:t>
            </w:r>
          </w:p>
        </w:tc>
        <w:tc>
          <w:tcPr>
            <w:tcW w:w="1082" w:type="dxa"/>
            <w:shd w:val="clear" w:color="000000" w:fill="FFFFFF"/>
            <w:noWrap/>
            <w:vAlign w:val="center"/>
          </w:tcPr>
          <w:p w14:paraId="15406DCD"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15302361,2</w:t>
            </w:r>
          </w:p>
        </w:tc>
        <w:tc>
          <w:tcPr>
            <w:tcW w:w="1082" w:type="dxa"/>
            <w:shd w:val="clear" w:color="auto" w:fill="auto"/>
            <w:noWrap/>
            <w:vAlign w:val="center"/>
          </w:tcPr>
          <w:p w14:paraId="63C0FBE1"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14794027,1</w:t>
            </w:r>
          </w:p>
        </w:tc>
        <w:tc>
          <w:tcPr>
            <w:tcW w:w="1082" w:type="dxa"/>
            <w:shd w:val="clear" w:color="auto" w:fill="auto"/>
            <w:noWrap/>
            <w:vAlign w:val="center"/>
          </w:tcPr>
          <w:p w14:paraId="7D8BDF98"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c>
          <w:tcPr>
            <w:tcW w:w="991" w:type="dxa"/>
            <w:shd w:val="clear" w:color="auto" w:fill="auto"/>
            <w:noWrap/>
            <w:vAlign w:val="center"/>
          </w:tcPr>
          <w:p w14:paraId="7A0DC9E5"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0,0</w:t>
            </w:r>
          </w:p>
        </w:tc>
        <w:tc>
          <w:tcPr>
            <w:tcW w:w="900" w:type="dxa"/>
            <w:shd w:val="clear" w:color="auto" w:fill="auto"/>
            <w:noWrap/>
            <w:vAlign w:val="center"/>
          </w:tcPr>
          <w:p w14:paraId="7E0743CF" w14:textId="77777777" w:rsidR="003D0784" w:rsidRPr="00736448" w:rsidRDefault="003D0784" w:rsidP="005F6348">
            <w:pPr>
              <w:spacing w:after="0" w:line="240" w:lineRule="auto"/>
              <w:jc w:val="right"/>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0,0</w:t>
            </w:r>
          </w:p>
        </w:tc>
      </w:tr>
      <w:tr w:rsidR="003D0784" w:rsidRPr="00B7675F" w14:paraId="17CA964F" w14:textId="77777777" w:rsidTr="005F6348">
        <w:trPr>
          <w:trHeight w:val="20"/>
        </w:trPr>
        <w:tc>
          <w:tcPr>
            <w:tcW w:w="6941" w:type="dxa"/>
            <w:shd w:val="clear" w:color="auto" w:fill="auto"/>
            <w:vAlign w:val="bottom"/>
            <w:hideMark/>
          </w:tcPr>
          <w:p w14:paraId="4E873E3C"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Transferuri curente primite cu destinație specială între bugetul de stat și bugetul asigurărilor sociale de stat</w:t>
            </w:r>
          </w:p>
        </w:tc>
        <w:tc>
          <w:tcPr>
            <w:tcW w:w="764" w:type="dxa"/>
            <w:shd w:val="clear" w:color="auto" w:fill="auto"/>
            <w:vAlign w:val="center"/>
            <w:hideMark/>
          </w:tcPr>
          <w:p w14:paraId="356B6B2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192110</w:t>
            </w:r>
          </w:p>
        </w:tc>
        <w:tc>
          <w:tcPr>
            <w:tcW w:w="1082" w:type="dxa"/>
            <w:shd w:val="clear" w:color="auto" w:fill="auto"/>
            <w:vAlign w:val="center"/>
          </w:tcPr>
          <w:p w14:paraId="74F9709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9618885,0</w:t>
            </w:r>
          </w:p>
        </w:tc>
        <w:tc>
          <w:tcPr>
            <w:tcW w:w="1082" w:type="dxa"/>
            <w:shd w:val="clear" w:color="000000" w:fill="FFFFFF"/>
            <w:vAlign w:val="center"/>
          </w:tcPr>
          <w:p w14:paraId="2061DD2D"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10483234,5</w:t>
            </w:r>
          </w:p>
        </w:tc>
        <w:tc>
          <w:tcPr>
            <w:tcW w:w="1082" w:type="dxa"/>
            <w:shd w:val="clear" w:color="auto" w:fill="auto"/>
            <w:vAlign w:val="center"/>
          </w:tcPr>
          <w:p w14:paraId="656ECC5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10359900,4</w:t>
            </w:r>
          </w:p>
        </w:tc>
        <w:tc>
          <w:tcPr>
            <w:tcW w:w="1082" w:type="dxa"/>
            <w:shd w:val="clear" w:color="auto" w:fill="auto"/>
            <w:vAlign w:val="center"/>
          </w:tcPr>
          <w:p w14:paraId="66A2A40F"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p>
        </w:tc>
        <w:tc>
          <w:tcPr>
            <w:tcW w:w="991" w:type="dxa"/>
            <w:shd w:val="clear" w:color="auto" w:fill="auto"/>
            <w:noWrap/>
            <w:vAlign w:val="center"/>
          </w:tcPr>
          <w:p w14:paraId="087CCDF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p>
        </w:tc>
        <w:tc>
          <w:tcPr>
            <w:tcW w:w="900" w:type="dxa"/>
            <w:shd w:val="clear" w:color="auto" w:fill="auto"/>
            <w:noWrap/>
            <w:vAlign w:val="center"/>
          </w:tcPr>
          <w:p w14:paraId="36F6092B"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p>
        </w:tc>
      </w:tr>
      <w:tr w:rsidR="003D0784" w:rsidRPr="00B7675F" w14:paraId="52573B60" w14:textId="77777777" w:rsidTr="005F6348">
        <w:trPr>
          <w:trHeight w:val="20"/>
        </w:trPr>
        <w:tc>
          <w:tcPr>
            <w:tcW w:w="6941" w:type="dxa"/>
            <w:shd w:val="clear" w:color="auto" w:fill="auto"/>
            <w:vAlign w:val="bottom"/>
            <w:hideMark/>
          </w:tcPr>
          <w:p w14:paraId="51F50673" w14:textId="77777777" w:rsidR="003D0784" w:rsidRPr="00736448" w:rsidRDefault="003D0784" w:rsidP="005F6348">
            <w:pPr>
              <w:spacing w:after="0" w:line="240" w:lineRule="auto"/>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Transferuri curente primite cu destinație generală între bugetul de stat și bugetul asigurărilor sociale de stat</w:t>
            </w:r>
          </w:p>
        </w:tc>
        <w:tc>
          <w:tcPr>
            <w:tcW w:w="764" w:type="dxa"/>
            <w:shd w:val="clear" w:color="auto" w:fill="auto"/>
            <w:vAlign w:val="center"/>
            <w:hideMark/>
          </w:tcPr>
          <w:p w14:paraId="40055AFF"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192130</w:t>
            </w:r>
          </w:p>
        </w:tc>
        <w:tc>
          <w:tcPr>
            <w:tcW w:w="1082" w:type="dxa"/>
            <w:shd w:val="clear" w:color="auto" w:fill="auto"/>
            <w:vAlign w:val="center"/>
          </w:tcPr>
          <w:p w14:paraId="2880ADB9"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2931127,5</w:t>
            </w:r>
          </w:p>
        </w:tc>
        <w:tc>
          <w:tcPr>
            <w:tcW w:w="1082" w:type="dxa"/>
            <w:shd w:val="clear" w:color="000000" w:fill="FFFFFF"/>
            <w:vAlign w:val="center"/>
          </w:tcPr>
          <w:p w14:paraId="6B9557D0"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4819126,7</w:t>
            </w:r>
          </w:p>
        </w:tc>
        <w:tc>
          <w:tcPr>
            <w:tcW w:w="1082" w:type="dxa"/>
            <w:shd w:val="clear" w:color="auto" w:fill="auto"/>
            <w:vAlign w:val="center"/>
          </w:tcPr>
          <w:p w14:paraId="5B56BCF3"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r w:rsidRPr="00736448">
              <w:rPr>
                <w:rFonts w:asciiTheme="majorHAnsi" w:eastAsia="Times New Roman" w:hAnsiTheme="majorHAnsi" w:cstheme="majorHAnsi"/>
                <w:sz w:val="18"/>
                <w:szCs w:val="18"/>
                <w:lang w:val="ro-MD"/>
              </w:rPr>
              <w:t>4434126,7</w:t>
            </w:r>
          </w:p>
        </w:tc>
        <w:tc>
          <w:tcPr>
            <w:tcW w:w="1082" w:type="dxa"/>
            <w:shd w:val="clear" w:color="auto" w:fill="auto"/>
            <w:vAlign w:val="center"/>
          </w:tcPr>
          <w:p w14:paraId="299B8FD1"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p>
        </w:tc>
        <w:tc>
          <w:tcPr>
            <w:tcW w:w="991" w:type="dxa"/>
            <w:shd w:val="clear" w:color="auto" w:fill="auto"/>
            <w:noWrap/>
            <w:vAlign w:val="center"/>
          </w:tcPr>
          <w:p w14:paraId="4FE92116"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p>
        </w:tc>
        <w:tc>
          <w:tcPr>
            <w:tcW w:w="900" w:type="dxa"/>
            <w:shd w:val="clear" w:color="auto" w:fill="auto"/>
            <w:noWrap/>
            <w:vAlign w:val="center"/>
          </w:tcPr>
          <w:p w14:paraId="3DA732DE" w14:textId="77777777" w:rsidR="003D0784" w:rsidRPr="00736448" w:rsidRDefault="003D0784" w:rsidP="005F6348">
            <w:pPr>
              <w:spacing w:after="0" w:line="240" w:lineRule="auto"/>
              <w:jc w:val="right"/>
              <w:rPr>
                <w:rFonts w:asciiTheme="majorHAnsi" w:eastAsia="Times New Roman" w:hAnsiTheme="majorHAnsi" w:cstheme="majorHAnsi"/>
                <w:sz w:val="18"/>
                <w:szCs w:val="18"/>
                <w:lang w:val="ro-MD"/>
              </w:rPr>
            </w:pPr>
          </w:p>
        </w:tc>
      </w:tr>
    </w:tbl>
    <w:p w14:paraId="778DABB6" w14:textId="77777777" w:rsidR="003D0784" w:rsidRPr="00736448" w:rsidRDefault="003D0784" w:rsidP="003D0784">
      <w:pPr>
        <w:rPr>
          <w:rFonts w:ascii="Calibri Light" w:eastAsia="Calibri" w:hAnsi="Calibri Light" w:cs="Calibri Light"/>
          <w:i/>
          <w:szCs w:val="16"/>
          <w:lang w:val="ro-MD"/>
        </w:rPr>
      </w:pPr>
      <w:r w:rsidRPr="00736448">
        <w:rPr>
          <w:rFonts w:ascii="Calibri Light" w:eastAsia="Calibri" w:hAnsi="Calibri Light" w:cs="Calibri Light"/>
          <w:b/>
          <w:bCs/>
          <w:i/>
          <w:szCs w:val="16"/>
          <w:lang w:val="ro-MD"/>
        </w:rPr>
        <w:t>Sursă:</w:t>
      </w:r>
      <w:r w:rsidRPr="00736448">
        <w:rPr>
          <w:rFonts w:ascii="Calibri Light" w:eastAsia="Calibri" w:hAnsi="Calibri Light" w:cs="Calibri Light"/>
          <w:i/>
          <w:szCs w:val="16"/>
          <w:lang w:val="ro-MD"/>
        </w:rPr>
        <w:t xml:space="preserve"> Raportul privind executarea bugetului asigurărilor sociale de stat pentru anul 2022 (Formularul nr.4.2 CNAS).</w:t>
      </w:r>
    </w:p>
    <w:p w14:paraId="11015D28" w14:textId="5B7757E7"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10</w:t>
      </w:r>
    </w:p>
    <w:p w14:paraId="7C5F7AB4" w14:textId="77777777" w:rsidR="003D0784" w:rsidRPr="00736448" w:rsidRDefault="003D0784" w:rsidP="003D0784">
      <w:pPr>
        <w:spacing w:after="0" w:line="240" w:lineRule="auto"/>
        <w:jc w:val="center"/>
        <w:rPr>
          <w:rFonts w:ascii="Calibri Light" w:eastAsia="Times New Roman" w:hAnsi="Calibri Light" w:cs="Calibri Light"/>
          <w:b/>
          <w:bCs/>
          <w:color w:val="000000"/>
          <w:sz w:val="24"/>
          <w:szCs w:val="20"/>
          <w:lang w:val="ro-MD"/>
        </w:rPr>
      </w:pPr>
      <w:r w:rsidRPr="00736448">
        <w:rPr>
          <w:rFonts w:ascii="Calibri Light" w:eastAsia="Times New Roman" w:hAnsi="Calibri Light" w:cs="Calibri Light"/>
          <w:b/>
          <w:bCs/>
          <w:color w:val="000000"/>
          <w:sz w:val="24"/>
          <w:szCs w:val="20"/>
          <w:lang w:val="ro-MD"/>
        </w:rPr>
        <w:t>Analiza modificărilor operate la Legea bugetului asigurărilor sociale de stat pe anul 2022</w:t>
      </w:r>
    </w:p>
    <w:p w14:paraId="75F34DEA" w14:textId="77777777" w:rsidR="003D0784" w:rsidRPr="00736448" w:rsidRDefault="003D0784" w:rsidP="003D0784">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(mii lei)</w:t>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0"/>
        <w:gridCol w:w="1900"/>
        <w:gridCol w:w="1900"/>
        <w:gridCol w:w="1880"/>
        <w:gridCol w:w="1700"/>
        <w:gridCol w:w="1840"/>
      </w:tblGrid>
      <w:tr w:rsidR="003D0784" w:rsidRPr="00B7675F" w14:paraId="095CA9C4" w14:textId="77777777" w:rsidTr="005F6348">
        <w:trPr>
          <w:trHeight w:val="20"/>
        </w:trPr>
        <w:tc>
          <w:tcPr>
            <w:tcW w:w="4800" w:type="dxa"/>
            <w:vMerge w:val="restart"/>
            <w:shd w:val="clear" w:color="auto" w:fill="auto"/>
            <w:noWrap/>
            <w:vAlign w:val="center"/>
            <w:hideMark/>
          </w:tcPr>
          <w:p w14:paraId="1200F409" w14:textId="77777777" w:rsidR="003D0784" w:rsidRPr="00736448" w:rsidRDefault="003D0784" w:rsidP="005F6348">
            <w:pPr>
              <w:spacing w:after="0" w:line="240" w:lineRule="auto"/>
              <w:jc w:val="center"/>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Indicatori</w:t>
            </w:r>
          </w:p>
        </w:tc>
        <w:tc>
          <w:tcPr>
            <w:tcW w:w="1900" w:type="dxa"/>
            <w:shd w:val="clear" w:color="auto" w:fill="auto"/>
            <w:noWrap/>
            <w:vAlign w:val="bottom"/>
            <w:hideMark/>
          </w:tcPr>
          <w:p w14:paraId="499EB1A5" w14:textId="77777777" w:rsidR="003D0784" w:rsidRPr="00736448" w:rsidRDefault="003D0784" w:rsidP="005F6348">
            <w:pPr>
              <w:spacing w:after="0" w:line="240" w:lineRule="auto"/>
              <w:jc w:val="center"/>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Aprobat</w:t>
            </w:r>
          </w:p>
        </w:tc>
        <w:tc>
          <w:tcPr>
            <w:tcW w:w="5480" w:type="dxa"/>
            <w:gridSpan w:val="3"/>
            <w:shd w:val="clear" w:color="auto" w:fill="auto"/>
            <w:noWrap/>
            <w:vAlign w:val="bottom"/>
            <w:hideMark/>
          </w:tcPr>
          <w:p w14:paraId="6811DF81" w14:textId="77777777" w:rsidR="003D0784" w:rsidRPr="00736448" w:rsidRDefault="003D0784" w:rsidP="005F6348">
            <w:pPr>
              <w:spacing w:after="0" w:line="240" w:lineRule="auto"/>
              <w:jc w:val="center"/>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Modificări operate de Parlament</w:t>
            </w:r>
          </w:p>
        </w:tc>
        <w:tc>
          <w:tcPr>
            <w:tcW w:w="1840" w:type="dxa"/>
            <w:shd w:val="clear" w:color="auto" w:fill="auto"/>
            <w:noWrap/>
            <w:vAlign w:val="bottom"/>
            <w:hideMark/>
          </w:tcPr>
          <w:p w14:paraId="10B84C88" w14:textId="77777777" w:rsidR="003D0784" w:rsidRPr="00736448" w:rsidRDefault="003D0784" w:rsidP="005F6348">
            <w:pPr>
              <w:spacing w:after="0" w:line="240" w:lineRule="auto"/>
              <w:jc w:val="center"/>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Devieri (+/-)</w:t>
            </w:r>
          </w:p>
        </w:tc>
      </w:tr>
      <w:tr w:rsidR="003D0784" w:rsidRPr="00B7675F" w14:paraId="014F4241" w14:textId="77777777" w:rsidTr="005F6348">
        <w:trPr>
          <w:trHeight w:val="20"/>
        </w:trPr>
        <w:tc>
          <w:tcPr>
            <w:tcW w:w="4800" w:type="dxa"/>
            <w:vMerge/>
            <w:shd w:val="clear" w:color="auto" w:fill="auto"/>
            <w:vAlign w:val="center"/>
            <w:hideMark/>
          </w:tcPr>
          <w:p w14:paraId="42E98C0F"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p>
        </w:tc>
        <w:tc>
          <w:tcPr>
            <w:tcW w:w="1900" w:type="dxa"/>
            <w:shd w:val="clear" w:color="auto" w:fill="auto"/>
            <w:vAlign w:val="bottom"/>
            <w:hideMark/>
          </w:tcPr>
          <w:p w14:paraId="14AEFCB6"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Legea nr.206 din 06.12.2021</w:t>
            </w:r>
          </w:p>
        </w:tc>
        <w:tc>
          <w:tcPr>
            <w:tcW w:w="1900" w:type="dxa"/>
            <w:shd w:val="clear" w:color="auto" w:fill="auto"/>
            <w:vAlign w:val="bottom"/>
            <w:hideMark/>
          </w:tcPr>
          <w:p w14:paraId="18217CC1"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Legea nr.113 din 05.05.2022</w:t>
            </w:r>
          </w:p>
        </w:tc>
        <w:tc>
          <w:tcPr>
            <w:tcW w:w="1880" w:type="dxa"/>
            <w:shd w:val="clear" w:color="auto" w:fill="auto"/>
            <w:vAlign w:val="bottom"/>
            <w:hideMark/>
          </w:tcPr>
          <w:p w14:paraId="57BBB926"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 xml:space="preserve"> Legea nr.160 din 07.07.2022</w:t>
            </w:r>
          </w:p>
        </w:tc>
        <w:tc>
          <w:tcPr>
            <w:tcW w:w="1700" w:type="dxa"/>
            <w:shd w:val="clear" w:color="auto" w:fill="auto"/>
            <w:vAlign w:val="bottom"/>
            <w:hideMark/>
          </w:tcPr>
          <w:p w14:paraId="57BADA1E"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Legea nr.261 din 08.09.2022</w:t>
            </w:r>
          </w:p>
        </w:tc>
        <w:tc>
          <w:tcPr>
            <w:tcW w:w="1840" w:type="dxa"/>
            <w:shd w:val="clear" w:color="auto" w:fill="auto"/>
            <w:vAlign w:val="bottom"/>
            <w:hideMark/>
          </w:tcPr>
          <w:p w14:paraId="364E9FA5" w14:textId="77777777" w:rsidR="003D0784" w:rsidRPr="00736448" w:rsidRDefault="003D0784" w:rsidP="005F6348">
            <w:pPr>
              <w:spacing w:after="0" w:line="240" w:lineRule="auto"/>
              <w:jc w:val="center"/>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Ultima modificare/aprobat</w:t>
            </w:r>
          </w:p>
        </w:tc>
      </w:tr>
      <w:tr w:rsidR="003D0784" w:rsidRPr="00B7675F" w14:paraId="7C93A656" w14:textId="77777777" w:rsidTr="005F6348">
        <w:trPr>
          <w:trHeight w:val="20"/>
        </w:trPr>
        <w:tc>
          <w:tcPr>
            <w:tcW w:w="4800" w:type="dxa"/>
            <w:shd w:val="clear" w:color="auto" w:fill="auto"/>
            <w:noWrap/>
            <w:vAlign w:val="bottom"/>
            <w:hideMark/>
          </w:tcPr>
          <w:p w14:paraId="58AD6BC3" w14:textId="77777777" w:rsidR="003D0784" w:rsidRPr="00736448" w:rsidRDefault="003D0784" w:rsidP="005F6348">
            <w:pPr>
              <w:spacing w:after="0" w:line="240" w:lineRule="auto"/>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w:t>
            </w:r>
          </w:p>
        </w:tc>
        <w:tc>
          <w:tcPr>
            <w:tcW w:w="1900" w:type="dxa"/>
            <w:shd w:val="clear" w:color="auto" w:fill="auto"/>
            <w:vAlign w:val="bottom"/>
            <w:hideMark/>
          </w:tcPr>
          <w:p w14:paraId="100C01DE"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2</w:t>
            </w:r>
          </w:p>
        </w:tc>
        <w:tc>
          <w:tcPr>
            <w:tcW w:w="1900" w:type="dxa"/>
            <w:shd w:val="clear" w:color="auto" w:fill="auto"/>
            <w:vAlign w:val="bottom"/>
            <w:hideMark/>
          </w:tcPr>
          <w:p w14:paraId="37B0616A"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3</w:t>
            </w:r>
          </w:p>
        </w:tc>
        <w:tc>
          <w:tcPr>
            <w:tcW w:w="1880" w:type="dxa"/>
            <w:shd w:val="clear" w:color="auto" w:fill="auto"/>
            <w:vAlign w:val="bottom"/>
            <w:hideMark/>
          </w:tcPr>
          <w:p w14:paraId="0495E917"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4</w:t>
            </w:r>
          </w:p>
        </w:tc>
        <w:tc>
          <w:tcPr>
            <w:tcW w:w="1700" w:type="dxa"/>
            <w:shd w:val="clear" w:color="auto" w:fill="auto"/>
            <w:vAlign w:val="bottom"/>
            <w:hideMark/>
          </w:tcPr>
          <w:p w14:paraId="061BD912"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5</w:t>
            </w:r>
          </w:p>
        </w:tc>
        <w:tc>
          <w:tcPr>
            <w:tcW w:w="1840" w:type="dxa"/>
            <w:shd w:val="clear" w:color="auto" w:fill="auto"/>
            <w:noWrap/>
            <w:vAlign w:val="bottom"/>
            <w:hideMark/>
          </w:tcPr>
          <w:p w14:paraId="7563467A" w14:textId="77777777" w:rsidR="003D0784" w:rsidRPr="00736448" w:rsidRDefault="003D0784" w:rsidP="005F6348">
            <w:pPr>
              <w:spacing w:after="0" w:line="240" w:lineRule="auto"/>
              <w:jc w:val="center"/>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6=5-2</w:t>
            </w:r>
          </w:p>
        </w:tc>
      </w:tr>
      <w:tr w:rsidR="003D0784" w:rsidRPr="00B7675F" w14:paraId="553B3C79" w14:textId="77777777" w:rsidTr="005F6348">
        <w:trPr>
          <w:trHeight w:val="20"/>
        </w:trPr>
        <w:tc>
          <w:tcPr>
            <w:tcW w:w="4800" w:type="dxa"/>
            <w:shd w:val="clear" w:color="auto" w:fill="auto"/>
            <w:hideMark/>
          </w:tcPr>
          <w:p w14:paraId="4761205C"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I. Venituri, total</w:t>
            </w:r>
          </w:p>
        </w:tc>
        <w:tc>
          <w:tcPr>
            <w:tcW w:w="1900" w:type="dxa"/>
            <w:shd w:val="clear" w:color="auto" w:fill="auto"/>
          </w:tcPr>
          <w:p w14:paraId="742351A5"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31224240.7</w:t>
            </w:r>
          </w:p>
        </w:tc>
        <w:tc>
          <w:tcPr>
            <w:tcW w:w="1900" w:type="dxa"/>
            <w:shd w:val="clear" w:color="auto" w:fill="auto"/>
            <w:noWrap/>
          </w:tcPr>
          <w:p w14:paraId="0A001A2F"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33042332.4</w:t>
            </w:r>
          </w:p>
        </w:tc>
        <w:tc>
          <w:tcPr>
            <w:tcW w:w="1880" w:type="dxa"/>
            <w:shd w:val="clear" w:color="auto" w:fill="auto"/>
            <w:noWrap/>
          </w:tcPr>
          <w:p w14:paraId="40F93EA3"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33042332.4</w:t>
            </w:r>
          </w:p>
        </w:tc>
        <w:tc>
          <w:tcPr>
            <w:tcW w:w="1700" w:type="dxa"/>
            <w:shd w:val="clear" w:color="auto" w:fill="auto"/>
            <w:noWrap/>
          </w:tcPr>
          <w:p w14:paraId="34E4CA95"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34197925.4</w:t>
            </w:r>
          </w:p>
        </w:tc>
        <w:tc>
          <w:tcPr>
            <w:tcW w:w="1840" w:type="dxa"/>
            <w:shd w:val="clear" w:color="auto" w:fill="auto"/>
            <w:noWrap/>
            <w:vAlign w:val="bottom"/>
          </w:tcPr>
          <w:p w14:paraId="483C8806"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2973684.7</w:t>
            </w:r>
          </w:p>
        </w:tc>
      </w:tr>
      <w:tr w:rsidR="003D0784" w:rsidRPr="00B7675F" w14:paraId="65EE22EA" w14:textId="77777777" w:rsidTr="005F6348">
        <w:trPr>
          <w:trHeight w:val="20"/>
        </w:trPr>
        <w:tc>
          <w:tcPr>
            <w:tcW w:w="4800" w:type="dxa"/>
            <w:shd w:val="clear" w:color="auto" w:fill="auto"/>
            <w:hideMark/>
          </w:tcPr>
          <w:p w14:paraId="5C8BD62E" w14:textId="77777777" w:rsidR="003D0784" w:rsidRPr="00736448" w:rsidRDefault="003D0784" w:rsidP="005F6348">
            <w:pPr>
              <w:spacing w:after="0" w:line="240" w:lineRule="auto"/>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inclusiv transferuri de la bugetul de stat</w:t>
            </w:r>
          </w:p>
        </w:tc>
        <w:tc>
          <w:tcPr>
            <w:tcW w:w="1900" w:type="dxa"/>
            <w:shd w:val="clear" w:color="auto" w:fill="auto"/>
          </w:tcPr>
          <w:p w14:paraId="7BA495F3"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12550012.5</w:t>
            </w:r>
          </w:p>
        </w:tc>
        <w:tc>
          <w:tcPr>
            <w:tcW w:w="1900" w:type="dxa"/>
            <w:shd w:val="clear" w:color="auto" w:fill="auto"/>
            <w:noWrap/>
          </w:tcPr>
          <w:p w14:paraId="7419730D"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14207104.2</w:t>
            </w:r>
          </w:p>
        </w:tc>
        <w:tc>
          <w:tcPr>
            <w:tcW w:w="1880" w:type="dxa"/>
            <w:shd w:val="clear" w:color="auto" w:fill="auto"/>
            <w:noWrap/>
          </w:tcPr>
          <w:p w14:paraId="0F5FA998"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14207104.2</w:t>
            </w:r>
          </w:p>
        </w:tc>
        <w:tc>
          <w:tcPr>
            <w:tcW w:w="1700" w:type="dxa"/>
            <w:shd w:val="clear" w:color="auto" w:fill="auto"/>
            <w:noWrap/>
          </w:tcPr>
          <w:p w14:paraId="63F9E709"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15299697.2</w:t>
            </w:r>
          </w:p>
        </w:tc>
        <w:tc>
          <w:tcPr>
            <w:tcW w:w="1840" w:type="dxa"/>
            <w:shd w:val="clear" w:color="auto" w:fill="auto"/>
            <w:noWrap/>
            <w:vAlign w:val="bottom"/>
          </w:tcPr>
          <w:p w14:paraId="052134AA"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2749684.7</w:t>
            </w:r>
          </w:p>
        </w:tc>
      </w:tr>
      <w:tr w:rsidR="003D0784" w:rsidRPr="00B7675F" w14:paraId="20DD5C8D" w14:textId="77777777" w:rsidTr="005F6348">
        <w:trPr>
          <w:trHeight w:val="20"/>
        </w:trPr>
        <w:tc>
          <w:tcPr>
            <w:tcW w:w="4800" w:type="dxa"/>
            <w:shd w:val="clear" w:color="auto" w:fill="auto"/>
            <w:hideMark/>
          </w:tcPr>
          <w:p w14:paraId="7BBE5DF2"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II. Cheltuieli, total</w:t>
            </w:r>
          </w:p>
        </w:tc>
        <w:tc>
          <w:tcPr>
            <w:tcW w:w="1900" w:type="dxa"/>
            <w:shd w:val="clear" w:color="auto" w:fill="auto"/>
          </w:tcPr>
          <w:p w14:paraId="5126FF2E"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31224240.7</w:t>
            </w:r>
          </w:p>
        </w:tc>
        <w:tc>
          <w:tcPr>
            <w:tcW w:w="1900" w:type="dxa"/>
            <w:shd w:val="clear" w:color="auto" w:fill="auto"/>
            <w:noWrap/>
          </w:tcPr>
          <w:p w14:paraId="601861B3"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33042332.4</w:t>
            </w:r>
          </w:p>
        </w:tc>
        <w:tc>
          <w:tcPr>
            <w:tcW w:w="1880" w:type="dxa"/>
            <w:shd w:val="clear" w:color="auto" w:fill="auto"/>
            <w:noWrap/>
          </w:tcPr>
          <w:p w14:paraId="2268EFA3"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33042332.4</w:t>
            </w:r>
          </w:p>
        </w:tc>
        <w:tc>
          <w:tcPr>
            <w:tcW w:w="1700" w:type="dxa"/>
            <w:shd w:val="clear" w:color="auto" w:fill="auto"/>
            <w:noWrap/>
          </w:tcPr>
          <w:p w14:paraId="2EBE115D"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34197925.4</w:t>
            </w:r>
          </w:p>
        </w:tc>
        <w:tc>
          <w:tcPr>
            <w:tcW w:w="1840" w:type="dxa"/>
            <w:shd w:val="clear" w:color="auto" w:fill="auto"/>
            <w:noWrap/>
            <w:vAlign w:val="bottom"/>
          </w:tcPr>
          <w:p w14:paraId="4CACEBC2"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2973684.7</w:t>
            </w:r>
          </w:p>
        </w:tc>
      </w:tr>
      <w:tr w:rsidR="003D0784" w:rsidRPr="00B7675F" w14:paraId="67EAB65D" w14:textId="77777777" w:rsidTr="005F6348">
        <w:trPr>
          <w:trHeight w:val="20"/>
        </w:trPr>
        <w:tc>
          <w:tcPr>
            <w:tcW w:w="4800" w:type="dxa"/>
            <w:shd w:val="clear" w:color="auto" w:fill="auto"/>
            <w:hideMark/>
          </w:tcPr>
          <w:p w14:paraId="6734565A" w14:textId="77777777" w:rsidR="003D0784" w:rsidRPr="00736448" w:rsidRDefault="003D0784" w:rsidP="005F6348">
            <w:pPr>
              <w:spacing w:after="0" w:line="240" w:lineRule="auto"/>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inclusiv cheltuieli de personal</w:t>
            </w:r>
          </w:p>
        </w:tc>
        <w:tc>
          <w:tcPr>
            <w:tcW w:w="1900" w:type="dxa"/>
            <w:shd w:val="clear" w:color="auto" w:fill="auto"/>
          </w:tcPr>
          <w:p w14:paraId="5DE19F53"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184859.9</w:t>
            </w:r>
          </w:p>
        </w:tc>
        <w:tc>
          <w:tcPr>
            <w:tcW w:w="1900" w:type="dxa"/>
            <w:shd w:val="clear" w:color="auto" w:fill="auto"/>
            <w:noWrap/>
          </w:tcPr>
          <w:p w14:paraId="33AA0AD2"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186170.4</w:t>
            </w:r>
          </w:p>
        </w:tc>
        <w:tc>
          <w:tcPr>
            <w:tcW w:w="1880" w:type="dxa"/>
            <w:shd w:val="clear" w:color="auto" w:fill="auto"/>
            <w:noWrap/>
          </w:tcPr>
          <w:p w14:paraId="1D6DE1B3" w14:textId="77777777" w:rsidR="003D0784" w:rsidRPr="00736448" w:rsidRDefault="003D0784" w:rsidP="005F6348">
            <w:pPr>
              <w:spacing w:after="0" w:line="240" w:lineRule="auto"/>
              <w:jc w:val="right"/>
              <w:rPr>
                <w:rFonts w:ascii="Calibri Light" w:eastAsia="Times New Roman" w:hAnsi="Calibri Light" w:cs="Calibri Light"/>
                <w:i/>
                <w:iCs/>
                <w:color w:val="000000"/>
                <w:sz w:val="20"/>
                <w:szCs w:val="20"/>
                <w:lang w:val="ro-MD"/>
              </w:rPr>
            </w:pPr>
            <w:r w:rsidRPr="00736448">
              <w:rPr>
                <w:rFonts w:ascii="Calibri Light" w:eastAsia="Times New Roman" w:hAnsi="Calibri Light" w:cs="Calibri Light"/>
                <w:i/>
                <w:iCs/>
                <w:color w:val="000000"/>
                <w:sz w:val="20"/>
                <w:szCs w:val="20"/>
                <w:lang w:val="ro-MD"/>
              </w:rPr>
              <w:t>186170.4</w:t>
            </w:r>
          </w:p>
        </w:tc>
        <w:tc>
          <w:tcPr>
            <w:tcW w:w="1700" w:type="dxa"/>
            <w:shd w:val="clear" w:color="auto" w:fill="auto"/>
            <w:noWrap/>
          </w:tcPr>
          <w:p w14:paraId="1B78477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186170.4</w:t>
            </w:r>
          </w:p>
        </w:tc>
        <w:tc>
          <w:tcPr>
            <w:tcW w:w="1840" w:type="dxa"/>
            <w:shd w:val="clear" w:color="auto" w:fill="auto"/>
            <w:noWrap/>
            <w:vAlign w:val="bottom"/>
          </w:tcPr>
          <w:p w14:paraId="705AD6AE"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1310.5</w:t>
            </w:r>
          </w:p>
        </w:tc>
      </w:tr>
      <w:tr w:rsidR="003D0784" w:rsidRPr="00B7675F" w14:paraId="22E4980B" w14:textId="77777777" w:rsidTr="005F6348">
        <w:trPr>
          <w:trHeight w:val="20"/>
        </w:trPr>
        <w:tc>
          <w:tcPr>
            <w:tcW w:w="4800" w:type="dxa"/>
            <w:shd w:val="clear" w:color="auto" w:fill="auto"/>
            <w:noWrap/>
            <w:hideMark/>
          </w:tcPr>
          <w:p w14:paraId="3262F004"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Protecția socială</w:t>
            </w:r>
          </w:p>
        </w:tc>
        <w:tc>
          <w:tcPr>
            <w:tcW w:w="1900" w:type="dxa"/>
            <w:shd w:val="clear" w:color="auto" w:fill="auto"/>
          </w:tcPr>
          <w:p w14:paraId="189EA851"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31224240.7</w:t>
            </w:r>
          </w:p>
        </w:tc>
        <w:tc>
          <w:tcPr>
            <w:tcW w:w="1900" w:type="dxa"/>
            <w:shd w:val="clear" w:color="auto" w:fill="auto"/>
            <w:noWrap/>
          </w:tcPr>
          <w:p w14:paraId="19ABDD41"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33042332.4</w:t>
            </w:r>
          </w:p>
        </w:tc>
        <w:tc>
          <w:tcPr>
            <w:tcW w:w="1880" w:type="dxa"/>
            <w:shd w:val="clear" w:color="auto" w:fill="auto"/>
            <w:noWrap/>
          </w:tcPr>
          <w:p w14:paraId="7153D86F"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33042332.4</w:t>
            </w:r>
          </w:p>
        </w:tc>
        <w:tc>
          <w:tcPr>
            <w:tcW w:w="1700" w:type="dxa"/>
            <w:shd w:val="clear" w:color="auto" w:fill="auto"/>
            <w:noWrap/>
          </w:tcPr>
          <w:p w14:paraId="38A301A7"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34197925.4</w:t>
            </w:r>
          </w:p>
        </w:tc>
        <w:tc>
          <w:tcPr>
            <w:tcW w:w="1840" w:type="dxa"/>
            <w:shd w:val="clear" w:color="auto" w:fill="auto"/>
            <w:noWrap/>
            <w:vAlign w:val="bottom"/>
          </w:tcPr>
          <w:p w14:paraId="608329B9"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2973684.7</w:t>
            </w:r>
          </w:p>
        </w:tc>
      </w:tr>
      <w:tr w:rsidR="003D0784" w:rsidRPr="00B7675F" w14:paraId="5CDF288E" w14:textId="77777777" w:rsidTr="005F6348">
        <w:trPr>
          <w:trHeight w:val="20"/>
        </w:trPr>
        <w:tc>
          <w:tcPr>
            <w:tcW w:w="4800" w:type="dxa"/>
            <w:shd w:val="clear" w:color="auto" w:fill="auto"/>
            <w:hideMark/>
          </w:tcPr>
          <w:p w14:paraId="36A99ECF"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Administrarea sistemului public de asigurări sociale</w:t>
            </w:r>
          </w:p>
        </w:tc>
        <w:tc>
          <w:tcPr>
            <w:tcW w:w="1900" w:type="dxa"/>
            <w:shd w:val="clear" w:color="auto" w:fill="auto"/>
          </w:tcPr>
          <w:p w14:paraId="243E499C"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252745.2</w:t>
            </w:r>
          </w:p>
        </w:tc>
        <w:tc>
          <w:tcPr>
            <w:tcW w:w="1900" w:type="dxa"/>
            <w:shd w:val="clear" w:color="auto" w:fill="auto"/>
            <w:noWrap/>
          </w:tcPr>
          <w:p w14:paraId="049ABA6B"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258451.9</w:t>
            </w:r>
          </w:p>
        </w:tc>
        <w:tc>
          <w:tcPr>
            <w:tcW w:w="1880" w:type="dxa"/>
            <w:shd w:val="clear" w:color="auto" w:fill="auto"/>
            <w:noWrap/>
          </w:tcPr>
          <w:p w14:paraId="3EEE5F0E"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258451.9</w:t>
            </w:r>
          </w:p>
        </w:tc>
        <w:tc>
          <w:tcPr>
            <w:tcW w:w="1700" w:type="dxa"/>
            <w:shd w:val="clear" w:color="auto" w:fill="auto"/>
            <w:noWrap/>
          </w:tcPr>
          <w:p w14:paraId="59C1812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258451.9</w:t>
            </w:r>
          </w:p>
        </w:tc>
        <w:tc>
          <w:tcPr>
            <w:tcW w:w="1840" w:type="dxa"/>
            <w:shd w:val="clear" w:color="auto" w:fill="auto"/>
            <w:noWrap/>
            <w:vAlign w:val="bottom"/>
          </w:tcPr>
          <w:p w14:paraId="6F85035E"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5706.7</w:t>
            </w:r>
          </w:p>
        </w:tc>
      </w:tr>
      <w:tr w:rsidR="003D0784" w:rsidRPr="00B7675F" w14:paraId="32A8DF9B" w14:textId="77777777" w:rsidTr="005F6348">
        <w:trPr>
          <w:trHeight w:val="20"/>
        </w:trPr>
        <w:tc>
          <w:tcPr>
            <w:tcW w:w="4800" w:type="dxa"/>
            <w:shd w:val="clear" w:color="auto" w:fill="auto"/>
            <w:hideMark/>
          </w:tcPr>
          <w:p w14:paraId="7823AFB7"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în caz de incapacitate temporară de muncă</w:t>
            </w:r>
          </w:p>
        </w:tc>
        <w:tc>
          <w:tcPr>
            <w:tcW w:w="1900" w:type="dxa"/>
            <w:shd w:val="clear" w:color="auto" w:fill="auto"/>
          </w:tcPr>
          <w:p w14:paraId="0C190169"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1009652.2</w:t>
            </w:r>
          </w:p>
        </w:tc>
        <w:tc>
          <w:tcPr>
            <w:tcW w:w="1900" w:type="dxa"/>
            <w:shd w:val="clear" w:color="auto" w:fill="auto"/>
            <w:noWrap/>
          </w:tcPr>
          <w:p w14:paraId="3657CB6C"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1009652.2</w:t>
            </w:r>
          </w:p>
        </w:tc>
        <w:tc>
          <w:tcPr>
            <w:tcW w:w="1880" w:type="dxa"/>
            <w:shd w:val="clear" w:color="auto" w:fill="auto"/>
            <w:noWrap/>
          </w:tcPr>
          <w:p w14:paraId="6123C380"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1009652.2</w:t>
            </w:r>
          </w:p>
        </w:tc>
        <w:tc>
          <w:tcPr>
            <w:tcW w:w="1700" w:type="dxa"/>
            <w:shd w:val="clear" w:color="auto" w:fill="auto"/>
            <w:noWrap/>
          </w:tcPr>
          <w:p w14:paraId="340FFA77"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907267.8</w:t>
            </w:r>
          </w:p>
        </w:tc>
        <w:tc>
          <w:tcPr>
            <w:tcW w:w="1840" w:type="dxa"/>
            <w:shd w:val="clear" w:color="auto" w:fill="auto"/>
            <w:noWrap/>
            <w:vAlign w:val="bottom"/>
          </w:tcPr>
          <w:p w14:paraId="64086F76"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-102384.4</w:t>
            </w:r>
          </w:p>
        </w:tc>
      </w:tr>
      <w:tr w:rsidR="003D0784" w:rsidRPr="00B7675F" w14:paraId="228C9826" w14:textId="77777777" w:rsidTr="005F6348">
        <w:trPr>
          <w:trHeight w:val="20"/>
        </w:trPr>
        <w:tc>
          <w:tcPr>
            <w:tcW w:w="4800" w:type="dxa"/>
            <w:shd w:val="clear" w:color="auto" w:fill="auto"/>
            <w:hideMark/>
          </w:tcPr>
          <w:p w14:paraId="1396F9B4"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persoanelor în etate</w:t>
            </w:r>
          </w:p>
        </w:tc>
        <w:tc>
          <w:tcPr>
            <w:tcW w:w="1900" w:type="dxa"/>
            <w:shd w:val="clear" w:color="auto" w:fill="auto"/>
          </w:tcPr>
          <w:p w14:paraId="21F6314E"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19876609.3</w:t>
            </w:r>
          </w:p>
        </w:tc>
        <w:tc>
          <w:tcPr>
            <w:tcW w:w="1900" w:type="dxa"/>
            <w:shd w:val="clear" w:color="auto" w:fill="auto"/>
            <w:noWrap/>
          </w:tcPr>
          <w:p w14:paraId="7CCE38AD"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21848458.6</w:t>
            </w:r>
          </w:p>
        </w:tc>
        <w:tc>
          <w:tcPr>
            <w:tcW w:w="1880" w:type="dxa"/>
            <w:shd w:val="clear" w:color="auto" w:fill="auto"/>
            <w:noWrap/>
          </w:tcPr>
          <w:p w14:paraId="0E613FA9"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21848458.6</w:t>
            </w:r>
          </w:p>
        </w:tc>
        <w:tc>
          <w:tcPr>
            <w:tcW w:w="1700" w:type="dxa"/>
            <w:shd w:val="clear" w:color="auto" w:fill="auto"/>
            <w:noWrap/>
          </w:tcPr>
          <w:p w14:paraId="43D3DEC8"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22134749.4</w:t>
            </w:r>
          </w:p>
        </w:tc>
        <w:tc>
          <w:tcPr>
            <w:tcW w:w="1840" w:type="dxa"/>
            <w:shd w:val="clear" w:color="auto" w:fill="auto"/>
            <w:noWrap/>
            <w:vAlign w:val="bottom"/>
          </w:tcPr>
          <w:p w14:paraId="321674D3"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2258140.1</w:t>
            </w:r>
          </w:p>
        </w:tc>
      </w:tr>
      <w:tr w:rsidR="003D0784" w:rsidRPr="00B7675F" w14:paraId="36C34E06" w14:textId="77777777" w:rsidTr="005F6348">
        <w:trPr>
          <w:trHeight w:val="20"/>
        </w:trPr>
        <w:tc>
          <w:tcPr>
            <w:tcW w:w="4800" w:type="dxa"/>
            <w:shd w:val="clear" w:color="auto" w:fill="auto"/>
            <w:hideMark/>
          </w:tcPr>
          <w:p w14:paraId="06B5A6F3"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în legătură cu pierderea întreținătorului</w:t>
            </w:r>
          </w:p>
        </w:tc>
        <w:tc>
          <w:tcPr>
            <w:tcW w:w="1900" w:type="dxa"/>
            <w:shd w:val="clear" w:color="auto" w:fill="auto"/>
          </w:tcPr>
          <w:p w14:paraId="01D27426"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439516.3</w:t>
            </w:r>
          </w:p>
        </w:tc>
        <w:tc>
          <w:tcPr>
            <w:tcW w:w="1900" w:type="dxa"/>
            <w:shd w:val="clear" w:color="auto" w:fill="auto"/>
            <w:noWrap/>
          </w:tcPr>
          <w:p w14:paraId="01BE8E4E"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460234.0</w:t>
            </w:r>
          </w:p>
        </w:tc>
        <w:tc>
          <w:tcPr>
            <w:tcW w:w="1880" w:type="dxa"/>
            <w:shd w:val="clear" w:color="auto" w:fill="auto"/>
            <w:noWrap/>
          </w:tcPr>
          <w:p w14:paraId="0665F82B"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460234.0</w:t>
            </w:r>
          </w:p>
        </w:tc>
        <w:tc>
          <w:tcPr>
            <w:tcW w:w="1700" w:type="dxa"/>
            <w:shd w:val="clear" w:color="auto" w:fill="auto"/>
            <w:noWrap/>
          </w:tcPr>
          <w:p w14:paraId="10EE4C15"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464249.9</w:t>
            </w:r>
          </w:p>
        </w:tc>
        <w:tc>
          <w:tcPr>
            <w:tcW w:w="1840" w:type="dxa"/>
            <w:shd w:val="clear" w:color="auto" w:fill="auto"/>
            <w:noWrap/>
            <w:vAlign w:val="bottom"/>
          </w:tcPr>
          <w:p w14:paraId="20E971E6"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24733.6</w:t>
            </w:r>
          </w:p>
        </w:tc>
      </w:tr>
      <w:tr w:rsidR="003D0784" w:rsidRPr="00B7675F" w14:paraId="1D37A89A" w14:textId="77777777" w:rsidTr="005F6348">
        <w:trPr>
          <w:trHeight w:val="20"/>
        </w:trPr>
        <w:tc>
          <w:tcPr>
            <w:tcW w:w="4800" w:type="dxa"/>
            <w:shd w:val="clear" w:color="auto" w:fill="auto"/>
            <w:hideMark/>
          </w:tcPr>
          <w:p w14:paraId="7D95069E"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familiei și copilului</w:t>
            </w:r>
          </w:p>
        </w:tc>
        <w:tc>
          <w:tcPr>
            <w:tcW w:w="1900" w:type="dxa"/>
            <w:shd w:val="clear" w:color="auto" w:fill="auto"/>
          </w:tcPr>
          <w:p w14:paraId="592BDA07"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3190691.7</w:t>
            </w:r>
          </w:p>
        </w:tc>
        <w:tc>
          <w:tcPr>
            <w:tcW w:w="1900" w:type="dxa"/>
            <w:shd w:val="clear" w:color="auto" w:fill="auto"/>
            <w:noWrap/>
          </w:tcPr>
          <w:p w14:paraId="0258177D"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3190691.7</w:t>
            </w:r>
          </w:p>
        </w:tc>
        <w:tc>
          <w:tcPr>
            <w:tcW w:w="1880" w:type="dxa"/>
            <w:shd w:val="clear" w:color="auto" w:fill="auto"/>
            <w:noWrap/>
          </w:tcPr>
          <w:p w14:paraId="0889BAD4"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3190691.7</w:t>
            </w:r>
          </w:p>
        </w:tc>
        <w:tc>
          <w:tcPr>
            <w:tcW w:w="1700" w:type="dxa"/>
            <w:shd w:val="clear" w:color="auto" w:fill="auto"/>
            <w:noWrap/>
          </w:tcPr>
          <w:p w14:paraId="26D11523"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3135675.8</w:t>
            </w:r>
          </w:p>
        </w:tc>
        <w:tc>
          <w:tcPr>
            <w:tcW w:w="1840" w:type="dxa"/>
            <w:shd w:val="clear" w:color="auto" w:fill="auto"/>
            <w:noWrap/>
            <w:vAlign w:val="bottom"/>
          </w:tcPr>
          <w:p w14:paraId="3E249A13"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-55015.9</w:t>
            </w:r>
          </w:p>
        </w:tc>
      </w:tr>
      <w:tr w:rsidR="003D0784" w:rsidRPr="00B7675F" w14:paraId="5629D3FA" w14:textId="77777777" w:rsidTr="005F6348">
        <w:trPr>
          <w:trHeight w:val="20"/>
        </w:trPr>
        <w:tc>
          <w:tcPr>
            <w:tcW w:w="4800" w:type="dxa"/>
            <w:shd w:val="clear" w:color="auto" w:fill="auto"/>
            <w:hideMark/>
          </w:tcPr>
          <w:p w14:paraId="7B4BE812"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șomerilor</w:t>
            </w:r>
          </w:p>
        </w:tc>
        <w:tc>
          <w:tcPr>
            <w:tcW w:w="1900" w:type="dxa"/>
            <w:shd w:val="clear" w:color="auto" w:fill="auto"/>
          </w:tcPr>
          <w:p w14:paraId="2A12E95C"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78763.2</w:t>
            </w:r>
          </w:p>
        </w:tc>
        <w:tc>
          <w:tcPr>
            <w:tcW w:w="1900" w:type="dxa"/>
            <w:shd w:val="clear" w:color="auto" w:fill="auto"/>
            <w:noWrap/>
          </w:tcPr>
          <w:p w14:paraId="328F3AC6"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60763.2</w:t>
            </w:r>
          </w:p>
        </w:tc>
        <w:tc>
          <w:tcPr>
            <w:tcW w:w="1880" w:type="dxa"/>
            <w:shd w:val="clear" w:color="auto" w:fill="auto"/>
            <w:noWrap/>
          </w:tcPr>
          <w:p w14:paraId="3BCE9B4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60763.2</w:t>
            </w:r>
          </w:p>
        </w:tc>
        <w:tc>
          <w:tcPr>
            <w:tcW w:w="1700" w:type="dxa"/>
            <w:shd w:val="clear" w:color="auto" w:fill="auto"/>
            <w:noWrap/>
          </w:tcPr>
          <w:p w14:paraId="00284C2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47094.6</w:t>
            </w:r>
          </w:p>
        </w:tc>
        <w:tc>
          <w:tcPr>
            <w:tcW w:w="1840" w:type="dxa"/>
            <w:shd w:val="clear" w:color="auto" w:fill="auto"/>
            <w:noWrap/>
            <w:vAlign w:val="bottom"/>
          </w:tcPr>
          <w:p w14:paraId="24FE986A"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-31668.6</w:t>
            </w:r>
          </w:p>
        </w:tc>
      </w:tr>
      <w:tr w:rsidR="003D0784" w:rsidRPr="00B7675F" w14:paraId="721E3AD7" w14:textId="77777777" w:rsidTr="005F6348">
        <w:trPr>
          <w:trHeight w:val="20"/>
        </w:trPr>
        <w:tc>
          <w:tcPr>
            <w:tcW w:w="4800" w:type="dxa"/>
            <w:shd w:val="clear" w:color="auto" w:fill="auto"/>
            <w:hideMark/>
          </w:tcPr>
          <w:p w14:paraId="1DB61243"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socială a persoanelor cu dizabilități</w:t>
            </w:r>
          </w:p>
        </w:tc>
        <w:tc>
          <w:tcPr>
            <w:tcW w:w="1900" w:type="dxa"/>
            <w:shd w:val="clear" w:color="auto" w:fill="auto"/>
          </w:tcPr>
          <w:p w14:paraId="6CE75227"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3845484.6</w:t>
            </w:r>
          </w:p>
        </w:tc>
        <w:tc>
          <w:tcPr>
            <w:tcW w:w="1900" w:type="dxa"/>
            <w:shd w:val="clear" w:color="auto" w:fill="auto"/>
            <w:noWrap/>
          </w:tcPr>
          <w:p w14:paraId="01479CC1"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3956081.2</w:t>
            </w:r>
          </w:p>
        </w:tc>
        <w:tc>
          <w:tcPr>
            <w:tcW w:w="1880" w:type="dxa"/>
            <w:shd w:val="clear" w:color="auto" w:fill="auto"/>
            <w:noWrap/>
          </w:tcPr>
          <w:p w14:paraId="335551E2"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3956081.2</w:t>
            </w:r>
          </w:p>
        </w:tc>
        <w:tc>
          <w:tcPr>
            <w:tcW w:w="1700" w:type="dxa"/>
            <w:shd w:val="clear" w:color="auto" w:fill="auto"/>
            <w:noWrap/>
          </w:tcPr>
          <w:p w14:paraId="6B3326A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3993730.0</w:t>
            </w:r>
          </w:p>
        </w:tc>
        <w:tc>
          <w:tcPr>
            <w:tcW w:w="1840" w:type="dxa"/>
            <w:shd w:val="clear" w:color="auto" w:fill="auto"/>
            <w:noWrap/>
            <w:vAlign w:val="bottom"/>
          </w:tcPr>
          <w:p w14:paraId="245F2BC0"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148245.4</w:t>
            </w:r>
          </w:p>
        </w:tc>
      </w:tr>
      <w:tr w:rsidR="003D0784" w:rsidRPr="00B7675F" w14:paraId="5D2C22B6" w14:textId="77777777" w:rsidTr="005F6348">
        <w:trPr>
          <w:trHeight w:val="20"/>
        </w:trPr>
        <w:tc>
          <w:tcPr>
            <w:tcW w:w="4800" w:type="dxa"/>
            <w:shd w:val="clear" w:color="auto" w:fill="auto"/>
            <w:hideMark/>
          </w:tcPr>
          <w:p w14:paraId="0CC43EFF"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Susținerea suplimentară a unor categorii de populație</w:t>
            </w:r>
          </w:p>
        </w:tc>
        <w:tc>
          <w:tcPr>
            <w:tcW w:w="1900" w:type="dxa"/>
            <w:shd w:val="clear" w:color="auto" w:fill="auto"/>
          </w:tcPr>
          <w:p w14:paraId="5FB17DE6"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224724.6</w:t>
            </w:r>
          </w:p>
        </w:tc>
        <w:tc>
          <w:tcPr>
            <w:tcW w:w="1900" w:type="dxa"/>
            <w:shd w:val="clear" w:color="auto" w:fill="auto"/>
            <w:noWrap/>
          </w:tcPr>
          <w:p w14:paraId="3737C269"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224724.6</w:t>
            </w:r>
          </w:p>
        </w:tc>
        <w:tc>
          <w:tcPr>
            <w:tcW w:w="1880" w:type="dxa"/>
            <w:shd w:val="clear" w:color="auto" w:fill="auto"/>
            <w:noWrap/>
          </w:tcPr>
          <w:p w14:paraId="712A1886"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224724.6</w:t>
            </w:r>
          </w:p>
        </w:tc>
        <w:tc>
          <w:tcPr>
            <w:tcW w:w="1700" w:type="dxa"/>
            <w:shd w:val="clear" w:color="auto" w:fill="auto"/>
            <w:noWrap/>
          </w:tcPr>
          <w:p w14:paraId="76FBB979"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1172868.0</w:t>
            </w:r>
          </w:p>
        </w:tc>
        <w:tc>
          <w:tcPr>
            <w:tcW w:w="1840" w:type="dxa"/>
            <w:shd w:val="clear" w:color="auto" w:fill="auto"/>
            <w:noWrap/>
            <w:vAlign w:val="bottom"/>
          </w:tcPr>
          <w:p w14:paraId="32074D45"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948143.4</w:t>
            </w:r>
          </w:p>
        </w:tc>
      </w:tr>
      <w:tr w:rsidR="003D0784" w:rsidRPr="00B7675F" w14:paraId="070868A2" w14:textId="77777777" w:rsidTr="005F6348">
        <w:trPr>
          <w:trHeight w:val="20"/>
        </w:trPr>
        <w:tc>
          <w:tcPr>
            <w:tcW w:w="4800" w:type="dxa"/>
            <w:shd w:val="clear" w:color="auto" w:fill="auto"/>
            <w:hideMark/>
          </w:tcPr>
          <w:p w14:paraId="013C875F"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socială în cazuri excepționale</w:t>
            </w:r>
          </w:p>
        </w:tc>
        <w:tc>
          <w:tcPr>
            <w:tcW w:w="1900" w:type="dxa"/>
            <w:shd w:val="clear" w:color="auto" w:fill="auto"/>
          </w:tcPr>
          <w:p w14:paraId="0A220688"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1628716.0</w:t>
            </w:r>
          </w:p>
        </w:tc>
        <w:tc>
          <w:tcPr>
            <w:tcW w:w="1900" w:type="dxa"/>
            <w:shd w:val="clear" w:color="auto" w:fill="auto"/>
            <w:noWrap/>
          </w:tcPr>
          <w:p w14:paraId="566139A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1378600.6</w:t>
            </w:r>
          </w:p>
        </w:tc>
        <w:tc>
          <w:tcPr>
            <w:tcW w:w="1880" w:type="dxa"/>
            <w:shd w:val="clear" w:color="auto" w:fill="auto"/>
            <w:noWrap/>
          </w:tcPr>
          <w:p w14:paraId="6AEE252E"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1378600.6</w:t>
            </w:r>
          </w:p>
        </w:tc>
        <w:tc>
          <w:tcPr>
            <w:tcW w:w="1700" w:type="dxa"/>
            <w:shd w:val="clear" w:color="auto" w:fill="auto"/>
            <w:noWrap/>
          </w:tcPr>
          <w:p w14:paraId="4D1545F4"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1428850.1</w:t>
            </w:r>
          </w:p>
        </w:tc>
        <w:tc>
          <w:tcPr>
            <w:tcW w:w="1840" w:type="dxa"/>
            <w:shd w:val="clear" w:color="auto" w:fill="auto"/>
            <w:noWrap/>
            <w:vAlign w:val="bottom"/>
          </w:tcPr>
          <w:p w14:paraId="44297F60"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-199865.9</w:t>
            </w:r>
          </w:p>
        </w:tc>
      </w:tr>
      <w:tr w:rsidR="003D0784" w:rsidRPr="00B7675F" w14:paraId="11F2E245" w14:textId="77777777" w:rsidTr="005F6348">
        <w:trPr>
          <w:trHeight w:val="20"/>
        </w:trPr>
        <w:tc>
          <w:tcPr>
            <w:tcW w:w="4800" w:type="dxa"/>
            <w:shd w:val="clear" w:color="auto" w:fill="auto"/>
            <w:hideMark/>
          </w:tcPr>
          <w:p w14:paraId="68A2D1C3" w14:textId="77777777" w:rsidR="003D0784" w:rsidRPr="00736448" w:rsidRDefault="003D0784" w:rsidP="005F6348">
            <w:pPr>
              <w:spacing w:after="0" w:line="240" w:lineRule="auto"/>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Protecția socială a unor categorii de cetățeni</w:t>
            </w:r>
          </w:p>
        </w:tc>
        <w:tc>
          <w:tcPr>
            <w:tcW w:w="1900" w:type="dxa"/>
            <w:shd w:val="clear" w:color="auto" w:fill="auto"/>
          </w:tcPr>
          <w:p w14:paraId="4956078C"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677337.6</w:t>
            </w:r>
          </w:p>
        </w:tc>
        <w:tc>
          <w:tcPr>
            <w:tcW w:w="1900" w:type="dxa"/>
            <w:shd w:val="clear" w:color="auto" w:fill="auto"/>
            <w:noWrap/>
          </w:tcPr>
          <w:p w14:paraId="046C5A4F"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654674.4</w:t>
            </w:r>
          </w:p>
        </w:tc>
        <w:tc>
          <w:tcPr>
            <w:tcW w:w="1880" w:type="dxa"/>
            <w:shd w:val="clear" w:color="auto" w:fill="auto"/>
            <w:noWrap/>
          </w:tcPr>
          <w:p w14:paraId="4BD13103"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654674.4</w:t>
            </w:r>
          </w:p>
        </w:tc>
        <w:tc>
          <w:tcPr>
            <w:tcW w:w="1700" w:type="dxa"/>
            <w:shd w:val="clear" w:color="auto" w:fill="auto"/>
            <w:noWrap/>
          </w:tcPr>
          <w:p w14:paraId="33520F4A" w14:textId="77777777" w:rsidR="003D0784" w:rsidRPr="00736448" w:rsidRDefault="003D0784" w:rsidP="005F6348">
            <w:pPr>
              <w:spacing w:after="0" w:line="240" w:lineRule="auto"/>
              <w:jc w:val="right"/>
              <w:rPr>
                <w:rFonts w:ascii="Calibri Light" w:eastAsia="Times New Roman" w:hAnsi="Calibri Light" w:cs="Calibri Light"/>
                <w:color w:val="000000"/>
                <w:sz w:val="20"/>
                <w:szCs w:val="20"/>
                <w:lang w:val="ro-MD"/>
              </w:rPr>
            </w:pPr>
            <w:r w:rsidRPr="00736448">
              <w:rPr>
                <w:rFonts w:ascii="Calibri Light" w:eastAsia="Times New Roman" w:hAnsi="Calibri Light" w:cs="Calibri Light"/>
                <w:color w:val="000000"/>
                <w:sz w:val="20"/>
                <w:szCs w:val="20"/>
                <w:lang w:val="ro-MD"/>
              </w:rPr>
              <w:t>65487.9</w:t>
            </w:r>
          </w:p>
        </w:tc>
        <w:tc>
          <w:tcPr>
            <w:tcW w:w="1840" w:type="dxa"/>
            <w:shd w:val="clear" w:color="auto" w:fill="auto"/>
            <w:noWrap/>
            <w:vAlign w:val="bottom"/>
          </w:tcPr>
          <w:p w14:paraId="6E21637F" w14:textId="77777777" w:rsidR="003D0784" w:rsidRPr="00736448" w:rsidRDefault="003D0784" w:rsidP="005F6348">
            <w:pPr>
              <w:spacing w:after="0"/>
              <w:jc w:val="right"/>
              <w:rPr>
                <w:rFonts w:ascii="Calibri" w:hAnsi="Calibri" w:cs="Calibri"/>
                <w:color w:val="000000"/>
                <w:lang w:val="ro-MD"/>
              </w:rPr>
            </w:pPr>
            <w:r w:rsidRPr="00736448">
              <w:rPr>
                <w:rFonts w:ascii="Calibri" w:hAnsi="Calibri" w:cs="Calibri"/>
                <w:color w:val="000000"/>
                <w:lang w:val="ro-MD"/>
              </w:rPr>
              <w:t>-611849.7</w:t>
            </w:r>
          </w:p>
        </w:tc>
      </w:tr>
      <w:tr w:rsidR="003D0784" w:rsidRPr="00B7675F" w14:paraId="217DA289" w14:textId="77777777" w:rsidTr="005F6348">
        <w:trPr>
          <w:trHeight w:val="20"/>
        </w:trPr>
        <w:tc>
          <w:tcPr>
            <w:tcW w:w="4800" w:type="dxa"/>
            <w:shd w:val="clear" w:color="auto" w:fill="auto"/>
            <w:hideMark/>
          </w:tcPr>
          <w:p w14:paraId="2DDF3088"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III. Sold bugetar</w:t>
            </w:r>
          </w:p>
        </w:tc>
        <w:tc>
          <w:tcPr>
            <w:tcW w:w="1900" w:type="dxa"/>
            <w:shd w:val="clear" w:color="auto" w:fill="auto"/>
          </w:tcPr>
          <w:p w14:paraId="6655A579"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tcPr>
          <w:p w14:paraId="7EBA0B83"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80" w:type="dxa"/>
            <w:shd w:val="clear" w:color="auto" w:fill="auto"/>
            <w:noWrap/>
          </w:tcPr>
          <w:p w14:paraId="4258AAC2"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700" w:type="dxa"/>
            <w:shd w:val="clear" w:color="auto" w:fill="auto"/>
            <w:noWrap/>
          </w:tcPr>
          <w:p w14:paraId="5E9BAC37"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40" w:type="dxa"/>
            <w:shd w:val="clear" w:color="auto" w:fill="auto"/>
            <w:noWrap/>
          </w:tcPr>
          <w:p w14:paraId="152AAEB9"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r>
      <w:tr w:rsidR="003D0784" w:rsidRPr="00B7675F" w14:paraId="2D740449" w14:textId="77777777" w:rsidTr="005F6348">
        <w:trPr>
          <w:trHeight w:val="20"/>
        </w:trPr>
        <w:tc>
          <w:tcPr>
            <w:tcW w:w="4800" w:type="dxa"/>
            <w:shd w:val="clear" w:color="auto" w:fill="auto"/>
            <w:hideMark/>
          </w:tcPr>
          <w:p w14:paraId="6BD12581"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IV. Surse de finanțare, total</w:t>
            </w:r>
          </w:p>
        </w:tc>
        <w:tc>
          <w:tcPr>
            <w:tcW w:w="1900" w:type="dxa"/>
            <w:shd w:val="clear" w:color="auto" w:fill="auto"/>
          </w:tcPr>
          <w:p w14:paraId="5198A77E"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tcPr>
          <w:p w14:paraId="685E80AF"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80" w:type="dxa"/>
            <w:shd w:val="clear" w:color="auto" w:fill="auto"/>
            <w:noWrap/>
          </w:tcPr>
          <w:p w14:paraId="0C7BB9B4"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700" w:type="dxa"/>
            <w:shd w:val="clear" w:color="auto" w:fill="auto"/>
            <w:noWrap/>
          </w:tcPr>
          <w:p w14:paraId="018FF919"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40" w:type="dxa"/>
            <w:shd w:val="clear" w:color="auto" w:fill="auto"/>
            <w:noWrap/>
          </w:tcPr>
          <w:p w14:paraId="0B53EB3C"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r>
      <w:tr w:rsidR="003D0784" w:rsidRPr="00B7675F" w14:paraId="24F0ACEC" w14:textId="77777777" w:rsidTr="005F6348">
        <w:trPr>
          <w:trHeight w:val="20"/>
        </w:trPr>
        <w:tc>
          <w:tcPr>
            <w:tcW w:w="4800" w:type="dxa"/>
            <w:shd w:val="clear" w:color="auto" w:fill="auto"/>
            <w:hideMark/>
          </w:tcPr>
          <w:p w14:paraId="56D53F4B"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Active financiare</w:t>
            </w:r>
          </w:p>
        </w:tc>
        <w:tc>
          <w:tcPr>
            <w:tcW w:w="1900" w:type="dxa"/>
            <w:shd w:val="clear" w:color="auto" w:fill="auto"/>
          </w:tcPr>
          <w:p w14:paraId="4DEA0F7A"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noWrap/>
          </w:tcPr>
          <w:p w14:paraId="27609AC8"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880" w:type="dxa"/>
            <w:shd w:val="clear" w:color="auto" w:fill="auto"/>
            <w:noWrap/>
          </w:tcPr>
          <w:p w14:paraId="401EADDE"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700" w:type="dxa"/>
            <w:shd w:val="clear" w:color="auto" w:fill="auto"/>
            <w:noWrap/>
          </w:tcPr>
          <w:p w14:paraId="7400F4DD"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840" w:type="dxa"/>
            <w:shd w:val="clear" w:color="auto" w:fill="auto"/>
            <w:noWrap/>
          </w:tcPr>
          <w:p w14:paraId="63BEAC9B"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r>
      <w:tr w:rsidR="003D0784" w:rsidRPr="00B7675F" w14:paraId="5EAB1D11" w14:textId="77777777" w:rsidTr="005F6348">
        <w:trPr>
          <w:trHeight w:val="20"/>
        </w:trPr>
        <w:tc>
          <w:tcPr>
            <w:tcW w:w="4800" w:type="dxa"/>
            <w:shd w:val="clear" w:color="auto" w:fill="auto"/>
            <w:hideMark/>
          </w:tcPr>
          <w:p w14:paraId="4026A1D1"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Datorii</w:t>
            </w:r>
          </w:p>
        </w:tc>
        <w:tc>
          <w:tcPr>
            <w:tcW w:w="1900" w:type="dxa"/>
            <w:shd w:val="clear" w:color="auto" w:fill="auto"/>
          </w:tcPr>
          <w:p w14:paraId="251A9EBA"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tcPr>
          <w:p w14:paraId="09480A35"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80" w:type="dxa"/>
            <w:shd w:val="clear" w:color="auto" w:fill="auto"/>
            <w:noWrap/>
          </w:tcPr>
          <w:p w14:paraId="2BBC556B"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700" w:type="dxa"/>
            <w:shd w:val="clear" w:color="auto" w:fill="auto"/>
            <w:noWrap/>
          </w:tcPr>
          <w:p w14:paraId="7325AC41"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40" w:type="dxa"/>
            <w:shd w:val="clear" w:color="auto" w:fill="auto"/>
            <w:noWrap/>
          </w:tcPr>
          <w:p w14:paraId="074E3746"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r>
      <w:tr w:rsidR="003D0784" w:rsidRPr="00B7675F" w14:paraId="6CAE0A8D" w14:textId="77777777" w:rsidTr="005F6348">
        <w:trPr>
          <w:trHeight w:val="20"/>
        </w:trPr>
        <w:tc>
          <w:tcPr>
            <w:tcW w:w="4800" w:type="dxa"/>
            <w:shd w:val="clear" w:color="auto" w:fill="auto"/>
            <w:hideMark/>
          </w:tcPr>
          <w:p w14:paraId="65870E8F"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Modificarea soldului de mijloace bănești</w:t>
            </w:r>
          </w:p>
        </w:tc>
        <w:tc>
          <w:tcPr>
            <w:tcW w:w="1900" w:type="dxa"/>
            <w:shd w:val="clear" w:color="auto" w:fill="auto"/>
          </w:tcPr>
          <w:p w14:paraId="094667AF"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noWrap/>
          </w:tcPr>
          <w:p w14:paraId="6D044EFB"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880" w:type="dxa"/>
            <w:shd w:val="clear" w:color="auto" w:fill="auto"/>
            <w:noWrap/>
          </w:tcPr>
          <w:p w14:paraId="5956EC0B"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700" w:type="dxa"/>
            <w:shd w:val="clear" w:color="auto" w:fill="auto"/>
            <w:noWrap/>
          </w:tcPr>
          <w:p w14:paraId="76AA3B62"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840" w:type="dxa"/>
            <w:shd w:val="clear" w:color="auto" w:fill="auto"/>
            <w:noWrap/>
          </w:tcPr>
          <w:p w14:paraId="7BB51330"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r>
      <w:tr w:rsidR="003D0784" w:rsidRPr="00B7675F" w14:paraId="1AF87F88" w14:textId="77777777" w:rsidTr="005F6348">
        <w:trPr>
          <w:trHeight w:val="20"/>
        </w:trPr>
        <w:tc>
          <w:tcPr>
            <w:tcW w:w="4800" w:type="dxa"/>
            <w:shd w:val="clear" w:color="auto" w:fill="auto"/>
            <w:hideMark/>
          </w:tcPr>
          <w:p w14:paraId="6BD7B5A3"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Sold de mijloace bănești la începutul perioadei</w:t>
            </w:r>
          </w:p>
        </w:tc>
        <w:tc>
          <w:tcPr>
            <w:tcW w:w="1900" w:type="dxa"/>
            <w:shd w:val="clear" w:color="auto" w:fill="auto"/>
          </w:tcPr>
          <w:p w14:paraId="4D601624"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noWrap/>
          </w:tcPr>
          <w:p w14:paraId="7A3E3A84"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880" w:type="dxa"/>
            <w:shd w:val="clear" w:color="auto" w:fill="auto"/>
            <w:noWrap/>
          </w:tcPr>
          <w:p w14:paraId="4057D92F"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700" w:type="dxa"/>
            <w:shd w:val="clear" w:color="auto" w:fill="auto"/>
            <w:noWrap/>
          </w:tcPr>
          <w:p w14:paraId="0533A40A"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c>
          <w:tcPr>
            <w:tcW w:w="1840" w:type="dxa"/>
            <w:shd w:val="clear" w:color="auto" w:fill="auto"/>
            <w:noWrap/>
          </w:tcPr>
          <w:p w14:paraId="2928BD72"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60376.5</w:t>
            </w:r>
          </w:p>
        </w:tc>
      </w:tr>
      <w:tr w:rsidR="003D0784" w:rsidRPr="00B7675F" w14:paraId="0E9BD11E" w14:textId="77777777" w:rsidTr="005F6348">
        <w:trPr>
          <w:trHeight w:val="20"/>
        </w:trPr>
        <w:tc>
          <w:tcPr>
            <w:tcW w:w="4800" w:type="dxa"/>
            <w:shd w:val="clear" w:color="auto" w:fill="auto"/>
            <w:hideMark/>
          </w:tcPr>
          <w:p w14:paraId="4A4131F6" w14:textId="77777777" w:rsidR="003D0784" w:rsidRPr="00736448" w:rsidRDefault="003D0784" w:rsidP="005F6348">
            <w:pPr>
              <w:spacing w:after="0" w:line="240" w:lineRule="auto"/>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Sold de mijloace bănești la sfârșitul perioadei</w:t>
            </w:r>
          </w:p>
        </w:tc>
        <w:tc>
          <w:tcPr>
            <w:tcW w:w="1900" w:type="dxa"/>
            <w:shd w:val="clear" w:color="auto" w:fill="auto"/>
          </w:tcPr>
          <w:p w14:paraId="422694FE"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900" w:type="dxa"/>
            <w:shd w:val="clear" w:color="auto" w:fill="auto"/>
          </w:tcPr>
          <w:p w14:paraId="5D2E99F5"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80" w:type="dxa"/>
            <w:shd w:val="clear" w:color="auto" w:fill="auto"/>
            <w:noWrap/>
          </w:tcPr>
          <w:p w14:paraId="5FD522FE"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700" w:type="dxa"/>
            <w:shd w:val="clear" w:color="auto" w:fill="auto"/>
            <w:noWrap/>
          </w:tcPr>
          <w:p w14:paraId="0EAC660F"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c>
          <w:tcPr>
            <w:tcW w:w="1840" w:type="dxa"/>
            <w:shd w:val="clear" w:color="auto" w:fill="auto"/>
            <w:noWrap/>
          </w:tcPr>
          <w:p w14:paraId="06D403A0" w14:textId="77777777" w:rsidR="003D0784" w:rsidRPr="00736448" w:rsidRDefault="003D0784" w:rsidP="005F6348">
            <w:pPr>
              <w:spacing w:after="0" w:line="240" w:lineRule="auto"/>
              <w:jc w:val="right"/>
              <w:rPr>
                <w:rFonts w:ascii="Calibri Light" w:eastAsia="Times New Roman" w:hAnsi="Calibri Light" w:cs="Calibri Light"/>
                <w:b/>
                <w:bCs/>
                <w:color w:val="000000"/>
                <w:sz w:val="20"/>
                <w:szCs w:val="20"/>
                <w:lang w:val="ro-MD"/>
              </w:rPr>
            </w:pPr>
            <w:r w:rsidRPr="00736448">
              <w:rPr>
                <w:rFonts w:ascii="Calibri Light" w:eastAsia="Times New Roman" w:hAnsi="Calibri Light" w:cs="Calibri Light"/>
                <w:b/>
                <w:bCs/>
                <w:color w:val="000000"/>
                <w:sz w:val="20"/>
                <w:szCs w:val="20"/>
                <w:lang w:val="ro-MD"/>
              </w:rPr>
              <w:t>0.0</w:t>
            </w:r>
          </w:p>
        </w:tc>
      </w:tr>
    </w:tbl>
    <w:p w14:paraId="3A86B478" w14:textId="08F4EF76" w:rsidR="003D0784" w:rsidRPr="00736448" w:rsidRDefault="003D0784" w:rsidP="003D0784">
      <w:pPr>
        <w:rPr>
          <w:rFonts w:ascii="Calibri" w:eastAsia="Calibri" w:hAnsi="Calibri" w:cs="Times New Roman"/>
          <w:lang w:val="ro-MD"/>
        </w:rPr>
      </w:pPr>
      <w:r w:rsidRPr="00736448">
        <w:rPr>
          <w:rFonts w:ascii="Calibri Light" w:eastAsia="Times New Roman" w:hAnsi="Calibri Light" w:cs="Calibri Light"/>
          <w:b/>
          <w:bCs/>
          <w:i/>
          <w:iCs/>
          <w:color w:val="000000"/>
          <w:sz w:val="20"/>
          <w:szCs w:val="20"/>
          <w:lang w:val="ro-MD"/>
        </w:rPr>
        <w:t>Sursă:</w:t>
      </w:r>
      <w:r w:rsidRPr="00736448">
        <w:rPr>
          <w:rFonts w:ascii="Calibri Light" w:eastAsia="Times New Roman" w:hAnsi="Calibri Light" w:cs="Calibri Light"/>
          <w:i/>
          <w:iCs/>
          <w:color w:val="000000"/>
          <w:sz w:val="20"/>
          <w:szCs w:val="20"/>
          <w:lang w:val="ro-MD"/>
        </w:rPr>
        <w:t xml:space="preserve"> Legea bugetului asigurărilor sociale de stat pentru anul 2022</w:t>
      </w:r>
      <w:r w:rsidR="00E15964">
        <w:rPr>
          <w:rFonts w:ascii="Calibri Light" w:eastAsia="Times New Roman" w:hAnsi="Calibri Light" w:cs="Calibri Light"/>
          <w:i/>
          <w:iCs/>
          <w:color w:val="000000"/>
          <w:sz w:val="20"/>
          <w:szCs w:val="20"/>
          <w:lang w:val="ro-MD"/>
        </w:rPr>
        <w:t>.</w:t>
      </w:r>
    </w:p>
    <w:p w14:paraId="12373E47" w14:textId="77777777" w:rsidR="008B5EDB" w:rsidRPr="00736448" w:rsidRDefault="008B5EDB"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br w:type="page"/>
      </w:r>
    </w:p>
    <w:p w14:paraId="5CC6451F" w14:textId="3B949DE7"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11</w:t>
      </w:r>
    </w:p>
    <w:p w14:paraId="3D5694D2" w14:textId="77777777" w:rsidR="003D0784" w:rsidRPr="00736448" w:rsidRDefault="003D0784" w:rsidP="003D0784">
      <w:pPr>
        <w:tabs>
          <w:tab w:val="left" w:pos="162"/>
        </w:tabs>
        <w:spacing w:after="0" w:line="276" w:lineRule="auto"/>
        <w:jc w:val="center"/>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Executarea veniturilor bugetului asigurărilor sociale de stat în anii 2021-2022 </w:t>
      </w:r>
    </w:p>
    <w:p w14:paraId="3D981EF8" w14:textId="77777777" w:rsidR="003D0784" w:rsidRPr="00736448" w:rsidRDefault="003D0784" w:rsidP="003D0784">
      <w:pPr>
        <w:tabs>
          <w:tab w:val="left" w:pos="162"/>
        </w:tabs>
        <w:spacing w:after="0" w:line="276" w:lineRule="auto"/>
        <w:jc w:val="right"/>
        <w:rPr>
          <w:rFonts w:ascii="Calibri Light" w:eastAsia="Times New Roman" w:hAnsi="Calibri Light" w:cs="Calibri Light"/>
          <w:b/>
          <w:sz w:val="20"/>
          <w:szCs w:val="20"/>
          <w:lang w:val="ro-MD"/>
        </w:rPr>
      </w:pPr>
      <w:r w:rsidRPr="00736448">
        <w:rPr>
          <w:rFonts w:ascii="Calibri Light" w:eastAsia="Times New Roman" w:hAnsi="Calibri Light" w:cs="Calibri Light"/>
          <w:b/>
          <w:sz w:val="20"/>
          <w:szCs w:val="20"/>
          <w:lang w:val="ro-MD"/>
        </w:rPr>
        <w:t>(mil. lei)</w:t>
      </w:r>
    </w:p>
    <w:tbl>
      <w:tblPr>
        <w:tblW w:w="0" w:type="auto"/>
        <w:tblInd w:w="-10" w:type="dxa"/>
        <w:tblLayout w:type="fixed"/>
        <w:tblLook w:val="04A0" w:firstRow="1" w:lastRow="0" w:firstColumn="1" w:lastColumn="0" w:noHBand="0" w:noVBand="1"/>
      </w:tblPr>
      <w:tblGrid>
        <w:gridCol w:w="5350"/>
        <w:gridCol w:w="844"/>
        <w:gridCol w:w="809"/>
        <w:gridCol w:w="900"/>
        <w:gridCol w:w="900"/>
        <w:gridCol w:w="1457"/>
        <w:gridCol w:w="1080"/>
        <w:gridCol w:w="720"/>
        <w:gridCol w:w="876"/>
        <w:gridCol w:w="626"/>
      </w:tblGrid>
      <w:tr w:rsidR="003D0784" w:rsidRPr="00B7675F" w14:paraId="24EA677A" w14:textId="77777777" w:rsidTr="00155DE4">
        <w:trPr>
          <w:trHeight w:val="20"/>
        </w:trPr>
        <w:tc>
          <w:tcPr>
            <w:tcW w:w="53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FE8F267"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Indicatorii</w:t>
            </w:r>
          </w:p>
        </w:tc>
        <w:tc>
          <w:tcPr>
            <w:tcW w:w="844" w:type="dxa"/>
            <w:tcBorders>
              <w:top w:val="single" w:sz="8" w:space="0" w:color="auto"/>
              <w:left w:val="nil"/>
              <w:bottom w:val="single" w:sz="8" w:space="0" w:color="auto"/>
              <w:right w:val="single" w:sz="8" w:space="0" w:color="auto"/>
            </w:tcBorders>
            <w:shd w:val="clear" w:color="auto" w:fill="auto"/>
            <w:vAlign w:val="center"/>
            <w:hideMark/>
          </w:tcPr>
          <w:p w14:paraId="76A818E1"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Anul</w:t>
            </w:r>
          </w:p>
        </w:tc>
        <w:tc>
          <w:tcPr>
            <w:tcW w:w="2609" w:type="dxa"/>
            <w:gridSpan w:val="3"/>
            <w:tcBorders>
              <w:top w:val="single" w:sz="8" w:space="0" w:color="auto"/>
              <w:left w:val="nil"/>
              <w:bottom w:val="single" w:sz="8" w:space="0" w:color="auto"/>
              <w:right w:val="single" w:sz="8" w:space="0" w:color="000000"/>
            </w:tcBorders>
            <w:shd w:val="clear" w:color="auto" w:fill="auto"/>
            <w:vAlign w:val="center"/>
            <w:hideMark/>
          </w:tcPr>
          <w:p w14:paraId="29CF6A2C"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Anul 2022</w:t>
            </w:r>
          </w:p>
        </w:tc>
        <w:tc>
          <w:tcPr>
            <w:tcW w:w="1457" w:type="dxa"/>
            <w:tcBorders>
              <w:top w:val="single" w:sz="8" w:space="0" w:color="auto"/>
              <w:left w:val="nil"/>
              <w:bottom w:val="single" w:sz="8" w:space="0" w:color="auto"/>
              <w:right w:val="single" w:sz="8" w:space="0" w:color="auto"/>
            </w:tcBorders>
            <w:shd w:val="clear" w:color="auto" w:fill="auto"/>
            <w:vAlign w:val="center"/>
            <w:hideMark/>
          </w:tcPr>
          <w:p w14:paraId="1528EC55"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Ponderea, executat în suma totală</w:t>
            </w:r>
          </w:p>
        </w:tc>
        <w:tc>
          <w:tcPr>
            <w:tcW w:w="3302" w:type="dxa"/>
            <w:gridSpan w:val="4"/>
            <w:tcBorders>
              <w:top w:val="single" w:sz="8" w:space="0" w:color="auto"/>
              <w:left w:val="nil"/>
              <w:bottom w:val="single" w:sz="8" w:space="0" w:color="auto"/>
              <w:right w:val="single" w:sz="8" w:space="0" w:color="000000"/>
            </w:tcBorders>
            <w:shd w:val="clear" w:color="auto" w:fill="auto"/>
            <w:vAlign w:val="center"/>
            <w:hideMark/>
          </w:tcPr>
          <w:p w14:paraId="5DFF4441"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Executat 2022, față de:</w:t>
            </w:r>
          </w:p>
        </w:tc>
      </w:tr>
      <w:tr w:rsidR="003D0784" w:rsidRPr="00B7675F" w14:paraId="6E374BEE" w14:textId="77777777" w:rsidTr="00155DE4">
        <w:trPr>
          <w:trHeight w:val="20"/>
        </w:trPr>
        <w:tc>
          <w:tcPr>
            <w:tcW w:w="5350" w:type="dxa"/>
            <w:vMerge/>
            <w:tcBorders>
              <w:top w:val="single" w:sz="8" w:space="0" w:color="auto"/>
              <w:left w:val="single" w:sz="8" w:space="0" w:color="auto"/>
              <w:bottom w:val="single" w:sz="8" w:space="0" w:color="000000"/>
              <w:right w:val="single" w:sz="8" w:space="0" w:color="auto"/>
            </w:tcBorders>
            <w:vAlign w:val="center"/>
            <w:hideMark/>
          </w:tcPr>
          <w:p w14:paraId="4F908272"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p>
        </w:tc>
        <w:tc>
          <w:tcPr>
            <w:tcW w:w="844" w:type="dxa"/>
            <w:tcBorders>
              <w:top w:val="nil"/>
              <w:left w:val="nil"/>
              <w:bottom w:val="single" w:sz="8" w:space="0" w:color="auto"/>
              <w:right w:val="single" w:sz="8" w:space="0" w:color="auto"/>
            </w:tcBorders>
            <w:shd w:val="clear" w:color="auto" w:fill="auto"/>
            <w:vAlign w:val="center"/>
            <w:hideMark/>
          </w:tcPr>
          <w:p w14:paraId="75E9220F"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2021</w:t>
            </w:r>
          </w:p>
        </w:tc>
        <w:tc>
          <w:tcPr>
            <w:tcW w:w="809" w:type="dxa"/>
            <w:vMerge w:val="restart"/>
            <w:tcBorders>
              <w:top w:val="nil"/>
              <w:left w:val="single" w:sz="8" w:space="0" w:color="auto"/>
              <w:bottom w:val="single" w:sz="8" w:space="0" w:color="000000"/>
              <w:right w:val="single" w:sz="8" w:space="0" w:color="auto"/>
            </w:tcBorders>
            <w:shd w:val="clear" w:color="auto" w:fill="auto"/>
            <w:vAlign w:val="center"/>
            <w:hideMark/>
          </w:tcPr>
          <w:p w14:paraId="0BCC80B4"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aprobat</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3F72388E"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precizat</w:t>
            </w:r>
          </w:p>
        </w:tc>
        <w:tc>
          <w:tcPr>
            <w:tcW w:w="900" w:type="dxa"/>
            <w:vMerge w:val="restart"/>
            <w:tcBorders>
              <w:top w:val="nil"/>
              <w:left w:val="single" w:sz="8" w:space="0" w:color="auto"/>
              <w:bottom w:val="single" w:sz="8" w:space="0" w:color="000000"/>
              <w:right w:val="single" w:sz="8" w:space="0" w:color="auto"/>
            </w:tcBorders>
            <w:shd w:val="clear" w:color="auto" w:fill="auto"/>
            <w:vAlign w:val="center"/>
            <w:hideMark/>
          </w:tcPr>
          <w:p w14:paraId="1BF07E26"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executat</w:t>
            </w:r>
          </w:p>
        </w:tc>
        <w:tc>
          <w:tcPr>
            <w:tcW w:w="1457" w:type="dxa"/>
            <w:tcBorders>
              <w:top w:val="nil"/>
              <w:left w:val="nil"/>
              <w:bottom w:val="single" w:sz="8" w:space="0" w:color="auto"/>
              <w:right w:val="single" w:sz="8" w:space="0" w:color="auto"/>
            </w:tcBorders>
            <w:shd w:val="clear" w:color="auto" w:fill="auto"/>
            <w:vAlign w:val="center"/>
            <w:hideMark/>
          </w:tcPr>
          <w:p w14:paraId="7424341E"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1800" w:type="dxa"/>
            <w:gridSpan w:val="2"/>
            <w:tcBorders>
              <w:top w:val="single" w:sz="8" w:space="0" w:color="auto"/>
              <w:left w:val="nil"/>
              <w:bottom w:val="single" w:sz="8" w:space="0" w:color="auto"/>
              <w:right w:val="single" w:sz="8" w:space="0" w:color="000000"/>
            </w:tcBorders>
            <w:shd w:val="clear" w:color="auto" w:fill="auto"/>
            <w:vAlign w:val="center"/>
            <w:hideMark/>
          </w:tcPr>
          <w:p w14:paraId="2BF06B92"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executat 2021</w:t>
            </w:r>
          </w:p>
        </w:tc>
        <w:tc>
          <w:tcPr>
            <w:tcW w:w="1502" w:type="dxa"/>
            <w:gridSpan w:val="2"/>
            <w:tcBorders>
              <w:top w:val="single" w:sz="8" w:space="0" w:color="auto"/>
              <w:left w:val="nil"/>
              <w:bottom w:val="single" w:sz="8" w:space="0" w:color="auto"/>
              <w:right w:val="single" w:sz="8" w:space="0" w:color="000000"/>
            </w:tcBorders>
            <w:shd w:val="clear" w:color="auto" w:fill="auto"/>
            <w:vAlign w:val="center"/>
            <w:hideMark/>
          </w:tcPr>
          <w:p w14:paraId="415B7F81"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precizat 2022</w:t>
            </w:r>
          </w:p>
        </w:tc>
      </w:tr>
      <w:tr w:rsidR="003D0784" w:rsidRPr="00B7675F" w14:paraId="5824444E" w14:textId="77777777" w:rsidTr="00155DE4">
        <w:trPr>
          <w:trHeight w:val="20"/>
        </w:trPr>
        <w:tc>
          <w:tcPr>
            <w:tcW w:w="5350" w:type="dxa"/>
            <w:vMerge/>
            <w:tcBorders>
              <w:top w:val="single" w:sz="8" w:space="0" w:color="auto"/>
              <w:left w:val="single" w:sz="8" w:space="0" w:color="auto"/>
              <w:bottom w:val="single" w:sz="8" w:space="0" w:color="000000"/>
              <w:right w:val="single" w:sz="8" w:space="0" w:color="auto"/>
            </w:tcBorders>
            <w:vAlign w:val="center"/>
            <w:hideMark/>
          </w:tcPr>
          <w:p w14:paraId="5A68E205"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p>
        </w:tc>
        <w:tc>
          <w:tcPr>
            <w:tcW w:w="844" w:type="dxa"/>
            <w:tcBorders>
              <w:top w:val="nil"/>
              <w:left w:val="nil"/>
              <w:bottom w:val="single" w:sz="8" w:space="0" w:color="auto"/>
              <w:right w:val="single" w:sz="8" w:space="0" w:color="auto"/>
            </w:tcBorders>
            <w:shd w:val="clear" w:color="auto" w:fill="auto"/>
            <w:vAlign w:val="center"/>
            <w:hideMark/>
          </w:tcPr>
          <w:p w14:paraId="04B3BDB3"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executat</w:t>
            </w:r>
          </w:p>
        </w:tc>
        <w:tc>
          <w:tcPr>
            <w:tcW w:w="809" w:type="dxa"/>
            <w:vMerge/>
            <w:tcBorders>
              <w:top w:val="nil"/>
              <w:left w:val="single" w:sz="8" w:space="0" w:color="auto"/>
              <w:bottom w:val="single" w:sz="8" w:space="0" w:color="000000"/>
              <w:right w:val="single" w:sz="8" w:space="0" w:color="auto"/>
            </w:tcBorders>
            <w:vAlign w:val="center"/>
            <w:hideMark/>
          </w:tcPr>
          <w:p w14:paraId="7E81345F"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p>
        </w:tc>
        <w:tc>
          <w:tcPr>
            <w:tcW w:w="900" w:type="dxa"/>
            <w:vMerge/>
            <w:tcBorders>
              <w:top w:val="nil"/>
              <w:left w:val="single" w:sz="8" w:space="0" w:color="auto"/>
              <w:bottom w:val="single" w:sz="8" w:space="0" w:color="000000"/>
              <w:right w:val="single" w:sz="8" w:space="0" w:color="auto"/>
            </w:tcBorders>
            <w:vAlign w:val="center"/>
            <w:hideMark/>
          </w:tcPr>
          <w:p w14:paraId="3DC31121"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p>
        </w:tc>
        <w:tc>
          <w:tcPr>
            <w:tcW w:w="900" w:type="dxa"/>
            <w:vMerge/>
            <w:tcBorders>
              <w:top w:val="nil"/>
              <w:left w:val="single" w:sz="8" w:space="0" w:color="auto"/>
              <w:bottom w:val="single" w:sz="8" w:space="0" w:color="000000"/>
              <w:right w:val="single" w:sz="8" w:space="0" w:color="auto"/>
            </w:tcBorders>
            <w:vAlign w:val="center"/>
            <w:hideMark/>
          </w:tcPr>
          <w:p w14:paraId="7F74F920"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p>
        </w:tc>
        <w:tc>
          <w:tcPr>
            <w:tcW w:w="1457" w:type="dxa"/>
            <w:tcBorders>
              <w:top w:val="nil"/>
              <w:left w:val="nil"/>
              <w:bottom w:val="single" w:sz="8" w:space="0" w:color="auto"/>
              <w:right w:val="single" w:sz="8" w:space="0" w:color="auto"/>
            </w:tcBorders>
            <w:shd w:val="clear" w:color="auto" w:fill="auto"/>
            <w:vAlign w:val="center"/>
            <w:hideMark/>
          </w:tcPr>
          <w:p w14:paraId="45862E2C" w14:textId="77777777" w:rsidR="003D0784" w:rsidRPr="00736448" w:rsidRDefault="003D0784" w:rsidP="005F6348">
            <w:pPr>
              <w:spacing w:after="0" w:line="240" w:lineRule="auto"/>
              <w:rPr>
                <w:rFonts w:ascii="Calibri" w:eastAsia="Times New Roman" w:hAnsi="Calibri" w:cs="Calibri"/>
                <w:color w:val="000000"/>
                <w:sz w:val="18"/>
                <w:szCs w:val="18"/>
                <w:lang w:val="ro-MD"/>
              </w:rPr>
            </w:pPr>
            <w:r w:rsidRPr="00736448">
              <w:rPr>
                <w:rFonts w:ascii="Calibri" w:eastAsia="Times New Roman" w:hAnsi="Calibri" w:cs="Calibri"/>
                <w:color w:val="000000"/>
                <w:sz w:val="18"/>
                <w:szCs w:val="18"/>
                <w:lang w:val="ro-MD"/>
              </w:rPr>
              <w:t> </w:t>
            </w:r>
          </w:p>
        </w:tc>
        <w:tc>
          <w:tcPr>
            <w:tcW w:w="1080" w:type="dxa"/>
            <w:tcBorders>
              <w:top w:val="nil"/>
              <w:left w:val="nil"/>
              <w:bottom w:val="single" w:sz="8" w:space="0" w:color="auto"/>
              <w:right w:val="single" w:sz="8" w:space="0" w:color="auto"/>
            </w:tcBorders>
            <w:shd w:val="clear" w:color="auto" w:fill="auto"/>
            <w:vAlign w:val="center"/>
            <w:hideMark/>
          </w:tcPr>
          <w:p w14:paraId="47A6170A"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720" w:type="dxa"/>
            <w:tcBorders>
              <w:top w:val="nil"/>
              <w:left w:val="nil"/>
              <w:bottom w:val="single" w:sz="8" w:space="0" w:color="auto"/>
              <w:right w:val="single" w:sz="8" w:space="0" w:color="auto"/>
            </w:tcBorders>
            <w:shd w:val="clear" w:color="auto" w:fill="auto"/>
            <w:vAlign w:val="center"/>
            <w:hideMark/>
          </w:tcPr>
          <w:p w14:paraId="49CEB84B"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876" w:type="dxa"/>
            <w:tcBorders>
              <w:top w:val="nil"/>
              <w:left w:val="nil"/>
              <w:bottom w:val="single" w:sz="8" w:space="0" w:color="auto"/>
              <w:right w:val="single" w:sz="8" w:space="0" w:color="auto"/>
            </w:tcBorders>
            <w:shd w:val="clear" w:color="auto" w:fill="auto"/>
            <w:vAlign w:val="center"/>
            <w:hideMark/>
          </w:tcPr>
          <w:p w14:paraId="1A80F109"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c>
          <w:tcPr>
            <w:tcW w:w="626" w:type="dxa"/>
            <w:tcBorders>
              <w:top w:val="nil"/>
              <w:left w:val="nil"/>
              <w:bottom w:val="single" w:sz="8" w:space="0" w:color="auto"/>
              <w:right w:val="single" w:sz="8" w:space="0" w:color="auto"/>
            </w:tcBorders>
            <w:shd w:val="clear" w:color="auto" w:fill="auto"/>
            <w:vAlign w:val="center"/>
            <w:hideMark/>
          </w:tcPr>
          <w:p w14:paraId="5FABAD4D" w14:textId="77777777" w:rsidR="003D0784" w:rsidRPr="00736448" w:rsidRDefault="003D0784" w:rsidP="005F6348">
            <w:pPr>
              <w:spacing w:after="0" w:line="240" w:lineRule="auto"/>
              <w:jc w:val="center"/>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w:t>
            </w:r>
          </w:p>
        </w:tc>
      </w:tr>
      <w:tr w:rsidR="003D0784" w:rsidRPr="00B7675F" w14:paraId="1C673089"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025D3C4E"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A</w:t>
            </w:r>
          </w:p>
        </w:tc>
        <w:tc>
          <w:tcPr>
            <w:tcW w:w="844" w:type="dxa"/>
            <w:tcBorders>
              <w:top w:val="nil"/>
              <w:left w:val="nil"/>
              <w:bottom w:val="single" w:sz="8" w:space="0" w:color="auto"/>
              <w:right w:val="single" w:sz="8" w:space="0" w:color="auto"/>
            </w:tcBorders>
            <w:shd w:val="clear" w:color="auto" w:fill="auto"/>
            <w:vAlign w:val="center"/>
            <w:hideMark/>
          </w:tcPr>
          <w:p w14:paraId="4DDF3941"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w:t>
            </w:r>
          </w:p>
        </w:tc>
        <w:tc>
          <w:tcPr>
            <w:tcW w:w="809" w:type="dxa"/>
            <w:tcBorders>
              <w:top w:val="nil"/>
              <w:left w:val="nil"/>
              <w:bottom w:val="single" w:sz="8" w:space="0" w:color="auto"/>
              <w:right w:val="single" w:sz="8" w:space="0" w:color="auto"/>
            </w:tcBorders>
            <w:shd w:val="clear" w:color="auto" w:fill="auto"/>
            <w:vAlign w:val="center"/>
            <w:hideMark/>
          </w:tcPr>
          <w:p w14:paraId="07A43FF2"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2</w:t>
            </w:r>
          </w:p>
        </w:tc>
        <w:tc>
          <w:tcPr>
            <w:tcW w:w="900" w:type="dxa"/>
            <w:tcBorders>
              <w:top w:val="nil"/>
              <w:left w:val="nil"/>
              <w:bottom w:val="single" w:sz="8" w:space="0" w:color="auto"/>
              <w:right w:val="single" w:sz="8" w:space="0" w:color="auto"/>
            </w:tcBorders>
            <w:shd w:val="clear" w:color="auto" w:fill="auto"/>
            <w:vAlign w:val="center"/>
            <w:hideMark/>
          </w:tcPr>
          <w:p w14:paraId="4335DC6A"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3</w:t>
            </w:r>
          </w:p>
        </w:tc>
        <w:tc>
          <w:tcPr>
            <w:tcW w:w="900" w:type="dxa"/>
            <w:tcBorders>
              <w:top w:val="nil"/>
              <w:left w:val="nil"/>
              <w:bottom w:val="single" w:sz="8" w:space="0" w:color="auto"/>
              <w:right w:val="single" w:sz="8" w:space="0" w:color="auto"/>
            </w:tcBorders>
            <w:shd w:val="clear" w:color="auto" w:fill="auto"/>
            <w:vAlign w:val="center"/>
            <w:hideMark/>
          </w:tcPr>
          <w:p w14:paraId="04559C83"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4</w:t>
            </w:r>
          </w:p>
        </w:tc>
        <w:tc>
          <w:tcPr>
            <w:tcW w:w="1457" w:type="dxa"/>
            <w:tcBorders>
              <w:top w:val="nil"/>
              <w:left w:val="nil"/>
              <w:bottom w:val="single" w:sz="8" w:space="0" w:color="auto"/>
              <w:right w:val="single" w:sz="8" w:space="0" w:color="auto"/>
            </w:tcBorders>
            <w:shd w:val="clear" w:color="auto" w:fill="auto"/>
            <w:vAlign w:val="center"/>
            <w:hideMark/>
          </w:tcPr>
          <w:p w14:paraId="6362046F"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5.0</w:t>
            </w:r>
          </w:p>
        </w:tc>
        <w:tc>
          <w:tcPr>
            <w:tcW w:w="1080" w:type="dxa"/>
            <w:tcBorders>
              <w:top w:val="nil"/>
              <w:left w:val="nil"/>
              <w:bottom w:val="single" w:sz="8" w:space="0" w:color="auto"/>
              <w:right w:val="single" w:sz="8" w:space="0" w:color="auto"/>
            </w:tcBorders>
            <w:shd w:val="clear" w:color="auto" w:fill="auto"/>
            <w:vAlign w:val="center"/>
            <w:hideMark/>
          </w:tcPr>
          <w:p w14:paraId="42511507"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6</w:t>
            </w:r>
          </w:p>
        </w:tc>
        <w:tc>
          <w:tcPr>
            <w:tcW w:w="720" w:type="dxa"/>
            <w:tcBorders>
              <w:top w:val="nil"/>
              <w:left w:val="nil"/>
              <w:bottom w:val="single" w:sz="8" w:space="0" w:color="auto"/>
              <w:right w:val="single" w:sz="8" w:space="0" w:color="auto"/>
            </w:tcBorders>
            <w:shd w:val="clear" w:color="auto" w:fill="auto"/>
            <w:vAlign w:val="center"/>
            <w:hideMark/>
          </w:tcPr>
          <w:p w14:paraId="3BA08D4D"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7</w:t>
            </w:r>
          </w:p>
        </w:tc>
        <w:tc>
          <w:tcPr>
            <w:tcW w:w="876" w:type="dxa"/>
            <w:tcBorders>
              <w:top w:val="nil"/>
              <w:left w:val="nil"/>
              <w:bottom w:val="single" w:sz="8" w:space="0" w:color="auto"/>
              <w:right w:val="single" w:sz="8" w:space="0" w:color="auto"/>
            </w:tcBorders>
            <w:shd w:val="clear" w:color="auto" w:fill="auto"/>
            <w:vAlign w:val="center"/>
            <w:hideMark/>
          </w:tcPr>
          <w:p w14:paraId="1959A20F"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8</w:t>
            </w:r>
          </w:p>
        </w:tc>
        <w:tc>
          <w:tcPr>
            <w:tcW w:w="626" w:type="dxa"/>
            <w:tcBorders>
              <w:top w:val="nil"/>
              <w:left w:val="nil"/>
              <w:bottom w:val="single" w:sz="8" w:space="0" w:color="auto"/>
              <w:right w:val="single" w:sz="8" w:space="0" w:color="auto"/>
            </w:tcBorders>
            <w:shd w:val="clear" w:color="auto" w:fill="auto"/>
            <w:vAlign w:val="center"/>
            <w:hideMark/>
          </w:tcPr>
          <w:p w14:paraId="1EAAE02F" w14:textId="77777777" w:rsidR="003D0784" w:rsidRPr="00736448" w:rsidRDefault="003D0784" w:rsidP="005F6348">
            <w:pPr>
              <w:spacing w:after="0" w:line="240" w:lineRule="auto"/>
              <w:jc w:val="center"/>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9</w:t>
            </w:r>
          </w:p>
        </w:tc>
      </w:tr>
      <w:tr w:rsidR="003D0784" w:rsidRPr="00B7675F" w14:paraId="4B8020E0"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3DBDB9DB"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Venituri, total</w:t>
            </w:r>
          </w:p>
        </w:tc>
        <w:tc>
          <w:tcPr>
            <w:tcW w:w="844" w:type="dxa"/>
            <w:tcBorders>
              <w:top w:val="nil"/>
              <w:left w:val="nil"/>
              <w:bottom w:val="single" w:sz="8" w:space="0" w:color="auto"/>
              <w:right w:val="single" w:sz="8" w:space="0" w:color="auto"/>
            </w:tcBorders>
            <w:shd w:val="clear" w:color="auto" w:fill="auto"/>
            <w:vAlign w:val="center"/>
            <w:hideMark/>
          </w:tcPr>
          <w:p w14:paraId="328FE857"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27249.8</w:t>
            </w:r>
          </w:p>
        </w:tc>
        <w:tc>
          <w:tcPr>
            <w:tcW w:w="809" w:type="dxa"/>
            <w:tcBorders>
              <w:top w:val="nil"/>
              <w:left w:val="nil"/>
              <w:bottom w:val="single" w:sz="8" w:space="0" w:color="auto"/>
              <w:right w:val="single" w:sz="8" w:space="0" w:color="auto"/>
            </w:tcBorders>
            <w:shd w:val="clear" w:color="auto" w:fill="auto"/>
            <w:vAlign w:val="center"/>
            <w:hideMark/>
          </w:tcPr>
          <w:p w14:paraId="55D12D04"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31224.2</w:t>
            </w:r>
          </w:p>
        </w:tc>
        <w:tc>
          <w:tcPr>
            <w:tcW w:w="900" w:type="dxa"/>
            <w:tcBorders>
              <w:top w:val="nil"/>
              <w:left w:val="nil"/>
              <w:bottom w:val="single" w:sz="8" w:space="0" w:color="auto"/>
              <w:right w:val="single" w:sz="8" w:space="0" w:color="auto"/>
            </w:tcBorders>
            <w:shd w:val="clear" w:color="auto" w:fill="auto"/>
            <w:vAlign w:val="center"/>
            <w:hideMark/>
          </w:tcPr>
          <w:p w14:paraId="54B8E35E"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34200.6</w:t>
            </w:r>
          </w:p>
        </w:tc>
        <w:tc>
          <w:tcPr>
            <w:tcW w:w="900" w:type="dxa"/>
            <w:tcBorders>
              <w:top w:val="nil"/>
              <w:left w:val="nil"/>
              <w:bottom w:val="single" w:sz="8" w:space="0" w:color="auto"/>
              <w:right w:val="single" w:sz="8" w:space="0" w:color="auto"/>
            </w:tcBorders>
            <w:shd w:val="clear" w:color="auto" w:fill="auto"/>
            <w:vAlign w:val="center"/>
            <w:hideMark/>
          </w:tcPr>
          <w:p w14:paraId="53F78316"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33796.07</w:t>
            </w:r>
          </w:p>
        </w:tc>
        <w:tc>
          <w:tcPr>
            <w:tcW w:w="1457" w:type="dxa"/>
            <w:tcBorders>
              <w:top w:val="nil"/>
              <w:left w:val="nil"/>
              <w:bottom w:val="single" w:sz="8" w:space="0" w:color="auto"/>
              <w:right w:val="single" w:sz="8" w:space="0" w:color="auto"/>
            </w:tcBorders>
            <w:shd w:val="clear" w:color="auto" w:fill="auto"/>
            <w:vAlign w:val="center"/>
            <w:hideMark/>
          </w:tcPr>
          <w:p w14:paraId="596CB915"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100.0</w:t>
            </w:r>
          </w:p>
        </w:tc>
        <w:tc>
          <w:tcPr>
            <w:tcW w:w="1080" w:type="dxa"/>
            <w:tcBorders>
              <w:top w:val="nil"/>
              <w:left w:val="nil"/>
              <w:bottom w:val="single" w:sz="8" w:space="0" w:color="auto"/>
              <w:right w:val="single" w:sz="8" w:space="0" w:color="auto"/>
            </w:tcBorders>
            <w:shd w:val="clear" w:color="auto" w:fill="auto"/>
            <w:vAlign w:val="center"/>
            <w:hideMark/>
          </w:tcPr>
          <w:p w14:paraId="3B054F85"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6546.27</w:t>
            </w:r>
          </w:p>
        </w:tc>
        <w:tc>
          <w:tcPr>
            <w:tcW w:w="720" w:type="dxa"/>
            <w:tcBorders>
              <w:top w:val="nil"/>
              <w:left w:val="nil"/>
              <w:bottom w:val="single" w:sz="8" w:space="0" w:color="auto"/>
              <w:right w:val="single" w:sz="8" w:space="0" w:color="auto"/>
            </w:tcBorders>
            <w:shd w:val="clear" w:color="auto" w:fill="auto"/>
            <w:vAlign w:val="center"/>
            <w:hideMark/>
          </w:tcPr>
          <w:p w14:paraId="55C86294"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124.0</w:t>
            </w:r>
          </w:p>
        </w:tc>
        <w:tc>
          <w:tcPr>
            <w:tcW w:w="876" w:type="dxa"/>
            <w:tcBorders>
              <w:top w:val="nil"/>
              <w:left w:val="nil"/>
              <w:bottom w:val="single" w:sz="8" w:space="0" w:color="auto"/>
              <w:right w:val="single" w:sz="8" w:space="0" w:color="auto"/>
            </w:tcBorders>
            <w:shd w:val="clear" w:color="auto" w:fill="auto"/>
            <w:vAlign w:val="center"/>
            <w:hideMark/>
          </w:tcPr>
          <w:p w14:paraId="037AA9A0"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-404.53</w:t>
            </w:r>
          </w:p>
        </w:tc>
        <w:tc>
          <w:tcPr>
            <w:tcW w:w="626" w:type="dxa"/>
            <w:tcBorders>
              <w:top w:val="nil"/>
              <w:left w:val="nil"/>
              <w:bottom w:val="single" w:sz="8" w:space="0" w:color="auto"/>
              <w:right w:val="single" w:sz="8" w:space="0" w:color="auto"/>
            </w:tcBorders>
            <w:shd w:val="clear" w:color="auto" w:fill="auto"/>
            <w:vAlign w:val="center"/>
            <w:hideMark/>
          </w:tcPr>
          <w:p w14:paraId="13CA1B25"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98.8</w:t>
            </w:r>
          </w:p>
        </w:tc>
      </w:tr>
      <w:tr w:rsidR="003D0784" w:rsidRPr="00B7675F" w14:paraId="0CC6E353"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0D7A0154"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w:t>
            </w:r>
            <w:r w:rsidRPr="00736448">
              <w:rPr>
                <w:rFonts w:ascii="Times New Roman" w:eastAsia="Times New Roman" w:hAnsi="Times New Roman" w:cs="Times New Roman"/>
                <w:b/>
                <w:bCs/>
                <w:color w:val="000000"/>
                <w:sz w:val="18"/>
                <w:szCs w:val="18"/>
                <w:lang w:val="ro-MD"/>
              </w:rPr>
              <w:t xml:space="preserve"> </w:t>
            </w:r>
            <w:r w:rsidRPr="00736448">
              <w:rPr>
                <w:rFonts w:ascii="Calibri Light" w:eastAsia="Times New Roman" w:hAnsi="Calibri Light" w:cs="Calibri Light"/>
                <w:b/>
                <w:bCs/>
                <w:color w:val="000000"/>
                <w:sz w:val="18"/>
                <w:szCs w:val="18"/>
                <w:lang w:val="ro-MD"/>
              </w:rPr>
              <w:t>Resurse proprii ale BASS</w:t>
            </w:r>
          </w:p>
        </w:tc>
        <w:tc>
          <w:tcPr>
            <w:tcW w:w="844" w:type="dxa"/>
            <w:tcBorders>
              <w:top w:val="nil"/>
              <w:left w:val="nil"/>
              <w:bottom w:val="single" w:sz="8" w:space="0" w:color="auto"/>
              <w:right w:val="single" w:sz="8" w:space="0" w:color="auto"/>
            </w:tcBorders>
            <w:shd w:val="clear" w:color="auto" w:fill="auto"/>
            <w:vAlign w:val="center"/>
            <w:hideMark/>
          </w:tcPr>
          <w:p w14:paraId="1C919FBA"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16522.2</w:t>
            </w:r>
          </w:p>
        </w:tc>
        <w:tc>
          <w:tcPr>
            <w:tcW w:w="809" w:type="dxa"/>
            <w:tcBorders>
              <w:top w:val="nil"/>
              <w:left w:val="nil"/>
              <w:bottom w:val="single" w:sz="8" w:space="0" w:color="auto"/>
              <w:right w:val="single" w:sz="8" w:space="0" w:color="auto"/>
            </w:tcBorders>
            <w:shd w:val="clear" w:color="auto" w:fill="auto"/>
            <w:vAlign w:val="center"/>
            <w:hideMark/>
          </w:tcPr>
          <w:p w14:paraId="19A95C7E"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18674.2</w:t>
            </w:r>
          </w:p>
        </w:tc>
        <w:tc>
          <w:tcPr>
            <w:tcW w:w="900" w:type="dxa"/>
            <w:tcBorders>
              <w:top w:val="nil"/>
              <w:left w:val="nil"/>
              <w:bottom w:val="single" w:sz="8" w:space="0" w:color="auto"/>
              <w:right w:val="single" w:sz="8" w:space="0" w:color="auto"/>
            </w:tcBorders>
            <w:shd w:val="clear" w:color="auto" w:fill="auto"/>
            <w:vAlign w:val="center"/>
            <w:hideMark/>
          </w:tcPr>
          <w:p w14:paraId="114E10EA"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18898.24</w:t>
            </w:r>
          </w:p>
        </w:tc>
        <w:tc>
          <w:tcPr>
            <w:tcW w:w="900" w:type="dxa"/>
            <w:tcBorders>
              <w:top w:val="nil"/>
              <w:left w:val="nil"/>
              <w:bottom w:val="single" w:sz="8" w:space="0" w:color="auto"/>
              <w:right w:val="single" w:sz="8" w:space="0" w:color="auto"/>
            </w:tcBorders>
            <w:shd w:val="clear" w:color="auto" w:fill="auto"/>
            <w:vAlign w:val="center"/>
            <w:hideMark/>
          </w:tcPr>
          <w:p w14:paraId="7AEB8AE4"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19002</w:t>
            </w:r>
          </w:p>
        </w:tc>
        <w:tc>
          <w:tcPr>
            <w:tcW w:w="1457" w:type="dxa"/>
            <w:tcBorders>
              <w:top w:val="nil"/>
              <w:left w:val="nil"/>
              <w:bottom w:val="single" w:sz="8" w:space="0" w:color="auto"/>
              <w:right w:val="single" w:sz="8" w:space="0" w:color="auto"/>
            </w:tcBorders>
            <w:shd w:val="clear" w:color="auto" w:fill="auto"/>
            <w:vAlign w:val="center"/>
            <w:hideMark/>
          </w:tcPr>
          <w:p w14:paraId="393C3B46"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56.2</w:t>
            </w:r>
          </w:p>
        </w:tc>
        <w:tc>
          <w:tcPr>
            <w:tcW w:w="1080" w:type="dxa"/>
            <w:tcBorders>
              <w:top w:val="nil"/>
              <w:left w:val="nil"/>
              <w:bottom w:val="single" w:sz="8" w:space="0" w:color="auto"/>
              <w:right w:val="single" w:sz="8" w:space="0" w:color="auto"/>
            </w:tcBorders>
            <w:shd w:val="clear" w:color="auto" w:fill="auto"/>
            <w:vAlign w:val="center"/>
            <w:hideMark/>
          </w:tcPr>
          <w:p w14:paraId="56BABC61"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2479.8</w:t>
            </w:r>
          </w:p>
        </w:tc>
        <w:tc>
          <w:tcPr>
            <w:tcW w:w="720" w:type="dxa"/>
            <w:tcBorders>
              <w:top w:val="nil"/>
              <w:left w:val="nil"/>
              <w:bottom w:val="single" w:sz="8" w:space="0" w:color="auto"/>
              <w:right w:val="single" w:sz="8" w:space="0" w:color="auto"/>
            </w:tcBorders>
            <w:shd w:val="clear" w:color="auto" w:fill="auto"/>
            <w:vAlign w:val="center"/>
            <w:hideMark/>
          </w:tcPr>
          <w:p w14:paraId="54D9A7CF"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115.0</w:t>
            </w:r>
          </w:p>
        </w:tc>
        <w:tc>
          <w:tcPr>
            <w:tcW w:w="876" w:type="dxa"/>
            <w:tcBorders>
              <w:top w:val="nil"/>
              <w:left w:val="nil"/>
              <w:bottom w:val="single" w:sz="8" w:space="0" w:color="auto"/>
              <w:right w:val="single" w:sz="8" w:space="0" w:color="auto"/>
            </w:tcBorders>
            <w:shd w:val="clear" w:color="auto" w:fill="auto"/>
            <w:vAlign w:val="center"/>
            <w:hideMark/>
          </w:tcPr>
          <w:p w14:paraId="3D07907C"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103.76</w:t>
            </w:r>
          </w:p>
        </w:tc>
        <w:tc>
          <w:tcPr>
            <w:tcW w:w="626" w:type="dxa"/>
            <w:tcBorders>
              <w:top w:val="nil"/>
              <w:left w:val="nil"/>
              <w:bottom w:val="single" w:sz="8" w:space="0" w:color="auto"/>
              <w:right w:val="single" w:sz="8" w:space="0" w:color="auto"/>
            </w:tcBorders>
            <w:shd w:val="clear" w:color="auto" w:fill="auto"/>
            <w:vAlign w:val="center"/>
            <w:hideMark/>
          </w:tcPr>
          <w:p w14:paraId="663EA82E"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100.5</w:t>
            </w:r>
          </w:p>
        </w:tc>
      </w:tr>
      <w:tr w:rsidR="003D0784" w:rsidRPr="00B7675F" w14:paraId="34ED2690"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450BAF3C" w14:textId="77777777" w:rsidR="003D0784" w:rsidRPr="00736448" w:rsidRDefault="003D0784" w:rsidP="005F6348">
            <w:pPr>
              <w:spacing w:after="0" w:line="240" w:lineRule="auto"/>
              <w:jc w:val="both"/>
              <w:rPr>
                <w:rFonts w:ascii="Calibri Light" w:eastAsia="Times New Roman" w:hAnsi="Calibri Light" w:cs="Calibri Light"/>
                <w:i/>
                <w:iCs/>
                <w:color w:val="000000"/>
                <w:sz w:val="16"/>
                <w:szCs w:val="16"/>
                <w:lang w:val="ro-MD"/>
              </w:rPr>
            </w:pPr>
            <w:r w:rsidRPr="00736448">
              <w:rPr>
                <w:rFonts w:ascii="Calibri Light" w:eastAsia="Times New Roman" w:hAnsi="Calibri Light" w:cs="Calibri Light"/>
                <w:i/>
                <w:iCs/>
                <w:color w:val="000000"/>
                <w:sz w:val="16"/>
                <w:szCs w:val="16"/>
                <w:lang w:val="ro-MD"/>
              </w:rPr>
              <w:t>1.1. Contribuții de asigurări sociale de stat obligatorii,  inclusiv:</w:t>
            </w:r>
          </w:p>
        </w:tc>
        <w:tc>
          <w:tcPr>
            <w:tcW w:w="844" w:type="dxa"/>
            <w:tcBorders>
              <w:top w:val="nil"/>
              <w:left w:val="nil"/>
              <w:bottom w:val="single" w:sz="8" w:space="0" w:color="auto"/>
              <w:right w:val="single" w:sz="8" w:space="0" w:color="auto"/>
            </w:tcBorders>
            <w:shd w:val="clear" w:color="auto" w:fill="auto"/>
            <w:vAlign w:val="center"/>
            <w:hideMark/>
          </w:tcPr>
          <w:p w14:paraId="6C4E6098"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16223.9</w:t>
            </w:r>
          </w:p>
        </w:tc>
        <w:tc>
          <w:tcPr>
            <w:tcW w:w="809" w:type="dxa"/>
            <w:tcBorders>
              <w:top w:val="nil"/>
              <w:left w:val="nil"/>
              <w:bottom w:val="single" w:sz="8" w:space="0" w:color="auto"/>
              <w:right w:val="single" w:sz="8" w:space="0" w:color="auto"/>
            </w:tcBorders>
            <w:shd w:val="clear" w:color="auto" w:fill="auto"/>
            <w:vAlign w:val="center"/>
            <w:hideMark/>
          </w:tcPr>
          <w:p w14:paraId="15DC9238"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18367.7</w:t>
            </w:r>
          </w:p>
        </w:tc>
        <w:tc>
          <w:tcPr>
            <w:tcW w:w="900" w:type="dxa"/>
            <w:tcBorders>
              <w:top w:val="nil"/>
              <w:left w:val="nil"/>
              <w:bottom w:val="single" w:sz="8" w:space="0" w:color="auto"/>
              <w:right w:val="single" w:sz="8" w:space="0" w:color="auto"/>
            </w:tcBorders>
            <w:shd w:val="clear" w:color="auto" w:fill="auto"/>
            <w:vAlign w:val="center"/>
            <w:hideMark/>
          </w:tcPr>
          <w:p w14:paraId="49E23081"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18553.04</w:t>
            </w:r>
          </w:p>
        </w:tc>
        <w:tc>
          <w:tcPr>
            <w:tcW w:w="900" w:type="dxa"/>
            <w:tcBorders>
              <w:top w:val="nil"/>
              <w:left w:val="nil"/>
              <w:bottom w:val="single" w:sz="8" w:space="0" w:color="auto"/>
              <w:right w:val="single" w:sz="8" w:space="0" w:color="auto"/>
            </w:tcBorders>
            <w:shd w:val="clear" w:color="auto" w:fill="auto"/>
            <w:vAlign w:val="center"/>
            <w:hideMark/>
          </w:tcPr>
          <w:p w14:paraId="056BAD9E"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18573.3</w:t>
            </w:r>
          </w:p>
        </w:tc>
        <w:tc>
          <w:tcPr>
            <w:tcW w:w="1457" w:type="dxa"/>
            <w:tcBorders>
              <w:top w:val="nil"/>
              <w:left w:val="nil"/>
              <w:bottom w:val="single" w:sz="8" w:space="0" w:color="auto"/>
              <w:right w:val="single" w:sz="8" w:space="0" w:color="auto"/>
            </w:tcBorders>
            <w:shd w:val="clear" w:color="auto" w:fill="auto"/>
            <w:vAlign w:val="center"/>
            <w:hideMark/>
          </w:tcPr>
          <w:p w14:paraId="0EF03754"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97.7</w:t>
            </w:r>
          </w:p>
        </w:tc>
        <w:tc>
          <w:tcPr>
            <w:tcW w:w="1080" w:type="dxa"/>
            <w:tcBorders>
              <w:top w:val="nil"/>
              <w:left w:val="nil"/>
              <w:bottom w:val="single" w:sz="8" w:space="0" w:color="auto"/>
              <w:right w:val="single" w:sz="8" w:space="0" w:color="auto"/>
            </w:tcBorders>
            <w:shd w:val="clear" w:color="auto" w:fill="auto"/>
            <w:vAlign w:val="center"/>
            <w:hideMark/>
          </w:tcPr>
          <w:p w14:paraId="30875C72"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2349.4</w:t>
            </w:r>
          </w:p>
        </w:tc>
        <w:tc>
          <w:tcPr>
            <w:tcW w:w="720" w:type="dxa"/>
            <w:tcBorders>
              <w:top w:val="nil"/>
              <w:left w:val="nil"/>
              <w:bottom w:val="single" w:sz="8" w:space="0" w:color="auto"/>
              <w:right w:val="single" w:sz="8" w:space="0" w:color="auto"/>
            </w:tcBorders>
            <w:shd w:val="clear" w:color="auto" w:fill="auto"/>
            <w:vAlign w:val="center"/>
            <w:hideMark/>
          </w:tcPr>
          <w:p w14:paraId="53F24D77"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114.5</w:t>
            </w:r>
          </w:p>
        </w:tc>
        <w:tc>
          <w:tcPr>
            <w:tcW w:w="876" w:type="dxa"/>
            <w:tcBorders>
              <w:top w:val="nil"/>
              <w:left w:val="nil"/>
              <w:bottom w:val="single" w:sz="8" w:space="0" w:color="auto"/>
              <w:right w:val="single" w:sz="8" w:space="0" w:color="auto"/>
            </w:tcBorders>
            <w:shd w:val="clear" w:color="auto" w:fill="auto"/>
            <w:vAlign w:val="center"/>
            <w:hideMark/>
          </w:tcPr>
          <w:p w14:paraId="1192B616"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20.26</w:t>
            </w:r>
          </w:p>
        </w:tc>
        <w:tc>
          <w:tcPr>
            <w:tcW w:w="626" w:type="dxa"/>
            <w:tcBorders>
              <w:top w:val="nil"/>
              <w:left w:val="nil"/>
              <w:bottom w:val="single" w:sz="8" w:space="0" w:color="auto"/>
              <w:right w:val="single" w:sz="8" w:space="0" w:color="auto"/>
            </w:tcBorders>
            <w:shd w:val="clear" w:color="auto" w:fill="auto"/>
            <w:vAlign w:val="center"/>
            <w:hideMark/>
          </w:tcPr>
          <w:p w14:paraId="44601407"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100.1</w:t>
            </w:r>
          </w:p>
        </w:tc>
      </w:tr>
      <w:tr w:rsidR="003D0784" w:rsidRPr="00B7675F" w14:paraId="71412655"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08ED29DF" w14:textId="77777777" w:rsidR="003D0784" w:rsidRPr="00736448" w:rsidRDefault="003D0784" w:rsidP="005F6348">
            <w:pPr>
              <w:spacing w:after="0" w:line="240" w:lineRule="auto"/>
              <w:jc w:val="both"/>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Contribuții de asigurări sociale de stat obligatorii virate de angajatori</w:t>
            </w:r>
          </w:p>
        </w:tc>
        <w:tc>
          <w:tcPr>
            <w:tcW w:w="844" w:type="dxa"/>
            <w:tcBorders>
              <w:top w:val="nil"/>
              <w:left w:val="nil"/>
              <w:bottom w:val="single" w:sz="8" w:space="0" w:color="auto"/>
              <w:right w:val="single" w:sz="8" w:space="0" w:color="auto"/>
            </w:tcBorders>
            <w:shd w:val="clear" w:color="auto" w:fill="auto"/>
            <w:noWrap/>
            <w:vAlign w:val="center"/>
            <w:hideMark/>
          </w:tcPr>
          <w:p w14:paraId="0D6C1566"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16017.7</w:t>
            </w:r>
          </w:p>
        </w:tc>
        <w:tc>
          <w:tcPr>
            <w:tcW w:w="809" w:type="dxa"/>
            <w:tcBorders>
              <w:top w:val="nil"/>
              <w:left w:val="nil"/>
              <w:bottom w:val="single" w:sz="8" w:space="0" w:color="auto"/>
              <w:right w:val="single" w:sz="8" w:space="0" w:color="auto"/>
            </w:tcBorders>
            <w:shd w:val="clear" w:color="auto" w:fill="auto"/>
            <w:noWrap/>
            <w:vAlign w:val="center"/>
            <w:hideMark/>
          </w:tcPr>
          <w:p w14:paraId="067DA52D"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18180.4</w:t>
            </w:r>
          </w:p>
        </w:tc>
        <w:tc>
          <w:tcPr>
            <w:tcW w:w="900" w:type="dxa"/>
            <w:tcBorders>
              <w:top w:val="nil"/>
              <w:left w:val="nil"/>
              <w:bottom w:val="single" w:sz="8" w:space="0" w:color="auto"/>
              <w:right w:val="single" w:sz="8" w:space="0" w:color="auto"/>
            </w:tcBorders>
            <w:shd w:val="clear" w:color="auto" w:fill="auto"/>
            <w:noWrap/>
            <w:vAlign w:val="center"/>
            <w:hideMark/>
          </w:tcPr>
          <w:p w14:paraId="1D366EE4"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18335.7</w:t>
            </w:r>
          </w:p>
        </w:tc>
        <w:tc>
          <w:tcPr>
            <w:tcW w:w="900" w:type="dxa"/>
            <w:tcBorders>
              <w:top w:val="nil"/>
              <w:left w:val="nil"/>
              <w:bottom w:val="single" w:sz="8" w:space="0" w:color="auto"/>
              <w:right w:val="single" w:sz="8" w:space="0" w:color="auto"/>
            </w:tcBorders>
            <w:shd w:val="clear" w:color="auto" w:fill="auto"/>
            <w:noWrap/>
            <w:vAlign w:val="center"/>
            <w:hideMark/>
          </w:tcPr>
          <w:p w14:paraId="4C48D581"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18335.6</w:t>
            </w:r>
          </w:p>
        </w:tc>
        <w:tc>
          <w:tcPr>
            <w:tcW w:w="1457" w:type="dxa"/>
            <w:tcBorders>
              <w:top w:val="nil"/>
              <w:left w:val="nil"/>
              <w:bottom w:val="single" w:sz="8" w:space="0" w:color="auto"/>
              <w:right w:val="single" w:sz="8" w:space="0" w:color="auto"/>
            </w:tcBorders>
            <w:shd w:val="clear" w:color="auto" w:fill="auto"/>
            <w:vAlign w:val="center"/>
            <w:hideMark/>
          </w:tcPr>
          <w:p w14:paraId="213383F1"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96.5</w:t>
            </w:r>
          </w:p>
        </w:tc>
        <w:tc>
          <w:tcPr>
            <w:tcW w:w="1080" w:type="dxa"/>
            <w:tcBorders>
              <w:top w:val="nil"/>
              <w:left w:val="nil"/>
              <w:bottom w:val="single" w:sz="8" w:space="0" w:color="auto"/>
              <w:right w:val="single" w:sz="8" w:space="0" w:color="auto"/>
            </w:tcBorders>
            <w:shd w:val="clear" w:color="auto" w:fill="auto"/>
            <w:vAlign w:val="center"/>
            <w:hideMark/>
          </w:tcPr>
          <w:p w14:paraId="5059725E"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2317.9</w:t>
            </w:r>
          </w:p>
        </w:tc>
        <w:tc>
          <w:tcPr>
            <w:tcW w:w="720" w:type="dxa"/>
            <w:tcBorders>
              <w:top w:val="nil"/>
              <w:left w:val="nil"/>
              <w:bottom w:val="single" w:sz="8" w:space="0" w:color="auto"/>
              <w:right w:val="single" w:sz="8" w:space="0" w:color="auto"/>
            </w:tcBorders>
            <w:shd w:val="clear" w:color="auto" w:fill="auto"/>
            <w:vAlign w:val="center"/>
            <w:hideMark/>
          </w:tcPr>
          <w:p w14:paraId="1285545F"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114.5</w:t>
            </w:r>
          </w:p>
        </w:tc>
        <w:tc>
          <w:tcPr>
            <w:tcW w:w="876" w:type="dxa"/>
            <w:tcBorders>
              <w:top w:val="nil"/>
              <w:left w:val="nil"/>
              <w:bottom w:val="single" w:sz="8" w:space="0" w:color="auto"/>
              <w:right w:val="single" w:sz="8" w:space="0" w:color="auto"/>
            </w:tcBorders>
            <w:shd w:val="clear" w:color="auto" w:fill="auto"/>
            <w:vAlign w:val="center"/>
            <w:hideMark/>
          </w:tcPr>
          <w:p w14:paraId="20027A49"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-0.1</w:t>
            </w:r>
          </w:p>
        </w:tc>
        <w:tc>
          <w:tcPr>
            <w:tcW w:w="626" w:type="dxa"/>
            <w:tcBorders>
              <w:top w:val="nil"/>
              <w:left w:val="nil"/>
              <w:bottom w:val="single" w:sz="8" w:space="0" w:color="auto"/>
              <w:right w:val="single" w:sz="8" w:space="0" w:color="auto"/>
            </w:tcBorders>
            <w:shd w:val="clear" w:color="auto" w:fill="auto"/>
            <w:vAlign w:val="center"/>
            <w:hideMark/>
          </w:tcPr>
          <w:p w14:paraId="1A19F7B9"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100.0</w:t>
            </w:r>
          </w:p>
        </w:tc>
      </w:tr>
      <w:tr w:rsidR="003D0784" w:rsidRPr="00B7675F" w14:paraId="03D34ABC"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6B687892" w14:textId="77777777" w:rsidR="003D0784" w:rsidRPr="00736448" w:rsidRDefault="003D0784" w:rsidP="005F6348">
            <w:pPr>
              <w:spacing w:after="0" w:line="240" w:lineRule="auto"/>
              <w:jc w:val="both"/>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Contribuții de asigurări sociale de stat obligatorii, virate de persoanele fizice ce îşi desfășoară activitatea pe cont propriu</w:t>
            </w:r>
          </w:p>
        </w:tc>
        <w:tc>
          <w:tcPr>
            <w:tcW w:w="844" w:type="dxa"/>
            <w:tcBorders>
              <w:top w:val="nil"/>
              <w:left w:val="nil"/>
              <w:bottom w:val="single" w:sz="8" w:space="0" w:color="auto"/>
              <w:right w:val="single" w:sz="8" w:space="0" w:color="auto"/>
            </w:tcBorders>
            <w:shd w:val="clear" w:color="auto" w:fill="auto"/>
            <w:vAlign w:val="center"/>
            <w:hideMark/>
          </w:tcPr>
          <w:p w14:paraId="21E6763F"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118.6</w:t>
            </w:r>
          </w:p>
        </w:tc>
        <w:tc>
          <w:tcPr>
            <w:tcW w:w="809" w:type="dxa"/>
            <w:tcBorders>
              <w:top w:val="nil"/>
              <w:left w:val="nil"/>
              <w:bottom w:val="single" w:sz="8" w:space="0" w:color="auto"/>
              <w:right w:val="single" w:sz="8" w:space="0" w:color="auto"/>
            </w:tcBorders>
            <w:shd w:val="clear" w:color="auto" w:fill="auto"/>
            <w:vAlign w:val="center"/>
            <w:hideMark/>
          </w:tcPr>
          <w:p w14:paraId="21531672"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130.7</w:t>
            </w:r>
          </w:p>
        </w:tc>
        <w:tc>
          <w:tcPr>
            <w:tcW w:w="900" w:type="dxa"/>
            <w:tcBorders>
              <w:top w:val="nil"/>
              <w:left w:val="nil"/>
              <w:bottom w:val="single" w:sz="8" w:space="0" w:color="auto"/>
              <w:right w:val="single" w:sz="8" w:space="0" w:color="auto"/>
            </w:tcBorders>
            <w:shd w:val="clear" w:color="auto" w:fill="auto"/>
            <w:vAlign w:val="center"/>
            <w:hideMark/>
          </w:tcPr>
          <w:p w14:paraId="0B90D8CD"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130.7</w:t>
            </w:r>
          </w:p>
        </w:tc>
        <w:tc>
          <w:tcPr>
            <w:tcW w:w="900" w:type="dxa"/>
            <w:tcBorders>
              <w:top w:val="nil"/>
              <w:left w:val="nil"/>
              <w:bottom w:val="single" w:sz="8" w:space="0" w:color="auto"/>
              <w:right w:val="single" w:sz="8" w:space="0" w:color="auto"/>
            </w:tcBorders>
            <w:shd w:val="clear" w:color="auto" w:fill="auto"/>
            <w:vAlign w:val="center"/>
            <w:hideMark/>
          </w:tcPr>
          <w:p w14:paraId="4ED9EB97"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128.2</w:t>
            </w:r>
          </w:p>
        </w:tc>
        <w:tc>
          <w:tcPr>
            <w:tcW w:w="1457" w:type="dxa"/>
            <w:tcBorders>
              <w:top w:val="nil"/>
              <w:left w:val="nil"/>
              <w:bottom w:val="single" w:sz="8" w:space="0" w:color="auto"/>
              <w:right w:val="single" w:sz="8" w:space="0" w:color="auto"/>
            </w:tcBorders>
            <w:shd w:val="clear" w:color="auto" w:fill="auto"/>
            <w:vAlign w:val="center"/>
            <w:hideMark/>
          </w:tcPr>
          <w:p w14:paraId="192FE5C3"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0.7</w:t>
            </w:r>
          </w:p>
        </w:tc>
        <w:tc>
          <w:tcPr>
            <w:tcW w:w="1080" w:type="dxa"/>
            <w:tcBorders>
              <w:top w:val="nil"/>
              <w:left w:val="nil"/>
              <w:bottom w:val="single" w:sz="8" w:space="0" w:color="auto"/>
              <w:right w:val="single" w:sz="8" w:space="0" w:color="auto"/>
            </w:tcBorders>
            <w:shd w:val="clear" w:color="auto" w:fill="auto"/>
            <w:vAlign w:val="center"/>
            <w:hideMark/>
          </w:tcPr>
          <w:p w14:paraId="5D8E1E83"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9.6</w:t>
            </w:r>
          </w:p>
        </w:tc>
        <w:tc>
          <w:tcPr>
            <w:tcW w:w="720" w:type="dxa"/>
            <w:tcBorders>
              <w:top w:val="nil"/>
              <w:left w:val="nil"/>
              <w:bottom w:val="single" w:sz="8" w:space="0" w:color="auto"/>
              <w:right w:val="single" w:sz="8" w:space="0" w:color="auto"/>
            </w:tcBorders>
            <w:shd w:val="clear" w:color="auto" w:fill="auto"/>
            <w:vAlign w:val="center"/>
            <w:hideMark/>
          </w:tcPr>
          <w:p w14:paraId="30357C08"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108.1</w:t>
            </w:r>
          </w:p>
        </w:tc>
        <w:tc>
          <w:tcPr>
            <w:tcW w:w="876" w:type="dxa"/>
            <w:tcBorders>
              <w:top w:val="nil"/>
              <w:left w:val="nil"/>
              <w:bottom w:val="single" w:sz="8" w:space="0" w:color="auto"/>
              <w:right w:val="single" w:sz="8" w:space="0" w:color="auto"/>
            </w:tcBorders>
            <w:shd w:val="clear" w:color="auto" w:fill="auto"/>
            <w:vAlign w:val="center"/>
            <w:hideMark/>
          </w:tcPr>
          <w:p w14:paraId="0EE3FCBA"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-2.5</w:t>
            </w:r>
          </w:p>
        </w:tc>
        <w:tc>
          <w:tcPr>
            <w:tcW w:w="626" w:type="dxa"/>
            <w:tcBorders>
              <w:top w:val="nil"/>
              <w:left w:val="nil"/>
              <w:bottom w:val="single" w:sz="8" w:space="0" w:color="auto"/>
              <w:right w:val="single" w:sz="8" w:space="0" w:color="auto"/>
            </w:tcBorders>
            <w:shd w:val="clear" w:color="auto" w:fill="auto"/>
            <w:vAlign w:val="center"/>
            <w:hideMark/>
          </w:tcPr>
          <w:p w14:paraId="5B63196D"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98.1</w:t>
            </w:r>
          </w:p>
        </w:tc>
      </w:tr>
      <w:tr w:rsidR="003D0784" w:rsidRPr="00B7675F" w14:paraId="356A7602"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5BE6C37F" w14:textId="77777777" w:rsidR="003D0784" w:rsidRPr="00736448" w:rsidRDefault="003D0784" w:rsidP="005F6348">
            <w:pPr>
              <w:spacing w:after="0" w:line="240" w:lineRule="auto"/>
              <w:jc w:val="both"/>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Contribuții de asigurări sociale de stat individuale virate de persoanele fizice care au încheiat contract individual</w:t>
            </w:r>
          </w:p>
        </w:tc>
        <w:tc>
          <w:tcPr>
            <w:tcW w:w="844" w:type="dxa"/>
            <w:tcBorders>
              <w:top w:val="nil"/>
              <w:left w:val="nil"/>
              <w:bottom w:val="single" w:sz="8" w:space="0" w:color="auto"/>
              <w:right w:val="single" w:sz="8" w:space="0" w:color="auto"/>
            </w:tcBorders>
            <w:shd w:val="clear" w:color="auto" w:fill="auto"/>
            <w:noWrap/>
            <w:vAlign w:val="center"/>
            <w:hideMark/>
          </w:tcPr>
          <w:p w14:paraId="3EE6B7A1"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5.6</w:t>
            </w:r>
          </w:p>
        </w:tc>
        <w:tc>
          <w:tcPr>
            <w:tcW w:w="809" w:type="dxa"/>
            <w:tcBorders>
              <w:top w:val="nil"/>
              <w:left w:val="nil"/>
              <w:bottom w:val="single" w:sz="8" w:space="0" w:color="auto"/>
              <w:right w:val="single" w:sz="8" w:space="0" w:color="auto"/>
            </w:tcBorders>
            <w:shd w:val="clear" w:color="auto" w:fill="auto"/>
            <w:noWrap/>
            <w:vAlign w:val="center"/>
            <w:hideMark/>
          </w:tcPr>
          <w:p w14:paraId="341F62D2"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5.3</w:t>
            </w:r>
          </w:p>
        </w:tc>
        <w:tc>
          <w:tcPr>
            <w:tcW w:w="900" w:type="dxa"/>
            <w:tcBorders>
              <w:top w:val="nil"/>
              <w:left w:val="nil"/>
              <w:bottom w:val="single" w:sz="8" w:space="0" w:color="auto"/>
              <w:right w:val="single" w:sz="8" w:space="0" w:color="auto"/>
            </w:tcBorders>
            <w:shd w:val="clear" w:color="auto" w:fill="auto"/>
            <w:noWrap/>
            <w:vAlign w:val="center"/>
            <w:hideMark/>
          </w:tcPr>
          <w:p w14:paraId="331EE922"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5.3</w:t>
            </w:r>
          </w:p>
        </w:tc>
        <w:tc>
          <w:tcPr>
            <w:tcW w:w="900" w:type="dxa"/>
            <w:tcBorders>
              <w:top w:val="nil"/>
              <w:left w:val="nil"/>
              <w:bottom w:val="single" w:sz="8" w:space="0" w:color="auto"/>
              <w:right w:val="single" w:sz="8" w:space="0" w:color="auto"/>
            </w:tcBorders>
            <w:shd w:val="clear" w:color="auto" w:fill="auto"/>
            <w:noWrap/>
            <w:vAlign w:val="center"/>
            <w:hideMark/>
          </w:tcPr>
          <w:p w14:paraId="43E284D5"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4.9</w:t>
            </w:r>
          </w:p>
        </w:tc>
        <w:tc>
          <w:tcPr>
            <w:tcW w:w="1457" w:type="dxa"/>
            <w:tcBorders>
              <w:top w:val="nil"/>
              <w:left w:val="nil"/>
              <w:bottom w:val="single" w:sz="8" w:space="0" w:color="auto"/>
              <w:right w:val="single" w:sz="8" w:space="0" w:color="auto"/>
            </w:tcBorders>
            <w:shd w:val="clear" w:color="auto" w:fill="auto"/>
            <w:vAlign w:val="center"/>
            <w:hideMark/>
          </w:tcPr>
          <w:p w14:paraId="640EC428"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0.0</w:t>
            </w:r>
          </w:p>
        </w:tc>
        <w:tc>
          <w:tcPr>
            <w:tcW w:w="1080" w:type="dxa"/>
            <w:tcBorders>
              <w:top w:val="nil"/>
              <w:left w:val="nil"/>
              <w:bottom w:val="single" w:sz="8" w:space="0" w:color="auto"/>
              <w:right w:val="single" w:sz="8" w:space="0" w:color="auto"/>
            </w:tcBorders>
            <w:shd w:val="clear" w:color="auto" w:fill="auto"/>
            <w:vAlign w:val="center"/>
            <w:hideMark/>
          </w:tcPr>
          <w:p w14:paraId="25881823"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-0.7</w:t>
            </w:r>
          </w:p>
        </w:tc>
        <w:tc>
          <w:tcPr>
            <w:tcW w:w="720" w:type="dxa"/>
            <w:tcBorders>
              <w:top w:val="nil"/>
              <w:left w:val="nil"/>
              <w:bottom w:val="single" w:sz="8" w:space="0" w:color="auto"/>
              <w:right w:val="single" w:sz="8" w:space="0" w:color="auto"/>
            </w:tcBorders>
            <w:shd w:val="clear" w:color="auto" w:fill="auto"/>
            <w:vAlign w:val="center"/>
            <w:hideMark/>
          </w:tcPr>
          <w:p w14:paraId="7112B5E0"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87.5</w:t>
            </w:r>
          </w:p>
        </w:tc>
        <w:tc>
          <w:tcPr>
            <w:tcW w:w="876" w:type="dxa"/>
            <w:tcBorders>
              <w:top w:val="nil"/>
              <w:left w:val="nil"/>
              <w:bottom w:val="single" w:sz="8" w:space="0" w:color="auto"/>
              <w:right w:val="single" w:sz="8" w:space="0" w:color="auto"/>
            </w:tcBorders>
            <w:shd w:val="clear" w:color="auto" w:fill="auto"/>
            <w:vAlign w:val="center"/>
            <w:hideMark/>
          </w:tcPr>
          <w:p w14:paraId="75D8574B"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-0.4</w:t>
            </w:r>
          </w:p>
        </w:tc>
        <w:tc>
          <w:tcPr>
            <w:tcW w:w="626" w:type="dxa"/>
            <w:tcBorders>
              <w:top w:val="nil"/>
              <w:left w:val="nil"/>
              <w:bottom w:val="single" w:sz="8" w:space="0" w:color="auto"/>
              <w:right w:val="single" w:sz="8" w:space="0" w:color="auto"/>
            </w:tcBorders>
            <w:shd w:val="clear" w:color="auto" w:fill="auto"/>
            <w:vAlign w:val="center"/>
            <w:hideMark/>
          </w:tcPr>
          <w:p w14:paraId="0799E172"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92.5</w:t>
            </w:r>
          </w:p>
        </w:tc>
      </w:tr>
      <w:tr w:rsidR="003D0784" w:rsidRPr="00B7675F" w14:paraId="071E596A"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503DE8EB" w14:textId="77777777" w:rsidR="003D0784" w:rsidRPr="00736448" w:rsidRDefault="003D0784" w:rsidP="005F6348">
            <w:pPr>
              <w:spacing w:after="0" w:line="240" w:lineRule="auto"/>
              <w:jc w:val="both"/>
              <w:rPr>
                <w:rFonts w:ascii="Calibri Light" w:eastAsia="Times New Roman" w:hAnsi="Calibri Light" w:cs="Calibri Light"/>
                <w:i/>
                <w:iCs/>
                <w:color w:val="000000"/>
                <w:sz w:val="16"/>
                <w:szCs w:val="16"/>
                <w:lang w:val="ro-MD"/>
              </w:rPr>
            </w:pPr>
            <w:r w:rsidRPr="00736448">
              <w:rPr>
                <w:rFonts w:ascii="Calibri Light" w:eastAsia="Times New Roman" w:hAnsi="Calibri Light" w:cs="Calibri Light"/>
                <w:i/>
                <w:iCs/>
                <w:color w:val="000000"/>
                <w:sz w:val="16"/>
                <w:szCs w:val="16"/>
                <w:lang w:val="ro-MD"/>
              </w:rPr>
              <w:t>Contribuții  de asigurări sociale de stat obligatorii, virate de titularii de patentă de întreprinzător</w:t>
            </w:r>
          </w:p>
        </w:tc>
        <w:tc>
          <w:tcPr>
            <w:tcW w:w="844" w:type="dxa"/>
            <w:tcBorders>
              <w:top w:val="nil"/>
              <w:left w:val="nil"/>
              <w:bottom w:val="single" w:sz="8" w:space="0" w:color="auto"/>
              <w:right w:val="single" w:sz="8" w:space="0" w:color="auto"/>
            </w:tcBorders>
            <w:shd w:val="clear" w:color="auto" w:fill="auto"/>
            <w:vAlign w:val="center"/>
            <w:hideMark/>
          </w:tcPr>
          <w:p w14:paraId="721D5011"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41.1</w:t>
            </w:r>
          </w:p>
        </w:tc>
        <w:tc>
          <w:tcPr>
            <w:tcW w:w="809" w:type="dxa"/>
            <w:tcBorders>
              <w:top w:val="nil"/>
              <w:left w:val="nil"/>
              <w:bottom w:val="single" w:sz="8" w:space="0" w:color="auto"/>
              <w:right w:val="single" w:sz="8" w:space="0" w:color="auto"/>
            </w:tcBorders>
            <w:shd w:val="clear" w:color="auto" w:fill="auto"/>
            <w:vAlign w:val="center"/>
            <w:hideMark/>
          </w:tcPr>
          <w:p w14:paraId="69958E11"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51.3</w:t>
            </w:r>
          </w:p>
        </w:tc>
        <w:tc>
          <w:tcPr>
            <w:tcW w:w="900" w:type="dxa"/>
            <w:tcBorders>
              <w:top w:val="nil"/>
              <w:left w:val="nil"/>
              <w:bottom w:val="single" w:sz="8" w:space="0" w:color="auto"/>
              <w:right w:val="single" w:sz="8" w:space="0" w:color="auto"/>
            </w:tcBorders>
            <w:shd w:val="clear" w:color="auto" w:fill="auto"/>
            <w:vAlign w:val="center"/>
            <w:hideMark/>
          </w:tcPr>
          <w:p w14:paraId="2977FF9D"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51.3</w:t>
            </w:r>
          </w:p>
        </w:tc>
        <w:tc>
          <w:tcPr>
            <w:tcW w:w="900" w:type="dxa"/>
            <w:tcBorders>
              <w:top w:val="nil"/>
              <w:left w:val="nil"/>
              <w:bottom w:val="single" w:sz="8" w:space="0" w:color="auto"/>
              <w:right w:val="single" w:sz="8" w:space="0" w:color="auto"/>
            </w:tcBorders>
            <w:shd w:val="clear" w:color="auto" w:fill="auto"/>
            <w:vAlign w:val="center"/>
            <w:hideMark/>
          </w:tcPr>
          <w:p w14:paraId="7B95F0EA"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43.2</w:t>
            </w:r>
          </w:p>
        </w:tc>
        <w:tc>
          <w:tcPr>
            <w:tcW w:w="1457" w:type="dxa"/>
            <w:tcBorders>
              <w:top w:val="nil"/>
              <w:left w:val="nil"/>
              <w:bottom w:val="single" w:sz="8" w:space="0" w:color="auto"/>
              <w:right w:val="single" w:sz="8" w:space="0" w:color="auto"/>
            </w:tcBorders>
            <w:shd w:val="clear" w:color="auto" w:fill="auto"/>
            <w:vAlign w:val="center"/>
            <w:hideMark/>
          </w:tcPr>
          <w:p w14:paraId="42483AC4"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0.2</w:t>
            </w:r>
          </w:p>
        </w:tc>
        <w:tc>
          <w:tcPr>
            <w:tcW w:w="1080" w:type="dxa"/>
            <w:tcBorders>
              <w:top w:val="nil"/>
              <w:left w:val="nil"/>
              <w:bottom w:val="single" w:sz="8" w:space="0" w:color="auto"/>
              <w:right w:val="single" w:sz="8" w:space="0" w:color="auto"/>
            </w:tcBorders>
            <w:shd w:val="clear" w:color="auto" w:fill="auto"/>
            <w:vAlign w:val="center"/>
            <w:hideMark/>
          </w:tcPr>
          <w:p w14:paraId="6803517C"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2.1</w:t>
            </w:r>
          </w:p>
        </w:tc>
        <w:tc>
          <w:tcPr>
            <w:tcW w:w="720" w:type="dxa"/>
            <w:tcBorders>
              <w:top w:val="nil"/>
              <w:left w:val="nil"/>
              <w:bottom w:val="single" w:sz="8" w:space="0" w:color="auto"/>
              <w:right w:val="single" w:sz="8" w:space="0" w:color="auto"/>
            </w:tcBorders>
            <w:shd w:val="clear" w:color="auto" w:fill="auto"/>
            <w:vAlign w:val="center"/>
            <w:hideMark/>
          </w:tcPr>
          <w:p w14:paraId="6259EB8B"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105.1</w:t>
            </w:r>
          </w:p>
        </w:tc>
        <w:tc>
          <w:tcPr>
            <w:tcW w:w="876" w:type="dxa"/>
            <w:tcBorders>
              <w:top w:val="nil"/>
              <w:left w:val="nil"/>
              <w:bottom w:val="single" w:sz="8" w:space="0" w:color="auto"/>
              <w:right w:val="single" w:sz="8" w:space="0" w:color="auto"/>
            </w:tcBorders>
            <w:shd w:val="clear" w:color="auto" w:fill="auto"/>
            <w:vAlign w:val="center"/>
            <w:hideMark/>
          </w:tcPr>
          <w:p w14:paraId="2EAE2A1C"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-8.1</w:t>
            </w:r>
          </w:p>
        </w:tc>
        <w:tc>
          <w:tcPr>
            <w:tcW w:w="626" w:type="dxa"/>
            <w:tcBorders>
              <w:top w:val="nil"/>
              <w:left w:val="nil"/>
              <w:bottom w:val="single" w:sz="8" w:space="0" w:color="auto"/>
              <w:right w:val="single" w:sz="8" w:space="0" w:color="auto"/>
            </w:tcBorders>
            <w:shd w:val="clear" w:color="auto" w:fill="auto"/>
            <w:vAlign w:val="center"/>
            <w:hideMark/>
          </w:tcPr>
          <w:p w14:paraId="6A923C40"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84.2</w:t>
            </w:r>
          </w:p>
        </w:tc>
      </w:tr>
      <w:tr w:rsidR="003D0784" w:rsidRPr="00B7675F" w14:paraId="2B5B35D8"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3258FC25" w14:textId="77777777" w:rsidR="003D0784" w:rsidRPr="00736448" w:rsidRDefault="003D0784" w:rsidP="005F6348">
            <w:pPr>
              <w:spacing w:after="0" w:line="240" w:lineRule="auto"/>
              <w:jc w:val="both"/>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Contribuții de asigurări sociale de stat obligatorii, virate de persoanele fizice, proprietarii de terenuri agricole</w:t>
            </w:r>
          </w:p>
        </w:tc>
        <w:tc>
          <w:tcPr>
            <w:tcW w:w="844" w:type="dxa"/>
            <w:tcBorders>
              <w:top w:val="nil"/>
              <w:left w:val="nil"/>
              <w:bottom w:val="single" w:sz="8" w:space="0" w:color="auto"/>
              <w:right w:val="single" w:sz="8" w:space="0" w:color="auto"/>
            </w:tcBorders>
            <w:shd w:val="clear" w:color="auto" w:fill="auto"/>
            <w:vAlign w:val="center"/>
            <w:hideMark/>
          </w:tcPr>
          <w:p w14:paraId="1ACDD99B"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0.1</w:t>
            </w:r>
          </w:p>
        </w:tc>
        <w:tc>
          <w:tcPr>
            <w:tcW w:w="809" w:type="dxa"/>
            <w:tcBorders>
              <w:top w:val="nil"/>
              <w:left w:val="nil"/>
              <w:bottom w:val="single" w:sz="8" w:space="0" w:color="auto"/>
              <w:right w:val="single" w:sz="8" w:space="0" w:color="auto"/>
            </w:tcBorders>
            <w:shd w:val="clear" w:color="auto" w:fill="auto"/>
            <w:vAlign w:val="center"/>
            <w:hideMark/>
          </w:tcPr>
          <w:p w14:paraId="6621D1B1"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0</w:t>
            </w:r>
          </w:p>
        </w:tc>
        <w:tc>
          <w:tcPr>
            <w:tcW w:w="900" w:type="dxa"/>
            <w:tcBorders>
              <w:top w:val="nil"/>
              <w:left w:val="nil"/>
              <w:bottom w:val="single" w:sz="8" w:space="0" w:color="auto"/>
              <w:right w:val="single" w:sz="8" w:space="0" w:color="auto"/>
            </w:tcBorders>
            <w:shd w:val="clear" w:color="auto" w:fill="auto"/>
            <w:vAlign w:val="center"/>
            <w:hideMark/>
          </w:tcPr>
          <w:p w14:paraId="3A7670F5"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0</w:t>
            </w:r>
          </w:p>
        </w:tc>
        <w:tc>
          <w:tcPr>
            <w:tcW w:w="900" w:type="dxa"/>
            <w:tcBorders>
              <w:top w:val="nil"/>
              <w:left w:val="nil"/>
              <w:bottom w:val="single" w:sz="8" w:space="0" w:color="auto"/>
              <w:right w:val="single" w:sz="8" w:space="0" w:color="auto"/>
            </w:tcBorders>
            <w:shd w:val="clear" w:color="auto" w:fill="auto"/>
            <w:vAlign w:val="center"/>
            <w:hideMark/>
          </w:tcPr>
          <w:p w14:paraId="6CD831EE"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0.2</w:t>
            </w:r>
          </w:p>
        </w:tc>
        <w:tc>
          <w:tcPr>
            <w:tcW w:w="1457" w:type="dxa"/>
            <w:tcBorders>
              <w:top w:val="nil"/>
              <w:left w:val="nil"/>
              <w:bottom w:val="single" w:sz="8" w:space="0" w:color="auto"/>
              <w:right w:val="single" w:sz="8" w:space="0" w:color="auto"/>
            </w:tcBorders>
            <w:shd w:val="clear" w:color="auto" w:fill="auto"/>
            <w:vAlign w:val="center"/>
            <w:hideMark/>
          </w:tcPr>
          <w:p w14:paraId="3D0069E0"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0.0</w:t>
            </w:r>
          </w:p>
        </w:tc>
        <w:tc>
          <w:tcPr>
            <w:tcW w:w="1080" w:type="dxa"/>
            <w:tcBorders>
              <w:top w:val="nil"/>
              <w:left w:val="nil"/>
              <w:bottom w:val="single" w:sz="8" w:space="0" w:color="auto"/>
              <w:right w:val="single" w:sz="8" w:space="0" w:color="auto"/>
            </w:tcBorders>
            <w:shd w:val="clear" w:color="auto" w:fill="auto"/>
            <w:vAlign w:val="center"/>
            <w:hideMark/>
          </w:tcPr>
          <w:p w14:paraId="53EA9E4D"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0.1</w:t>
            </w:r>
          </w:p>
        </w:tc>
        <w:tc>
          <w:tcPr>
            <w:tcW w:w="720" w:type="dxa"/>
            <w:tcBorders>
              <w:top w:val="nil"/>
              <w:left w:val="nil"/>
              <w:bottom w:val="single" w:sz="8" w:space="0" w:color="auto"/>
              <w:right w:val="single" w:sz="8" w:space="0" w:color="auto"/>
            </w:tcBorders>
            <w:shd w:val="clear" w:color="auto" w:fill="auto"/>
            <w:vAlign w:val="center"/>
            <w:hideMark/>
          </w:tcPr>
          <w:p w14:paraId="6AC7C756"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200.0</w:t>
            </w:r>
          </w:p>
        </w:tc>
        <w:tc>
          <w:tcPr>
            <w:tcW w:w="876" w:type="dxa"/>
            <w:tcBorders>
              <w:top w:val="nil"/>
              <w:left w:val="nil"/>
              <w:bottom w:val="single" w:sz="8" w:space="0" w:color="auto"/>
              <w:right w:val="single" w:sz="8" w:space="0" w:color="auto"/>
            </w:tcBorders>
            <w:shd w:val="clear" w:color="auto" w:fill="auto"/>
            <w:vAlign w:val="center"/>
            <w:hideMark/>
          </w:tcPr>
          <w:p w14:paraId="0D372681"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0.2</w:t>
            </w:r>
          </w:p>
        </w:tc>
        <w:tc>
          <w:tcPr>
            <w:tcW w:w="626" w:type="dxa"/>
            <w:tcBorders>
              <w:top w:val="nil"/>
              <w:left w:val="nil"/>
              <w:bottom w:val="single" w:sz="8" w:space="0" w:color="auto"/>
              <w:right w:val="single" w:sz="8" w:space="0" w:color="auto"/>
            </w:tcBorders>
            <w:shd w:val="clear" w:color="auto" w:fill="auto"/>
            <w:vAlign w:val="center"/>
            <w:hideMark/>
          </w:tcPr>
          <w:p w14:paraId="17CCEADF"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0.0</w:t>
            </w:r>
          </w:p>
        </w:tc>
      </w:tr>
      <w:tr w:rsidR="003D0784" w:rsidRPr="00B7675F" w14:paraId="1FE9141E"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652D6839" w14:textId="77777777" w:rsidR="003D0784" w:rsidRPr="00736448" w:rsidRDefault="003D0784" w:rsidP="005F6348">
            <w:pPr>
              <w:spacing w:after="0" w:line="240" w:lineRule="auto"/>
              <w:jc w:val="both"/>
              <w:rPr>
                <w:rFonts w:ascii="Calibri Light" w:eastAsia="Times New Roman" w:hAnsi="Calibri Light" w:cs="Calibri Light"/>
                <w:i/>
                <w:iCs/>
                <w:color w:val="000000"/>
                <w:sz w:val="16"/>
                <w:szCs w:val="16"/>
                <w:lang w:val="ro-MD"/>
              </w:rPr>
            </w:pPr>
            <w:r w:rsidRPr="00736448">
              <w:rPr>
                <w:rFonts w:ascii="Calibri Light" w:eastAsia="Times New Roman" w:hAnsi="Calibri Light" w:cs="Calibri Light"/>
                <w:i/>
                <w:iCs/>
                <w:color w:val="000000"/>
                <w:sz w:val="16"/>
                <w:szCs w:val="16"/>
                <w:lang w:val="ro-MD"/>
              </w:rPr>
              <w:t>Majorarea de întârziere (penalitatea) calculată pentru neachitarea în termen a contribuțiilor de asigurări sociale de stat obligatorii</w:t>
            </w:r>
          </w:p>
        </w:tc>
        <w:tc>
          <w:tcPr>
            <w:tcW w:w="844" w:type="dxa"/>
            <w:tcBorders>
              <w:top w:val="nil"/>
              <w:left w:val="nil"/>
              <w:bottom w:val="single" w:sz="8" w:space="0" w:color="auto"/>
              <w:right w:val="single" w:sz="8" w:space="0" w:color="auto"/>
            </w:tcBorders>
            <w:shd w:val="clear" w:color="auto" w:fill="auto"/>
            <w:vAlign w:val="center"/>
            <w:hideMark/>
          </w:tcPr>
          <w:p w14:paraId="1A043ADC"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40.8</w:t>
            </w:r>
          </w:p>
        </w:tc>
        <w:tc>
          <w:tcPr>
            <w:tcW w:w="809" w:type="dxa"/>
            <w:tcBorders>
              <w:top w:val="nil"/>
              <w:left w:val="nil"/>
              <w:bottom w:val="single" w:sz="8" w:space="0" w:color="auto"/>
              <w:right w:val="single" w:sz="8" w:space="0" w:color="auto"/>
            </w:tcBorders>
            <w:shd w:val="clear" w:color="auto" w:fill="auto"/>
            <w:vAlign w:val="center"/>
            <w:hideMark/>
          </w:tcPr>
          <w:p w14:paraId="2F52CFD5"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0</w:t>
            </w:r>
          </w:p>
        </w:tc>
        <w:tc>
          <w:tcPr>
            <w:tcW w:w="900" w:type="dxa"/>
            <w:tcBorders>
              <w:top w:val="nil"/>
              <w:left w:val="nil"/>
              <w:bottom w:val="single" w:sz="8" w:space="0" w:color="auto"/>
              <w:right w:val="single" w:sz="8" w:space="0" w:color="auto"/>
            </w:tcBorders>
            <w:shd w:val="clear" w:color="auto" w:fill="auto"/>
            <w:vAlign w:val="center"/>
            <w:hideMark/>
          </w:tcPr>
          <w:p w14:paraId="16FBE3EA"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30</w:t>
            </w:r>
          </w:p>
        </w:tc>
        <w:tc>
          <w:tcPr>
            <w:tcW w:w="900" w:type="dxa"/>
            <w:tcBorders>
              <w:top w:val="nil"/>
              <w:left w:val="nil"/>
              <w:bottom w:val="single" w:sz="8" w:space="0" w:color="auto"/>
              <w:right w:val="single" w:sz="8" w:space="0" w:color="auto"/>
            </w:tcBorders>
            <w:shd w:val="clear" w:color="auto" w:fill="auto"/>
            <w:vAlign w:val="center"/>
            <w:hideMark/>
          </w:tcPr>
          <w:p w14:paraId="58635110" w14:textId="77777777" w:rsidR="003D0784" w:rsidRPr="00736448" w:rsidRDefault="003D0784" w:rsidP="005F6348">
            <w:pPr>
              <w:spacing w:after="0" w:line="240" w:lineRule="auto"/>
              <w:jc w:val="right"/>
              <w:rPr>
                <w:rFonts w:ascii="Times New Roman" w:eastAsia="Times New Roman" w:hAnsi="Times New Roman" w:cs="Times New Roman"/>
                <w:color w:val="000000"/>
                <w:sz w:val="18"/>
                <w:szCs w:val="18"/>
                <w:lang w:val="ro-MD"/>
              </w:rPr>
            </w:pPr>
            <w:r w:rsidRPr="00736448">
              <w:rPr>
                <w:rFonts w:ascii="Times New Roman" w:eastAsia="Times New Roman" w:hAnsi="Times New Roman" w:cs="Times New Roman"/>
                <w:color w:val="000000"/>
                <w:sz w:val="18"/>
                <w:szCs w:val="18"/>
                <w:lang w:val="ro-MD"/>
              </w:rPr>
              <w:t>61.2</w:t>
            </w:r>
          </w:p>
        </w:tc>
        <w:tc>
          <w:tcPr>
            <w:tcW w:w="1457" w:type="dxa"/>
            <w:tcBorders>
              <w:top w:val="nil"/>
              <w:left w:val="nil"/>
              <w:bottom w:val="single" w:sz="8" w:space="0" w:color="auto"/>
              <w:right w:val="single" w:sz="8" w:space="0" w:color="auto"/>
            </w:tcBorders>
            <w:shd w:val="clear" w:color="auto" w:fill="auto"/>
            <w:vAlign w:val="center"/>
            <w:hideMark/>
          </w:tcPr>
          <w:p w14:paraId="7529B078"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0.3</w:t>
            </w:r>
          </w:p>
        </w:tc>
        <w:tc>
          <w:tcPr>
            <w:tcW w:w="1080" w:type="dxa"/>
            <w:tcBorders>
              <w:top w:val="nil"/>
              <w:left w:val="nil"/>
              <w:bottom w:val="single" w:sz="8" w:space="0" w:color="auto"/>
              <w:right w:val="single" w:sz="8" w:space="0" w:color="auto"/>
            </w:tcBorders>
            <w:shd w:val="clear" w:color="auto" w:fill="auto"/>
            <w:vAlign w:val="center"/>
            <w:hideMark/>
          </w:tcPr>
          <w:p w14:paraId="5B63EDBE"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20.4</w:t>
            </w:r>
          </w:p>
        </w:tc>
        <w:tc>
          <w:tcPr>
            <w:tcW w:w="720" w:type="dxa"/>
            <w:tcBorders>
              <w:top w:val="nil"/>
              <w:left w:val="nil"/>
              <w:bottom w:val="single" w:sz="8" w:space="0" w:color="auto"/>
              <w:right w:val="single" w:sz="8" w:space="0" w:color="auto"/>
            </w:tcBorders>
            <w:shd w:val="clear" w:color="auto" w:fill="auto"/>
            <w:vAlign w:val="center"/>
            <w:hideMark/>
          </w:tcPr>
          <w:p w14:paraId="23A47F7F"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150.0</w:t>
            </w:r>
          </w:p>
        </w:tc>
        <w:tc>
          <w:tcPr>
            <w:tcW w:w="876" w:type="dxa"/>
            <w:tcBorders>
              <w:top w:val="nil"/>
              <w:left w:val="nil"/>
              <w:bottom w:val="single" w:sz="8" w:space="0" w:color="auto"/>
              <w:right w:val="single" w:sz="8" w:space="0" w:color="auto"/>
            </w:tcBorders>
            <w:shd w:val="clear" w:color="auto" w:fill="auto"/>
            <w:vAlign w:val="center"/>
            <w:hideMark/>
          </w:tcPr>
          <w:p w14:paraId="78BBED12"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31.2</w:t>
            </w:r>
          </w:p>
        </w:tc>
        <w:tc>
          <w:tcPr>
            <w:tcW w:w="626" w:type="dxa"/>
            <w:tcBorders>
              <w:top w:val="nil"/>
              <w:left w:val="nil"/>
              <w:bottom w:val="single" w:sz="8" w:space="0" w:color="auto"/>
              <w:right w:val="single" w:sz="8" w:space="0" w:color="auto"/>
            </w:tcBorders>
            <w:shd w:val="clear" w:color="auto" w:fill="auto"/>
            <w:vAlign w:val="center"/>
            <w:hideMark/>
          </w:tcPr>
          <w:p w14:paraId="5C82C5BF"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204.0</w:t>
            </w:r>
          </w:p>
        </w:tc>
      </w:tr>
      <w:tr w:rsidR="003D0784" w:rsidRPr="00B7675F" w14:paraId="60215380"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4BB593AC" w14:textId="77777777" w:rsidR="003D0784" w:rsidRPr="00736448" w:rsidRDefault="003D0784" w:rsidP="005F6348">
            <w:pPr>
              <w:spacing w:after="0" w:line="240" w:lineRule="auto"/>
              <w:rPr>
                <w:rFonts w:ascii="Calibri Light" w:eastAsia="Times New Roman" w:hAnsi="Calibri Light" w:cs="Calibri Light"/>
                <w:i/>
                <w:iCs/>
                <w:color w:val="000000"/>
                <w:sz w:val="16"/>
                <w:szCs w:val="16"/>
                <w:lang w:val="ro-MD"/>
              </w:rPr>
            </w:pPr>
            <w:r w:rsidRPr="00736448">
              <w:rPr>
                <w:rFonts w:ascii="Calibri Light" w:eastAsia="Times New Roman" w:hAnsi="Calibri Light" w:cs="Calibri Light"/>
                <w:i/>
                <w:iCs/>
                <w:color w:val="000000"/>
                <w:sz w:val="16"/>
                <w:szCs w:val="16"/>
                <w:lang w:val="ro-MD"/>
              </w:rPr>
              <w:t>1.2. Alte venituri</w:t>
            </w:r>
          </w:p>
        </w:tc>
        <w:tc>
          <w:tcPr>
            <w:tcW w:w="844" w:type="dxa"/>
            <w:tcBorders>
              <w:top w:val="nil"/>
              <w:left w:val="nil"/>
              <w:bottom w:val="single" w:sz="8" w:space="0" w:color="auto"/>
              <w:right w:val="single" w:sz="8" w:space="0" w:color="auto"/>
            </w:tcBorders>
            <w:shd w:val="clear" w:color="auto" w:fill="auto"/>
            <w:vAlign w:val="center"/>
            <w:hideMark/>
          </w:tcPr>
          <w:p w14:paraId="0FEEFFFC"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298.3</w:t>
            </w:r>
          </w:p>
        </w:tc>
        <w:tc>
          <w:tcPr>
            <w:tcW w:w="809" w:type="dxa"/>
            <w:tcBorders>
              <w:top w:val="nil"/>
              <w:left w:val="nil"/>
              <w:bottom w:val="single" w:sz="8" w:space="0" w:color="auto"/>
              <w:right w:val="single" w:sz="8" w:space="0" w:color="auto"/>
            </w:tcBorders>
            <w:shd w:val="clear" w:color="auto" w:fill="auto"/>
            <w:vAlign w:val="center"/>
            <w:hideMark/>
          </w:tcPr>
          <w:p w14:paraId="5EDF197F"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306.5</w:t>
            </w:r>
          </w:p>
        </w:tc>
        <w:tc>
          <w:tcPr>
            <w:tcW w:w="900" w:type="dxa"/>
            <w:tcBorders>
              <w:top w:val="nil"/>
              <w:left w:val="nil"/>
              <w:bottom w:val="single" w:sz="8" w:space="0" w:color="auto"/>
              <w:right w:val="single" w:sz="8" w:space="0" w:color="auto"/>
            </w:tcBorders>
            <w:shd w:val="clear" w:color="auto" w:fill="auto"/>
            <w:vAlign w:val="center"/>
            <w:hideMark/>
          </w:tcPr>
          <w:p w14:paraId="2FE20AC2"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345.2</w:t>
            </w:r>
          </w:p>
        </w:tc>
        <w:tc>
          <w:tcPr>
            <w:tcW w:w="900" w:type="dxa"/>
            <w:tcBorders>
              <w:top w:val="nil"/>
              <w:left w:val="nil"/>
              <w:bottom w:val="single" w:sz="8" w:space="0" w:color="auto"/>
              <w:right w:val="single" w:sz="8" w:space="0" w:color="auto"/>
            </w:tcBorders>
            <w:shd w:val="clear" w:color="auto" w:fill="auto"/>
            <w:vAlign w:val="center"/>
            <w:hideMark/>
          </w:tcPr>
          <w:p w14:paraId="0DC3845A"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428.7</w:t>
            </w:r>
          </w:p>
        </w:tc>
        <w:tc>
          <w:tcPr>
            <w:tcW w:w="1457" w:type="dxa"/>
            <w:tcBorders>
              <w:top w:val="nil"/>
              <w:left w:val="nil"/>
              <w:bottom w:val="single" w:sz="8" w:space="0" w:color="auto"/>
              <w:right w:val="single" w:sz="8" w:space="0" w:color="auto"/>
            </w:tcBorders>
            <w:shd w:val="clear" w:color="auto" w:fill="auto"/>
            <w:vAlign w:val="center"/>
            <w:hideMark/>
          </w:tcPr>
          <w:p w14:paraId="20B93C4D"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2.3</w:t>
            </w:r>
          </w:p>
        </w:tc>
        <w:tc>
          <w:tcPr>
            <w:tcW w:w="1080" w:type="dxa"/>
            <w:tcBorders>
              <w:top w:val="nil"/>
              <w:left w:val="nil"/>
              <w:bottom w:val="single" w:sz="8" w:space="0" w:color="auto"/>
              <w:right w:val="single" w:sz="8" w:space="0" w:color="auto"/>
            </w:tcBorders>
            <w:shd w:val="clear" w:color="auto" w:fill="auto"/>
            <w:vAlign w:val="center"/>
            <w:hideMark/>
          </w:tcPr>
          <w:p w14:paraId="7D4B1403"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130.4</w:t>
            </w:r>
          </w:p>
        </w:tc>
        <w:tc>
          <w:tcPr>
            <w:tcW w:w="720" w:type="dxa"/>
            <w:tcBorders>
              <w:top w:val="nil"/>
              <w:left w:val="nil"/>
              <w:bottom w:val="single" w:sz="8" w:space="0" w:color="auto"/>
              <w:right w:val="single" w:sz="8" w:space="0" w:color="auto"/>
            </w:tcBorders>
            <w:shd w:val="clear" w:color="auto" w:fill="auto"/>
            <w:vAlign w:val="center"/>
            <w:hideMark/>
          </w:tcPr>
          <w:p w14:paraId="444BA037"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143.7</w:t>
            </w:r>
          </w:p>
        </w:tc>
        <w:tc>
          <w:tcPr>
            <w:tcW w:w="876" w:type="dxa"/>
            <w:tcBorders>
              <w:top w:val="nil"/>
              <w:left w:val="nil"/>
              <w:bottom w:val="single" w:sz="8" w:space="0" w:color="auto"/>
              <w:right w:val="single" w:sz="8" w:space="0" w:color="auto"/>
            </w:tcBorders>
            <w:shd w:val="clear" w:color="auto" w:fill="auto"/>
            <w:vAlign w:val="center"/>
            <w:hideMark/>
          </w:tcPr>
          <w:p w14:paraId="244E31D4"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83.5</w:t>
            </w:r>
          </w:p>
        </w:tc>
        <w:tc>
          <w:tcPr>
            <w:tcW w:w="626" w:type="dxa"/>
            <w:tcBorders>
              <w:top w:val="nil"/>
              <w:left w:val="nil"/>
              <w:bottom w:val="single" w:sz="8" w:space="0" w:color="auto"/>
              <w:right w:val="single" w:sz="8" w:space="0" w:color="auto"/>
            </w:tcBorders>
            <w:shd w:val="clear" w:color="auto" w:fill="auto"/>
            <w:vAlign w:val="center"/>
            <w:hideMark/>
          </w:tcPr>
          <w:p w14:paraId="66DA4F4E"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124.2</w:t>
            </w:r>
          </w:p>
        </w:tc>
      </w:tr>
      <w:tr w:rsidR="003D0784" w:rsidRPr="00B7675F" w14:paraId="74DE9066"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798D527A" w14:textId="77777777" w:rsidR="003D0784" w:rsidRPr="00736448" w:rsidRDefault="003D0784" w:rsidP="005F6348">
            <w:pPr>
              <w:spacing w:after="0" w:line="240" w:lineRule="auto"/>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w:t>
            </w:r>
            <w:r w:rsidRPr="00736448">
              <w:rPr>
                <w:rFonts w:ascii="Times New Roman" w:eastAsia="Times New Roman" w:hAnsi="Times New Roman" w:cs="Times New Roman"/>
                <w:b/>
                <w:bCs/>
                <w:color w:val="000000"/>
                <w:sz w:val="18"/>
                <w:szCs w:val="18"/>
                <w:lang w:val="ro-MD"/>
              </w:rPr>
              <w:t xml:space="preserve"> </w:t>
            </w:r>
            <w:r w:rsidRPr="00736448">
              <w:rPr>
                <w:rFonts w:ascii="Calibri Light" w:eastAsia="Times New Roman" w:hAnsi="Calibri Light" w:cs="Calibri Light"/>
                <w:b/>
                <w:bCs/>
                <w:color w:val="000000"/>
                <w:sz w:val="18"/>
                <w:szCs w:val="18"/>
                <w:lang w:val="ro-MD"/>
              </w:rPr>
              <w:t>Transferuri primite în cadrul bugetului public național</w:t>
            </w:r>
          </w:p>
        </w:tc>
        <w:tc>
          <w:tcPr>
            <w:tcW w:w="844" w:type="dxa"/>
            <w:tcBorders>
              <w:top w:val="nil"/>
              <w:left w:val="nil"/>
              <w:bottom w:val="single" w:sz="8" w:space="0" w:color="auto"/>
              <w:right w:val="single" w:sz="8" w:space="0" w:color="auto"/>
            </w:tcBorders>
            <w:shd w:val="clear" w:color="auto" w:fill="auto"/>
            <w:vAlign w:val="center"/>
            <w:hideMark/>
          </w:tcPr>
          <w:p w14:paraId="3DA211A0"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10724.7</w:t>
            </w:r>
          </w:p>
        </w:tc>
        <w:tc>
          <w:tcPr>
            <w:tcW w:w="809" w:type="dxa"/>
            <w:tcBorders>
              <w:top w:val="nil"/>
              <w:left w:val="nil"/>
              <w:bottom w:val="single" w:sz="8" w:space="0" w:color="auto"/>
              <w:right w:val="single" w:sz="8" w:space="0" w:color="auto"/>
            </w:tcBorders>
            <w:shd w:val="clear" w:color="auto" w:fill="auto"/>
            <w:vAlign w:val="center"/>
            <w:hideMark/>
          </w:tcPr>
          <w:p w14:paraId="0D8AF1FB"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12550</w:t>
            </w:r>
          </w:p>
        </w:tc>
        <w:tc>
          <w:tcPr>
            <w:tcW w:w="900" w:type="dxa"/>
            <w:tcBorders>
              <w:top w:val="nil"/>
              <w:left w:val="nil"/>
              <w:bottom w:val="single" w:sz="8" w:space="0" w:color="auto"/>
              <w:right w:val="single" w:sz="8" w:space="0" w:color="auto"/>
            </w:tcBorders>
            <w:shd w:val="clear" w:color="auto" w:fill="auto"/>
            <w:vAlign w:val="center"/>
            <w:hideMark/>
          </w:tcPr>
          <w:p w14:paraId="2671EF45"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15302.4</w:t>
            </w:r>
          </w:p>
        </w:tc>
        <w:tc>
          <w:tcPr>
            <w:tcW w:w="900" w:type="dxa"/>
            <w:tcBorders>
              <w:top w:val="nil"/>
              <w:left w:val="nil"/>
              <w:bottom w:val="single" w:sz="8" w:space="0" w:color="auto"/>
              <w:right w:val="single" w:sz="8" w:space="0" w:color="auto"/>
            </w:tcBorders>
            <w:shd w:val="clear" w:color="auto" w:fill="auto"/>
            <w:vAlign w:val="center"/>
            <w:hideMark/>
          </w:tcPr>
          <w:p w14:paraId="7BF4EFAC"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14794</w:t>
            </w:r>
          </w:p>
        </w:tc>
        <w:tc>
          <w:tcPr>
            <w:tcW w:w="1457" w:type="dxa"/>
            <w:tcBorders>
              <w:top w:val="nil"/>
              <w:left w:val="nil"/>
              <w:bottom w:val="single" w:sz="8" w:space="0" w:color="auto"/>
              <w:right w:val="single" w:sz="8" w:space="0" w:color="auto"/>
            </w:tcBorders>
            <w:shd w:val="clear" w:color="auto" w:fill="auto"/>
            <w:vAlign w:val="center"/>
            <w:hideMark/>
          </w:tcPr>
          <w:p w14:paraId="7E9B8FDE"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43.8</w:t>
            </w:r>
          </w:p>
        </w:tc>
        <w:tc>
          <w:tcPr>
            <w:tcW w:w="1080" w:type="dxa"/>
            <w:tcBorders>
              <w:top w:val="nil"/>
              <w:left w:val="nil"/>
              <w:bottom w:val="single" w:sz="8" w:space="0" w:color="auto"/>
              <w:right w:val="single" w:sz="8" w:space="0" w:color="auto"/>
            </w:tcBorders>
            <w:shd w:val="clear" w:color="auto" w:fill="auto"/>
            <w:vAlign w:val="center"/>
            <w:hideMark/>
          </w:tcPr>
          <w:p w14:paraId="30EB378D"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4069.3</w:t>
            </w:r>
          </w:p>
        </w:tc>
        <w:tc>
          <w:tcPr>
            <w:tcW w:w="720" w:type="dxa"/>
            <w:tcBorders>
              <w:top w:val="nil"/>
              <w:left w:val="nil"/>
              <w:bottom w:val="single" w:sz="8" w:space="0" w:color="auto"/>
              <w:right w:val="single" w:sz="8" w:space="0" w:color="auto"/>
            </w:tcBorders>
            <w:shd w:val="clear" w:color="auto" w:fill="auto"/>
            <w:vAlign w:val="center"/>
            <w:hideMark/>
          </w:tcPr>
          <w:p w14:paraId="4ABEF876"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137.9</w:t>
            </w:r>
          </w:p>
        </w:tc>
        <w:tc>
          <w:tcPr>
            <w:tcW w:w="876" w:type="dxa"/>
            <w:tcBorders>
              <w:top w:val="nil"/>
              <w:left w:val="nil"/>
              <w:bottom w:val="single" w:sz="8" w:space="0" w:color="auto"/>
              <w:right w:val="single" w:sz="8" w:space="0" w:color="auto"/>
            </w:tcBorders>
            <w:shd w:val="clear" w:color="auto" w:fill="auto"/>
            <w:vAlign w:val="center"/>
            <w:hideMark/>
          </w:tcPr>
          <w:p w14:paraId="1B4E9159"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-508.4</w:t>
            </w:r>
          </w:p>
        </w:tc>
        <w:tc>
          <w:tcPr>
            <w:tcW w:w="626" w:type="dxa"/>
            <w:tcBorders>
              <w:top w:val="nil"/>
              <w:left w:val="nil"/>
              <w:bottom w:val="single" w:sz="8" w:space="0" w:color="auto"/>
              <w:right w:val="single" w:sz="8" w:space="0" w:color="auto"/>
            </w:tcBorders>
            <w:shd w:val="clear" w:color="auto" w:fill="auto"/>
            <w:vAlign w:val="center"/>
            <w:hideMark/>
          </w:tcPr>
          <w:p w14:paraId="302ACBF0"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96.7</w:t>
            </w:r>
          </w:p>
        </w:tc>
      </w:tr>
      <w:tr w:rsidR="003D0784" w:rsidRPr="00B7675F" w14:paraId="641C9892"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19568D92" w14:textId="77777777" w:rsidR="003D0784" w:rsidRPr="00736448" w:rsidRDefault="003D0784" w:rsidP="005F6348">
            <w:pPr>
              <w:spacing w:after="0" w:line="240" w:lineRule="auto"/>
              <w:jc w:val="both"/>
              <w:rPr>
                <w:rFonts w:ascii="Calibri Light" w:eastAsia="Times New Roman" w:hAnsi="Calibri Light" w:cs="Calibri Light"/>
                <w:i/>
                <w:iCs/>
                <w:color w:val="000000"/>
                <w:sz w:val="16"/>
                <w:szCs w:val="16"/>
                <w:lang w:val="ro-MD"/>
              </w:rPr>
            </w:pPr>
            <w:r w:rsidRPr="00736448">
              <w:rPr>
                <w:rFonts w:ascii="Calibri Light" w:eastAsia="Times New Roman" w:hAnsi="Calibri Light" w:cs="Calibri Light"/>
                <w:i/>
                <w:iCs/>
                <w:color w:val="000000"/>
                <w:sz w:val="16"/>
                <w:szCs w:val="16"/>
                <w:lang w:val="ro-MD"/>
              </w:rPr>
              <w:t>2.1. Transferuri curente primite cu destinație specială între bugetul de stat şi bugetul asigurărilor sociale de stat</w:t>
            </w:r>
          </w:p>
        </w:tc>
        <w:tc>
          <w:tcPr>
            <w:tcW w:w="844" w:type="dxa"/>
            <w:tcBorders>
              <w:top w:val="nil"/>
              <w:left w:val="nil"/>
              <w:bottom w:val="single" w:sz="8" w:space="0" w:color="auto"/>
              <w:right w:val="single" w:sz="8" w:space="0" w:color="auto"/>
            </w:tcBorders>
            <w:shd w:val="clear" w:color="auto" w:fill="auto"/>
            <w:vAlign w:val="center"/>
            <w:hideMark/>
          </w:tcPr>
          <w:p w14:paraId="2881DEE6"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7884.6</w:t>
            </w:r>
          </w:p>
        </w:tc>
        <w:tc>
          <w:tcPr>
            <w:tcW w:w="809" w:type="dxa"/>
            <w:tcBorders>
              <w:top w:val="nil"/>
              <w:left w:val="nil"/>
              <w:bottom w:val="single" w:sz="8" w:space="0" w:color="auto"/>
              <w:right w:val="single" w:sz="8" w:space="0" w:color="auto"/>
            </w:tcBorders>
            <w:shd w:val="clear" w:color="auto" w:fill="auto"/>
            <w:vAlign w:val="center"/>
            <w:hideMark/>
          </w:tcPr>
          <w:p w14:paraId="1950F4A0"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9618.9</w:t>
            </w:r>
          </w:p>
        </w:tc>
        <w:tc>
          <w:tcPr>
            <w:tcW w:w="900" w:type="dxa"/>
            <w:tcBorders>
              <w:top w:val="nil"/>
              <w:left w:val="nil"/>
              <w:bottom w:val="single" w:sz="8" w:space="0" w:color="auto"/>
              <w:right w:val="single" w:sz="8" w:space="0" w:color="auto"/>
            </w:tcBorders>
            <w:shd w:val="clear" w:color="auto" w:fill="auto"/>
            <w:vAlign w:val="center"/>
            <w:hideMark/>
          </w:tcPr>
          <w:p w14:paraId="51C55426"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10483.2</w:t>
            </w:r>
          </w:p>
        </w:tc>
        <w:tc>
          <w:tcPr>
            <w:tcW w:w="900" w:type="dxa"/>
            <w:tcBorders>
              <w:top w:val="nil"/>
              <w:left w:val="nil"/>
              <w:bottom w:val="single" w:sz="8" w:space="0" w:color="auto"/>
              <w:right w:val="single" w:sz="8" w:space="0" w:color="auto"/>
            </w:tcBorders>
            <w:shd w:val="clear" w:color="auto" w:fill="auto"/>
            <w:vAlign w:val="center"/>
            <w:hideMark/>
          </w:tcPr>
          <w:p w14:paraId="1A3A0E39"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10359.9</w:t>
            </w:r>
          </w:p>
        </w:tc>
        <w:tc>
          <w:tcPr>
            <w:tcW w:w="1457" w:type="dxa"/>
            <w:tcBorders>
              <w:top w:val="nil"/>
              <w:left w:val="nil"/>
              <w:bottom w:val="single" w:sz="8" w:space="0" w:color="auto"/>
              <w:right w:val="single" w:sz="8" w:space="0" w:color="auto"/>
            </w:tcBorders>
            <w:shd w:val="clear" w:color="auto" w:fill="auto"/>
            <w:vAlign w:val="center"/>
            <w:hideMark/>
          </w:tcPr>
          <w:p w14:paraId="40406112"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70.0</w:t>
            </w:r>
          </w:p>
        </w:tc>
        <w:tc>
          <w:tcPr>
            <w:tcW w:w="1080" w:type="dxa"/>
            <w:tcBorders>
              <w:top w:val="nil"/>
              <w:left w:val="nil"/>
              <w:bottom w:val="single" w:sz="8" w:space="0" w:color="auto"/>
              <w:right w:val="single" w:sz="8" w:space="0" w:color="auto"/>
            </w:tcBorders>
            <w:shd w:val="clear" w:color="auto" w:fill="auto"/>
            <w:vAlign w:val="center"/>
            <w:hideMark/>
          </w:tcPr>
          <w:p w14:paraId="00D8CA82"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2475.3</w:t>
            </w:r>
          </w:p>
        </w:tc>
        <w:tc>
          <w:tcPr>
            <w:tcW w:w="720" w:type="dxa"/>
            <w:tcBorders>
              <w:top w:val="nil"/>
              <w:left w:val="nil"/>
              <w:bottom w:val="single" w:sz="8" w:space="0" w:color="auto"/>
              <w:right w:val="single" w:sz="8" w:space="0" w:color="auto"/>
            </w:tcBorders>
            <w:shd w:val="clear" w:color="auto" w:fill="auto"/>
            <w:vAlign w:val="center"/>
            <w:hideMark/>
          </w:tcPr>
          <w:p w14:paraId="17DD7DF9"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131.4</w:t>
            </w:r>
          </w:p>
        </w:tc>
        <w:tc>
          <w:tcPr>
            <w:tcW w:w="876" w:type="dxa"/>
            <w:tcBorders>
              <w:top w:val="nil"/>
              <w:left w:val="nil"/>
              <w:bottom w:val="single" w:sz="8" w:space="0" w:color="auto"/>
              <w:right w:val="single" w:sz="8" w:space="0" w:color="auto"/>
            </w:tcBorders>
            <w:shd w:val="clear" w:color="auto" w:fill="auto"/>
            <w:vAlign w:val="center"/>
            <w:hideMark/>
          </w:tcPr>
          <w:p w14:paraId="27367B66"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-123.3</w:t>
            </w:r>
          </w:p>
        </w:tc>
        <w:tc>
          <w:tcPr>
            <w:tcW w:w="626" w:type="dxa"/>
            <w:tcBorders>
              <w:top w:val="nil"/>
              <w:left w:val="nil"/>
              <w:bottom w:val="single" w:sz="8" w:space="0" w:color="auto"/>
              <w:right w:val="single" w:sz="8" w:space="0" w:color="auto"/>
            </w:tcBorders>
            <w:shd w:val="clear" w:color="auto" w:fill="auto"/>
            <w:vAlign w:val="center"/>
            <w:hideMark/>
          </w:tcPr>
          <w:p w14:paraId="7028B109"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98.8</w:t>
            </w:r>
          </w:p>
        </w:tc>
      </w:tr>
      <w:tr w:rsidR="003D0784" w:rsidRPr="00B7675F" w14:paraId="41455C3D" w14:textId="77777777" w:rsidTr="00155DE4">
        <w:trPr>
          <w:trHeight w:val="20"/>
        </w:trPr>
        <w:tc>
          <w:tcPr>
            <w:tcW w:w="5350" w:type="dxa"/>
            <w:tcBorders>
              <w:top w:val="nil"/>
              <w:left w:val="single" w:sz="8" w:space="0" w:color="auto"/>
              <w:bottom w:val="single" w:sz="8" w:space="0" w:color="auto"/>
              <w:right w:val="single" w:sz="8" w:space="0" w:color="auto"/>
            </w:tcBorders>
            <w:shd w:val="clear" w:color="auto" w:fill="auto"/>
            <w:vAlign w:val="center"/>
            <w:hideMark/>
          </w:tcPr>
          <w:p w14:paraId="381609A8" w14:textId="77777777" w:rsidR="003D0784" w:rsidRPr="00736448" w:rsidRDefault="003D0784" w:rsidP="005F6348">
            <w:pPr>
              <w:spacing w:after="0" w:line="240" w:lineRule="auto"/>
              <w:jc w:val="both"/>
              <w:rPr>
                <w:rFonts w:ascii="Calibri Light" w:eastAsia="Times New Roman" w:hAnsi="Calibri Light" w:cs="Calibri Light"/>
                <w:i/>
                <w:iCs/>
                <w:color w:val="000000"/>
                <w:sz w:val="16"/>
                <w:szCs w:val="16"/>
                <w:lang w:val="ro-MD"/>
              </w:rPr>
            </w:pPr>
            <w:r w:rsidRPr="00736448">
              <w:rPr>
                <w:rFonts w:ascii="Calibri Light" w:eastAsia="Times New Roman" w:hAnsi="Calibri Light" w:cs="Calibri Light"/>
                <w:i/>
                <w:iCs/>
                <w:color w:val="000000"/>
                <w:sz w:val="16"/>
                <w:szCs w:val="16"/>
                <w:lang w:val="ro-MD"/>
              </w:rPr>
              <w:t>2.2. Transferuri curente primite cu destinație generală între bugetul de stat şi bugetul asigurărilor sociale de stat</w:t>
            </w:r>
          </w:p>
        </w:tc>
        <w:tc>
          <w:tcPr>
            <w:tcW w:w="844" w:type="dxa"/>
            <w:tcBorders>
              <w:top w:val="nil"/>
              <w:left w:val="nil"/>
              <w:bottom w:val="single" w:sz="8" w:space="0" w:color="auto"/>
              <w:right w:val="single" w:sz="8" w:space="0" w:color="auto"/>
            </w:tcBorders>
            <w:shd w:val="clear" w:color="auto" w:fill="auto"/>
            <w:vAlign w:val="center"/>
            <w:hideMark/>
          </w:tcPr>
          <w:p w14:paraId="407D4C18"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2840</w:t>
            </w:r>
          </w:p>
        </w:tc>
        <w:tc>
          <w:tcPr>
            <w:tcW w:w="809" w:type="dxa"/>
            <w:tcBorders>
              <w:top w:val="nil"/>
              <w:left w:val="nil"/>
              <w:bottom w:val="single" w:sz="8" w:space="0" w:color="auto"/>
              <w:right w:val="single" w:sz="8" w:space="0" w:color="auto"/>
            </w:tcBorders>
            <w:shd w:val="clear" w:color="auto" w:fill="auto"/>
            <w:vAlign w:val="center"/>
            <w:hideMark/>
          </w:tcPr>
          <w:p w14:paraId="21DD1B4C"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2931.1</w:t>
            </w:r>
          </w:p>
        </w:tc>
        <w:tc>
          <w:tcPr>
            <w:tcW w:w="900" w:type="dxa"/>
            <w:tcBorders>
              <w:top w:val="nil"/>
              <w:left w:val="nil"/>
              <w:bottom w:val="single" w:sz="8" w:space="0" w:color="auto"/>
              <w:right w:val="single" w:sz="8" w:space="0" w:color="auto"/>
            </w:tcBorders>
            <w:shd w:val="clear" w:color="auto" w:fill="auto"/>
            <w:vAlign w:val="center"/>
            <w:hideMark/>
          </w:tcPr>
          <w:p w14:paraId="3A6CFFA3"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4819.1</w:t>
            </w:r>
          </w:p>
        </w:tc>
        <w:tc>
          <w:tcPr>
            <w:tcW w:w="900" w:type="dxa"/>
            <w:tcBorders>
              <w:top w:val="nil"/>
              <w:left w:val="nil"/>
              <w:bottom w:val="single" w:sz="8" w:space="0" w:color="auto"/>
              <w:right w:val="single" w:sz="8" w:space="0" w:color="auto"/>
            </w:tcBorders>
            <w:shd w:val="clear" w:color="auto" w:fill="auto"/>
            <w:vAlign w:val="center"/>
            <w:hideMark/>
          </w:tcPr>
          <w:p w14:paraId="0297DF91" w14:textId="77777777" w:rsidR="003D0784" w:rsidRPr="00736448" w:rsidRDefault="003D0784" w:rsidP="005F6348">
            <w:pPr>
              <w:spacing w:after="0" w:line="240" w:lineRule="auto"/>
              <w:jc w:val="right"/>
              <w:rPr>
                <w:rFonts w:ascii="Calibri Light" w:eastAsia="Times New Roman" w:hAnsi="Calibri Light" w:cs="Calibri Light"/>
                <w:i/>
                <w:iCs/>
                <w:color w:val="000000"/>
                <w:sz w:val="18"/>
                <w:szCs w:val="18"/>
                <w:lang w:val="ro-MD"/>
              </w:rPr>
            </w:pPr>
            <w:r w:rsidRPr="00736448">
              <w:rPr>
                <w:rFonts w:ascii="Calibri Light" w:eastAsia="Times New Roman" w:hAnsi="Calibri Light" w:cs="Calibri Light"/>
                <w:i/>
                <w:iCs/>
                <w:color w:val="000000"/>
                <w:sz w:val="18"/>
                <w:szCs w:val="18"/>
                <w:lang w:val="ro-MD"/>
              </w:rPr>
              <w:t>4434.1</w:t>
            </w:r>
          </w:p>
        </w:tc>
        <w:tc>
          <w:tcPr>
            <w:tcW w:w="1457" w:type="dxa"/>
            <w:tcBorders>
              <w:top w:val="nil"/>
              <w:left w:val="nil"/>
              <w:bottom w:val="single" w:sz="8" w:space="0" w:color="auto"/>
              <w:right w:val="single" w:sz="8" w:space="0" w:color="auto"/>
            </w:tcBorders>
            <w:shd w:val="clear" w:color="auto" w:fill="auto"/>
            <w:vAlign w:val="center"/>
            <w:hideMark/>
          </w:tcPr>
          <w:p w14:paraId="17687EDE" w14:textId="77777777" w:rsidR="003D0784" w:rsidRPr="00736448" w:rsidRDefault="003D0784" w:rsidP="005F6348">
            <w:pPr>
              <w:spacing w:after="0" w:line="240" w:lineRule="auto"/>
              <w:jc w:val="right"/>
              <w:rPr>
                <w:rFonts w:ascii="Calibri Light" w:eastAsia="Times New Roman" w:hAnsi="Calibri Light" w:cs="Calibri Light"/>
                <w:b/>
                <w:bCs/>
                <w:i/>
                <w:iCs/>
                <w:color w:val="000000"/>
                <w:sz w:val="18"/>
                <w:szCs w:val="18"/>
                <w:lang w:val="ro-MD"/>
              </w:rPr>
            </w:pPr>
            <w:r w:rsidRPr="00736448">
              <w:rPr>
                <w:rFonts w:ascii="Calibri Light" w:eastAsia="Times New Roman" w:hAnsi="Calibri Light" w:cs="Calibri Light"/>
                <w:b/>
                <w:bCs/>
                <w:i/>
                <w:iCs/>
                <w:color w:val="000000"/>
                <w:sz w:val="18"/>
                <w:szCs w:val="18"/>
                <w:lang w:val="ro-MD"/>
              </w:rPr>
              <w:t>30.0</w:t>
            </w:r>
          </w:p>
        </w:tc>
        <w:tc>
          <w:tcPr>
            <w:tcW w:w="1080" w:type="dxa"/>
            <w:tcBorders>
              <w:top w:val="nil"/>
              <w:left w:val="nil"/>
              <w:bottom w:val="single" w:sz="8" w:space="0" w:color="auto"/>
              <w:right w:val="single" w:sz="8" w:space="0" w:color="auto"/>
            </w:tcBorders>
            <w:shd w:val="clear" w:color="auto" w:fill="auto"/>
            <w:vAlign w:val="center"/>
            <w:hideMark/>
          </w:tcPr>
          <w:p w14:paraId="1ED7BF2E"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1594.1</w:t>
            </w:r>
          </w:p>
        </w:tc>
        <w:tc>
          <w:tcPr>
            <w:tcW w:w="720" w:type="dxa"/>
            <w:tcBorders>
              <w:top w:val="nil"/>
              <w:left w:val="nil"/>
              <w:bottom w:val="single" w:sz="8" w:space="0" w:color="auto"/>
              <w:right w:val="single" w:sz="8" w:space="0" w:color="auto"/>
            </w:tcBorders>
            <w:shd w:val="clear" w:color="auto" w:fill="auto"/>
            <w:vAlign w:val="center"/>
            <w:hideMark/>
          </w:tcPr>
          <w:p w14:paraId="55CDF87D"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156.1</w:t>
            </w:r>
          </w:p>
        </w:tc>
        <w:tc>
          <w:tcPr>
            <w:tcW w:w="876" w:type="dxa"/>
            <w:tcBorders>
              <w:top w:val="nil"/>
              <w:left w:val="nil"/>
              <w:bottom w:val="single" w:sz="8" w:space="0" w:color="auto"/>
              <w:right w:val="single" w:sz="8" w:space="0" w:color="auto"/>
            </w:tcBorders>
            <w:shd w:val="clear" w:color="auto" w:fill="auto"/>
            <w:vAlign w:val="center"/>
            <w:hideMark/>
          </w:tcPr>
          <w:p w14:paraId="59C2B6C4"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-385</w:t>
            </w:r>
          </w:p>
        </w:tc>
        <w:tc>
          <w:tcPr>
            <w:tcW w:w="626" w:type="dxa"/>
            <w:tcBorders>
              <w:top w:val="nil"/>
              <w:left w:val="nil"/>
              <w:bottom w:val="single" w:sz="8" w:space="0" w:color="auto"/>
              <w:right w:val="single" w:sz="8" w:space="0" w:color="auto"/>
            </w:tcBorders>
            <w:shd w:val="clear" w:color="auto" w:fill="auto"/>
            <w:vAlign w:val="center"/>
            <w:hideMark/>
          </w:tcPr>
          <w:p w14:paraId="1DEA5180" w14:textId="77777777" w:rsidR="003D0784" w:rsidRPr="00736448" w:rsidRDefault="003D0784" w:rsidP="005F6348">
            <w:pPr>
              <w:spacing w:after="0" w:line="240" w:lineRule="auto"/>
              <w:jc w:val="right"/>
              <w:rPr>
                <w:rFonts w:ascii="Calibri Light" w:eastAsia="Times New Roman" w:hAnsi="Calibri Light" w:cs="Calibri Light"/>
                <w:b/>
                <w:bCs/>
                <w:color w:val="000000"/>
                <w:sz w:val="18"/>
                <w:szCs w:val="18"/>
                <w:lang w:val="ro-MD"/>
              </w:rPr>
            </w:pPr>
            <w:r w:rsidRPr="00736448">
              <w:rPr>
                <w:rFonts w:ascii="Calibri Light" w:eastAsia="Times New Roman" w:hAnsi="Calibri Light" w:cs="Calibri Light"/>
                <w:b/>
                <w:bCs/>
                <w:color w:val="000000"/>
                <w:sz w:val="18"/>
                <w:szCs w:val="18"/>
                <w:lang w:val="ro-MD"/>
              </w:rPr>
              <w:t>92.0</w:t>
            </w:r>
          </w:p>
        </w:tc>
      </w:tr>
    </w:tbl>
    <w:p w14:paraId="1CF0679B" w14:textId="77777777" w:rsidR="003D0784" w:rsidRPr="00736448" w:rsidRDefault="003D0784" w:rsidP="003D0784">
      <w:pPr>
        <w:rPr>
          <w:rFonts w:ascii="Calibri Light" w:eastAsia="Calibri" w:hAnsi="Calibri Light" w:cs="Calibri Light"/>
          <w:i/>
          <w:sz w:val="16"/>
          <w:szCs w:val="16"/>
          <w:lang w:val="ro-MD"/>
        </w:rPr>
      </w:pPr>
      <w:r w:rsidRPr="00736448">
        <w:rPr>
          <w:rFonts w:ascii="Calibri Light" w:eastAsia="Calibri" w:hAnsi="Calibri Light" w:cs="Calibri Light"/>
          <w:b/>
          <w:bCs/>
          <w:i/>
          <w:sz w:val="16"/>
          <w:szCs w:val="16"/>
          <w:lang w:val="ro-MD"/>
        </w:rPr>
        <w:t>Sursă:</w:t>
      </w:r>
      <w:r w:rsidRPr="00736448">
        <w:rPr>
          <w:rFonts w:ascii="Calibri Light" w:eastAsia="Calibri" w:hAnsi="Calibri Light" w:cs="Calibri Light"/>
          <w:i/>
          <w:sz w:val="16"/>
          <w:szCs w:val="16"/>
          <w:lang w:val="ro-MD"/>
        </w:rPr>
        <w:t xml:space="preserve"> Rapoartele privind executarea bugetului asigurărilor sociale de stat pentru anii 2021 și 2022 (Formularul nr.4. CNAS).</w:t>
      </w:r>
    </w:p>
    <w:p w14:paraId="4DC357CF" w14:textId="77777777"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sectPr w:rsidR="003D0784" w:rsidRPr="00736448" w:rsidSect="008B5EDB">
          <w:type w:val="continuous"/>
          <w:pgSz w:w="15840" w:h="12240" w:orient="landscape"/>
          <w:pgMar w:top="1276" w:right="1134" w:bottom="850" w:left="1134" w:header="720" w:footer="720" w:gutter="0"/>
          <w:cols w:space="720"/>
          <w:docGrid w:linePitch="360"/>
        </w:sectPr>
      </w:pPr>
    </w:p>
    <w:p w14:paraId="5A0C8A5F" w14:textId="4A0A6903"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12</w:t>
      </w:r>
    </w:p>
    <w:p w14:paraId="2E25471D" w14:textId="77777777" w:rsidR="003D0784" w:rsidRPr="00736448" w:rsidRDefault="003D0784" w:rsidP="003D0784">
      <w:pPr>
        <w:spacing w:after="0"/>
        <w:jc w:val="center"/>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Informații privind soldul mijloacelor bănești</w:t>
      </w:r>
    </w:p>
    <w:p w14:paraId="6725ECE3" w14:textId="77777777" w:rsidR="003D0784" w:rsidRPr="00736448" w:rsidRDefault="003D0784" w:rsidP="003D0784">
      <w:pPr>
        <w:spacing w:after="0"/>
        <w:jc w:val="right"/>
        <w:rPr>
          <w:rFonts w:ascii="Calibri Light" w:eastAsia="Times New Roman" w:hAnsi="Calibri Light" w:cs="Calibri Light"/>
          <w:b/>
          <w:sz w:val="20"/>
          <w:szCs w:val="20"/>
          <w:lang w:val="ro-MD"/>
        </w:rPr>
      </w:pPr>
      <w:r w:rsidRPr="00736448">
        <w:rPr>
          <w:rFonts w:ascii="Calibri Light" w:eastAsia="Times New Roman" w:hAnsi="Calibri Light" w:cs="Calibri Light"/>
          <w:b/>
          <w:sz w:val="24"/>
          <w:szCs w:val="24"/>
          <w:lang w:val="ro-MD"/>
        </w:rPr>
        <w:t xml:space="preserve"> </w:t>
      </w:r>
      <w:r w:rsidRPr="00736448">
        <w:rPr>
          <w:rFonts w:ascii="Calibri Light" w:eastAsia="Times New Roman" w:hAnsi="Calibri Light" w:cs="Calibri Light"/>
          <w:b/>
          <w:sz w:val="20"/>
          <w:szCs w:val="20"/>
          <w:lang w:val="ro-MD"/>
        </w:rPr>
        <w:t>(mii lei)</w:t>
      </w:r>
    </w:p>
    <w:tbl>
      <w:tblPr>
        <w:tblW w:w="10252" w:type="dxa"/>
        <w:tblLook w:val="04A0" w:firstRow="1" w:lastRow="0" w:firstColumn="1" w:lastColumn="0" w:noHBand="0" w:noVBand="1"/>
      </w:tblPr>
      <w:tblGrid>
        <w:gridCol w:w="2785"/>
        <w:gridCol w:w="866"/>
        <w:gridCol w:w="936"/>
        <w:gridCol w:w="939"/>
        <w:gridCol w:w="1139"/>
        <w:gridCol w:w="1139"/>
        <w:gridCol w:w="1224"/>
        <w:gridCol w:w="1224"/>
      </w:tblGrid>
      <w:tr w:rsidR="003D0784" w:rsidRPr="00B7675F" w14:paraId="2142A247" w14:textId="77777777" w:rsidTr="005F6348">
        <w:trPr>
          <w:trHeight w:val="20"/>
        </w:trPr>
        <w:tc>
          <w:tcPr>
            <w:tcW w:w="27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4FDBA00"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Denumirea</w:t>
            </w:r>
          </w:p>
        </w:tc>
        <w:tc>
          <w:tcPr>
            <w:tcW w:w="8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D55D4F"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ECO</w:t>
            </w:r>
          </w:p>
        </w:tc>
        <w:tc>
          <w:tcPr>
            <w:tcW w:w="1875" w:type="dxa"/>
            <w:gridSpan w:val="2"/>
            <w:tcBorders>
              <w:top w:val="single" w:sz="4" w:space="0" w:color="auto"/>
              <w:left w:val="nil"/>
              <w:bottom w:val="single" w:sz="4" w:space="0" w:color="auto"/>
              <w:right w:val="single" w:sz="4" w:space="0" w:color="000000"/>
            </w:tcBorders>
            <w:shd w:val="clear" w:color="auto" w:fill="auto"/>
            <w:vAlign w:val="center"/>
            <w:hideMark/>
          </w:tcPr>
          <w:p w14:paraId="086941DF"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Plan</w:t>
            </w:r>
          </w:p>
        </w:tc>
        <w:tc>
          <w:tcPr>
            <w:tcW w:w="1139" w:type="dxa"/>
            <w:vMerge w:val="restart"/>
            <w:tcBorders>
              <w:top w:val="single" w:sz="4" w:space="0" w:color="auto"/>
              <w:left w:val="nil"/>
              <w:right w:val="single" w:sz="4" w:space="0" w:color="auto"/>
            </w:tcBorders>
            <w:shd w:val="clear" w:color="auto" w:fill="auto"/>
            <w:vAlign w:val="center"/>
            <w:hideMark/>
          </w:tcPr>
          <w:p w14:paraId="4910B4E5"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Executat anul curent</w:t>
            </w:r>
          </w:p>
        </w:tc>
        <w:tc>
          <w:tcPr>
            <w:tcW w:w="1139" w:type="dxa"/>
            <w:tcBorders>
              <w:top w:val="single" w:sz="4" w:space="0" w:color="auto"/>
              <w:left w:val="nil"/>
              <w:bottom w:val="single" w:sz="4" w:space="0" w:color="auto"/>
              <w:right w:val="single" w:sz="4" w:space="0" w:color="auto"/>
            </w:tcBorders>
            <w:shd w:val="clear" w:color="auto" w:fill="auto"/>
            <w:vAlign w:val="center"/>
            <w:hideMark/>
          </w:tcPr>
          <w:p w14:paraId="20F88777"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Executat față de precizat</w:t>
            </w:r>
            <w:r w:rsidRPr="00736448">
              <w:rPr>
                <w:rFonts w:asciiTheme="majorHAnsi" w:eastAsia="Times New Roman" w:hAnsiTheme="majorHAnsi" w:cstheme="majorHAnsi"/>
                <w:b/>
                <w:color w:val="000000"/>
                <w:lang w:val="ro-MD"/>
              </w:rPr>
              <w:br/>
            </w:r>
          </w:p>
        </w:tc>
        <w:tc>
          <w:tcPr>
            <w:tcW w:w="1224" w:type="dxa"/>
            <w:vMerge w:val="restart"/>
            <w:tcBorders>
              <w:top w:val="single" w:sz="4" w:space="0" w:color="auto"/>
              <w:left w:val="nil"/>
              <w:right w:val="single" w:sz="4" w:space="0" w:color="auto"/>
            </w:tcBorders>
            <w:shd w:val="clear" w:color="auto" w:fill="auto"/>
            <w:vAlign w:val="center"/>
            <w:hideMark/>
          </w:tcPr>
          <w:p w14:paraId="7971A4A3"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Executat anul precedent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17C5FB33"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Executat</w:t>
            </w:r>
            <w:r w:rsidRPr="00736448">
              <w:rPr>
                <w:rFonts w:asciiTheme="majorHAnsi" w:eastAsia="Times New Roman" w:hAnsiTheme="majorHAnsi" w:cstheme="majorHAnsi"/>
                <w:b/>
                <w:color w:val="000000"/>
                <w:lang w:val="ro-MD"/>
              </w:rPr>
              <w:br/>
              <w:t>anul curent față de anul precedent</w:t>
            </w:r>
          </w:p>
        </w:tc>
      </w:tr>
      <w:tr w:rsidR="003D0784" w:rsidRPr="00B7675F" w14:paraId="274826D4" w14:textId="77777777" w:rsidTr="005F6348">
        <w:trPr>
          <w:trHeight w:val="20"/>
        </w:trPr>
        <w:tc>
          <w:tcPr>
            <w:tcW w:w="2785" w:type="dxa"/>
            <w:vMerge/>
            <w:tcBorders>
              <w:top w:val="single" w:sz="4" w:space="0" w:color="auto"/>
              <w:left w:val="single" w:sz="4" w:space="0" w:color="auto"/>
              <w:bottom w:val="single" w:sz="4" w:space="0" w:color="000000"/>
              <w:right w:val="single" w:sz="4" w:space="0" w:color="auto"/>
            </w:tcBorders>
            <w:vAlign w:val="center"/>
            <w:hideMark/>
          </w:tcPr>
          <w:p w14:paraId="145853F7"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p>
        </w:tc>
        <w:tc>
          <w:tcPr>
            <w:tcW w:w="866" w:type="dxa"/>
            <w:vMerge/>
            <w:tcBorders>
              <w:top w:val="single" w:sz="4" w:space="0" w:color="auto"/>
              <w:left w:val="single" w:sz="4" w:space="0" w:color="auto"/>
              <w:bottom w:val="single" w:sz="4" w:space="0" w:color="000000"/>
              <w:right w:val="single" w:sz="4" w:space="0" w:color="auto"/>
            </w:tcBorders>
            <w:vAlign w:val="center"/>
            <w:hideMark/>
          </w:tcPr>
          <w:p w14:paraId="1B99D9DD"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p>
        </w:tc>
        <w:tc>
          <w:tcPr>
            <w:tcW w:w="936" w:type="dxa"/>
            <w:tcBorders>
              <w:top w:val="nil"/>
              <w:left w:val="nil"/>
              <w:bottom w:val="single" w:sz="4" w:space="0" w:color="auto"/>
              <w:right w:val="single" w:sz="4" w:space="0" w:color="auto"/>
            </w:tcBorders>
            <w:shd w:val="clear" w:color="auto" w:fill="auto"/>
            <w:vAlign w:val="center"/>
            <w:hideMark/>
          </w:tcPr>
          <w:p w14:paraId="7847B06C"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 xml:space="preserve">Aprobat </w:t>
            </w:r>
            <w:r w:rsidRPr="00736448">
              <w:rPr>
                <w:rFonts w:asciiTheme="majorHAnsi" w:eastAsia="Times New Roman" w:hAnsiTheme="majorHAnsi" w:cstheme="majorHAnsi"/>
                <w:b/>
                <w:color w:val="000000"/>
                <w:lang w:val="ro-MD"/>
              </w:rPr>
              <w:br/>
              <w:t>pe an</w:t>
            </w:r>
          </w:p>
        </w:tc>
        <w:tc>
          <w:tcPr>
            <w:tcW w:w="939" w:type="dxa"/>
            <w:tcBorders>
              <w:top w:val="nil"/>
              <w:left w:val="nil"/>
              <w:bottom w:val="single" w:sz="4" w:space="0" w:color="auto"/>
              <w:right w:val="single" w:sz="4" w:space="0" w:color="auto"/>
            </w:tcBorders>
            <w:shd w:val="clear" w:color="auto" w:fill="auto"/>
            <w:vAlign w:val="center"/>
            <w:hideMark/>
          </w:tcPr>
          <w:p w14:paraId="714827D3"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Precizat</w:t>
            </w:r>
            <w:r w:rsidRPr="00736448">
              <w:rPr>
                <w:rFonts w:asciiTheme="majorHAnsi" w:eastAsia="Times New Roman" w:hAnsiTheme="majorHAnsi" w:cstheme="majorHAnsi"/>
                <w:b/>
                <w:color w:val="000000"/>
                <w:lang w:val="ro-MD"/>
              </w:rPr>
              <w:br/>
              <w:t>pe an</w:t>
            </w:r>
          </w:p>
        </w:tc>
        <w:tc>
          <w:tcPr>
            <w:tcW w:w="1139" w:type="dxa"/>
            <w:vMerge/>
            <w:tcBorders>
              <w:left w:val="nil"/>
              <w:bottom w:val="single" w:sz="4" w:space="0" w:color="auto"/>
              <w:right w:val="single" w:sz="4" w:space="0" w:color="auto"/>
            </w:tcBorders>
            <w:shd w:val="clear" w:color="auto" w:fill="auto"/>
            <w:vAlign w:val="center"/>
            <w:hideMark/>
          </w:tcPr>
          <w:p w14:paraId="782CCEF2"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p>
        </w:tc>
        <w:tc>
          <w:tcPr>
            <w:tcW w:w="1139" w:type="dxa"/>
            <w:tcBorders>
              <w:top w:val="nil"/>
              <w:left w:val="nil"/>
              <w:bottom w:val="single" w:sz="4" w:space="0" w:color="auto"/>
              <w:right w:val="single" w:sz="4" w:space="0" w:color="auto"/>
            </w:tcBorders>
            <w:shd w:val="clear" w:color="auto" w:fill="auto"/>
            <w:vAlign w:val="center"/>
            <w:hideMark/>
          </w:tcPr>
          <w:p w14:paraId="6A0C1F82"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devieri</w:t>
            </w:r>
            <w:r w:rsidRPr="00736448">
              <w:rPr>
                <w:rFonts w:asciiTheme="majorHAnsi" w:eastAsia="Times New Roman" w:hAnsiTheme="majorHAnsi" w:cstheme="majorHAnsi"/>
                <w:b/>
                <w:color w:val="000000"/>
                <w:lang w:val="ro-MD"/>
              </w:rPr>
              <w:br/>
              <w:t>(+/-)</w:t>
            </w:r>
          </w:p>
        </w:tc>
        <w:tc>
          <w:tcPr>
            <w:tcW w:w="1224" w:type="dxa"/>
            <w:vMerge/>
            <w:tcBorders>
              <w:left w:val="nil"/>
              <w:bottom w:val="single" w:sz="4" w:space="0" w:color="auto"/>
              <w:right w:val="single" w:sz="4" w:space="0" w:color="auto"/>
            </w:tcBorders>
            <w:shd w:val="clear" w:color="auto" w:fill="auto"/>
            <w:vAlign w:val="center"/>
            <w:hideMark/>
          </w:tcPr>
          <w:p w14:paraId="6E21B955"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p>
        </w:tc>
        <w:tc>
          <w:tcPr>
            <w:tcW w:w="1224" w:type="dxa"/>
            <w:tcBorders>
              <w:top w:val="nil"/>
              <w:left w:val="nil"/>
              <w:bottom w:val="single" w:sz="4" w:space="0" w:color="auto"/>
              <w:right w:val="single" w:sz="4" w:space="0" w:color="auto"/>
            </w:tcBorders>
            <w:shd w:val="clear" w:color="auto" w:fill="auto"/>
            <w:vAlign w:val="center"/>
            <w:hideMark/>
          </w:tcPr>
          <w:p w14:paraId="1ECFDC6E" w14:textId="77777777" w:rsidR="003D0784" w:rsidRPr="00736448" w:rsidRDefault="003D0784" w:rsidP="005F6348">
            <w:pPr>
              <w:spacing w:after="0" w:line="240" w:lineRule="auto"/>
              <w:jc w:val="center"/>
              <w:rPr>
                <w:rFonts w:asciiTheme="majorHAnsi" w:eastAsia="Times New Roman" w:hAnsiTheme="majorHAnsi" w:cstheme="majorHAnsi"/>
                <w:b/>
                <w:color w:val="000000"/>
                <w:lang w:val="ro-MD"/>
              </w:rPr>
            </w:pPr>
            <w:r w:rsidRPr="00736448">
              <w:rPr>
                <w:rFonts w:asciiTheme="majorHAnsi" w:eastAsia="Times New Roman" w:hAnsiTheme="majorHAnsi" w:cstheme="majorHAnsi"/>
                <w:b/>
                <w:color w:val="000000"/>
                <w:lang w:val="ro-MD"/>
              </w:rPr>
              <w:t>devieri</w:t>
            </w:r>
            <w:r w:rsidRPr="00736448">
              <w:rPr>
                <w:rFonts w:asciiTheme="majorHAnsi" w:eastAsia="Times New Roman" w:hAnsiTheme="majorHAnsi" w:cstheme="majorHAnsi"/>
                <w:b/>
                <w:color w:val="000000"/>
                <w:lang w:val="ro-MD"/>
              </w:rPr>
              <w:br/>
              <w:t>(+/-)</w:t>
            </w:r>
          </w:p>
        </w:tc>
      </w:tr>
      <w:tr w:rsidR="003D0784" w:rsidRPr="00B7675F" w14:paraId="28EFA2A1" w14:textId="77777777" w:rsidTr="005F6348">
        <w:trPr>
          <w:trHeight w:val="2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160655B4" w14:textId="77777777" w:rsidR="003D0784" w:rsidRPr="00736448" w:rsidRDefault="003D0784" w:rsidP="005F6348">
            <w:pPr>
              <w:spacing w:after="0" w:line="240" w:lineRule="auto"/>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SOLD DE MIJLOACE BĂNEŞTI LA ÎNCEPUTUL PERIOADEI</w:t>
            </w:r>
          </w:p>
        </w:tc>
        <w:tc>
          <w:tcPr>
            <w:tcW w:w="866" w:type="dxa"/>
            <w:tcBorders>
              <w:top w:val="nil"/>
              <w:left w:val="nil"/>
              <w:bottom w:val="single" w:sz="4" w:space="0" w:color="auto"/>
              <w:right w:val="single" w:sz="4" w:space="0" w:color="auto"/>
            </w:tcBorders>
            <w:shd w:val="clear" w:color="auto" w:fill="auto"/>
            <w:vAlign w:val="center"/>
            <w:hideMark/>
          </w:tcPr>
          <w:p w14:paraId="0C12A732"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91</w:t>
            </w:r>
          </w:p>
        </w:tc>
        <w:tc>
          <w:tcPr>
            <w:tcW w:w="936" w:type="dxa"/>
            <w:tcBorders>
              <w:top w:val="nil"/>
              <w:left w:val="nil"/>
              <w:bottom w:val="single" w:sz="4" w:space="0" w:color="auto"/>
              <w:right w:val="single" w:sz="4" w:space="0" w:color="auto"/>
            </w:tcBorders>
            <w:shd w:val="clear" w:color="auto" w:fill="auto"/>
            <w:vAlign w:val="center"/>
            <w:hideMark/>
          </w:tcPr>
          <w:p w14:paraId="42A4E39C"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0</w:t>
            </w:r>
          </w:p>
        </w:tc>
        <w:tc>
          <w:tcPr>
            <w:tcW w:w="939" w:type="dxa"/>
            <w:tcBorders>
              <w:top w:val="nil"/>
              <w:left w:val="nil"/>
              <w:bottom w:val="single" w:sz="4" w:space="0" w:color="auto"/>
              <w:right w:val="single" w:sz="4" w:space="0" w:color="auto"/>
            </w:tcBorders>
            <w:shd w:val="clear" w:color="auto" w:fill="auto"/>
            <w:vAlign w:val="center"/>
            <w:hideMark/>
          </w:tcPr>
          <w:p w14:paraId="4ABCA539"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60376.5</w:t>
            </w:r>
          </w:p>
        </w:tc>
        <w:tc>
          <w:tcPr>
            <w:tcW w:w="1139" w:type="dxa"/>
            <w:tcBorders>
              <w:top w:val="nil"/>
              <w:left w:val="nil"/>
              <w:bottom w:val="single" w:sz="4" w:space="0" w:color="auto"/>
              <w:right w:val="single" w:sz="4" w:space="0" w:color="auto"/>
            </w:tcBorders>
            <w:shd w:val="clear" w:color="auto" w:fill="auto"/>
            <w:vAlign w:val="center"/>
            <w:hideMark/>
          </w:tcPr>
          <w:p w14:paraId="421B5579"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60376.5</w:t>
            </w:r>
          </w:p>
        </w:tc>
        <w:tc>
          <w:tcPr>
            <w:tcW w:w="1139" w:type="dxa"/>
            <w:tcBorders>
              <w:top w:val="nil"/>
              <w:left w:val="nil"/>
              <w:bottom w:val="single" w:sz="4" w:space="0" w:color="auto"/>
              <w:right w:val="single" w:sz="4" w:space="0" w:color="auto"/>
            </w:tcBorders>
            <w:shd w:val="clear" w:color="auto" w:fill="auto"/>
            <w:vAlign w:val="center"/>
            <w:hideMark/>
          </w:tcPr>
          <w:p w14:paraId="2DAACDA9"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0</w:t>
            </w:r>
          </w:p>
        </w:tc>
        <w:tc>
          <w:tcPr>
            <w:tcW w:w="1224" w:type="dxa"/>
            <w:tcBorders>
              <w:top w:val="nil"/>
              <w:left w:val="nil"/>
              <w:bottom w:val="single" w:sz="4" w:space="0" w:color="auto"/>
              <w:right w:val="single" w:sz="4" w:space="0" w:color="auto"/>
            </w:tcBorders>
            <w:shd w:val="clear" w:color="auto" w:fill="auto"/>
            <w:vAlign w:val="center"/>
          </w:tcPr>
          <w:p w14:paraId="0CA0A9E9"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41028.5</w:t>
            </w:r>
          </w:p>
        </w:tc>
        <w:tc>
          <w:tcPr>
            <w:tcW w:w="1224" w:type="dxa"/>
            <w:tcBorders>
              <w:top w:val="nil"/>
              <w:left w:val="nil"/>
              <w:bottom w:val="single" w:sz="4" w:space="0" w:color="auto"/>
              <w:right w:val="single" w:sz="4" w:space="0" w:color="auto"/>
            </w:tcBorders>
            <w:shd w:val="clear" w:color="auto" w:fill="auto"/>
            <w:vAlign w:val="center"/>
          </w:tcPr>
          <w:p w14:paraId="0AA2F723"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19348.0</w:t>
            </w:r>
          </w:p>
        </w:tc>
      </w:tr>
      <w:tr w:rsidR="003D0784" w:rsidRPr="00B7675F" w14:paraId="78C65E91" w14:textId="77777777" w:rsidTr="005F6348">
        <w:trPr>
          <w:trHeight w:val="20"/>
        </w:trPr>
        <w:tc>
          <w:tcPr>
            <w:tcW w:w="2785" w:type="dxa"/>
            <w:tcBorders>
              <w:top w:val="nil"/>
              <w:left w:val="single" w:sz="4" w:space="0" w:color="auto"/>
              <w:bottom w:val="single" w:sz="4" w:space="0" w:color="auto"/>
              <w:right w:val="single" w:sz="4" w:space="0" w:color="auto"/>
            </w:tcBorders>
            <w:shd w:val="clear" w:color="auto" w:fill="auto"/>
            <w:vAlign w:val="bottom"/>
            <w:hideMark/>
          </w:tcPr>
          <w:p w14:paraId="0C3EB4B6" w14:textId="77777777" w:rsidR="003D0784" w:rsidRPr="00736448" w:rsidRDefault="003D0784" w:rsidP="005F6348">
            <w:pPr>
              <w:spacing w:after="0" w:line="240" w:lineRule="auto"/>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SOLD DE MIJLOACE BĂNEŞTI LA SFÂRŞITUL PERIOADEI</w:t>
            </w:r>
          </w:p>
        </w:tc>
        <w:tc>
          <w:tcPr>
            <w:tcW w:w="866" w:type="dxa"/>
            <w:tcBorders>
              <w:top w:val="nil"/>
              <w:left w:val="nil"/>
              <w:bottom w:val="single" w:sz="4" w:space="0" w:color="auto"/>
              <w:right w:val="single" w:sz="4" w:space="0" w:color="auto"/>
            </w:tcBorders>
            <w:shd w:val="clear" w:color="auto" w:fill="auto"/>
            <w:vAlign w:val="center"/>
            <w:hideMark/>
          </w:tcPr>
          <w:p w14:paraId="5CA762C3"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93</w:t>
            </w:r>
          </w:p>
        </w:tc>
        <w:tc>
          <w:tcPr>
            <w:tcW w:w="936" w:type="dxa"/>
            <w:tcBorders>
              <w:top w:val="nil"/>
              <w:left w:val="nil"/>
              <w:bottom w:val="single" w:sz="4" w:space="0" w:color="auto"/>
              <w:right w:val="single" w:sz="4" w:space="0" w:color="auto"/>
            </w:tcBorders>
            <w:shd w:val="clear" w:color="auto" w:fill="auto"/>
            <w:vAlign w:val="center"/>
            <w:hideMark/>
          </w:tcPr>
          <w:p w14:paraId="1C84B8F8"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0</w:t>
            </w:r>
          </w:p>
        </w:tc>
        <w:tc>
          <w:tcPr>
            <w:tcW w:w="939" w:type="dxa"/>
            <w:tcBorders>
              <w:top w:val="nil"/>
              <w:left w:val="nil"/>
              <w:bottom w:val="single" w:sz="4" w:space="0" w:color="auto"/>
              <w:right w:val="single" w:sz="4" w:space="0" w:color="auto"/>
            </w:tcBorders>
            <w:shd w:val="clear" w:color="auto" w:fill="auto"/>
            <w:vAlign w:val="center"/>
            <w:hideMark/>
          </w:tcPr>
          <w:p w14:paraId="2AB8CBAD"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0</w:t>
            </w:r>
          </w:p>
        </w:tc>
        <w:tc>
          <w:tcPr>
            <w:tcW w:w="1139" w:type="dxa"/>
            <w:tcBorders>
              <w:top w:val="nil"/>
              <w:left w:val="nil"/>
              <w:bottom w:val="single" w:sz="4" w:space="0" w:color="auto"/>
              <w:right w:val="single" w:sz="4" w:space="0" w:color="auto"/>
            </w:tcBorders>
            <w:shd w:val="clear" w:color="auto" w:fill="auto"/>
            <w:vAlign w:val="center"/>
            <w:hideMark/>
          </w:tcPr>
          <w:p w14:paraId="0E6A6D90"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51183.9</w:t>
            </w:r>
          </w:p>
        </w:tc>
        <w:tc>
          <w:tcPr>
            <w:tcW w:w="1139" w:type="dxa"/>
            <w:tcBorders>
              <w:top w:val="nil"/>
              <w:left w:val="nil"/>
              <w:bottom w:val="single" w:sz="4" w:space="0" w:color="auto"/>
              <w:right w:val="single" w:sz="4" w:space="0" w:color="auto"/>
            </w:tcBorders>
            <w:shd w:val="clear" w:color="auto" w:fill="auto"/>
            <w:vAlign w:val="center"/>
            <w:hideMark/>
          </w:tcPr>
          <w:p w14:paraId="23F9EC41"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51183.9</w:t>
            </w:r>
          </w:p>
        </w:tc>
        <w:tc>
          <w:tcPr>
            <w:tcW w:w="1224" w:type="dxa"/>
            <w:tcBorders>
              <w:top w:val="nil"/>
              <w:left w:val="nil"/>
              <w:bottom w:val="single" w:sz="4" w:space="0" w:color="auto"/>
              <w:right w:val="single" w:sz="4" w:space="0" w:color="auto"/>
            </w:tcBorders>
            <w:shd w:val="clear" w:color="auto" w:fill="auto"/>
            <w:vAlign w:val="center"/>
          </w:tcPr>
          <w:p w14:paraId="45E94345"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60376.5</w:t>
            </w:r>
          </w:p>
        </w:tc>
        <w:tc>
          <w:tcPr>
            <w:tcW w:w="1224" w:type="dxa"/>
            <w:tcBorders>
              <w:top w:val="nil"/>
              <w:left w:val="nil"/>
              <w:bottom w:val="single" w:sz="4" w:space="0" w:color="auto"/>
              <w:right w:val="single" w:sz="4" w:space="0" w:color="auto"/>
            </w:tcBorders>
            <w:shd w:val="clear" w:color="auto" w:fill="auto"/>
            <w:vAlign w:val="center"/>
          </w:tcPr>
          <w:p w14:paraId="20C676C0" w14:textId="77777777" w:rsidR="003D0784" w:rsidRPr="00736448" w:rsidRDefault="003D0784" w:rsidP="005F6348">
            <w:pPr>
              <w:spacing w:after="0" w:line="240" w:lineRule="auto"/>
              <w:jc w:val="center"/>
              <w:rPr>
                <w:rFonts w:asciiTheme="majorHAnsi" w:eastAsia="Times New Roman" w:hAnsiTheme="majorHAnsi" w:cstheme="majorHAnsi"/>
                <w:color w:val="000000"/>
                <w:lang w:val="ro-MD"/>
              </w:rPr>
            </w:pPr>
            <w:r w:rsidRPr="00736448">
              <w:rPr>
                <w:rFonts w:asciiTheme="majorHAnsi" w:eastAsia="Times New Roman" w:hAnsiTheme="majorHAnsi" w:cstheme="majorHAnsi"/>
                <w:color w:val="000000"/>
                <w:lang w:val="ro-MD"/>
              </w:rPr>
              <w:t>-9192.6</w:t>
            </w:r>
          </w:p>
        </w:tc>
      </w:tr>
    </w:tbl>
    <w:p w14:paraId="6D26D111" w14:textId="77777777" w:rsidR="003D0784" w:rsidRPr="00736448" w:rsidRDefault="003D0784" w:rsidP="003D0784">
      <w:pPr>
        <w:rPr>
          <w:rFonts w:ascii="Calibri Light" w:eastAsia="Calibri" w:hAnsi="Calibri Light" w:cs="Calibri Light"/>
          <w:i/>
          <w:sz w:val="20"/>
          <w:szCs w:val="20"/>
          <w:lang w:val="ro-MD"/>
        </w:rPr>
      </w:pPr>
      <w:r w:rsidRPr="00736448">
        <w:rPr>
          <w:rFonts w:ascii="Calibri Light" w:eastAsia="Times New Roman" w:hAnsi="Calibri Light" w:cs="Calibri Light"/>
          <w:b/>
          <w:i/>
          <w:szCs w:val="24"/>
          <w:lang w:val="ro-MD"/>
        </w:rPr>
        <w:t>Sursă:</w:t>
      </w:r>
      <w:r w:rsidRPr="00736448">
        <w:rPr>
          <w:rFonts w:ascii="Calibri Light" w:eastAsia="Calibri" w:hAnsi="Calibri Light" w:cs="Calibri Light"/>
          <w:i/>
          <w:sz w:val="18"/>
          <w:szCs w:val="20"/>
          <w:lang w:val="ro-MD"/>
        </w:rPr>
        <w:t xml:space="preserve"> </w:t>
      </w:r>
      <w:r w:rsidRPr="00736448">
        <w:rPr>
          <w:rFonts w:ascii="Calibri Light" w:eastAsia="Calibri" w:hAnsi="Calibri Light" w:cs="Calibri Light"/>
          <w:i/>
          <w:sz w:val="20"/>
          <w:szCs w:val="20"/>
          <w:lang w:val="ro-MD"/>
        </w:rPr>
        <w:t>Raportul privind executarea bugetului asigurărilor sociale de stat pentru anul 2022 (Formularul nr.4 CNAS).</w:t>
      </w:r>
    </w:p>
    <w:p w14:paraId="052F64B4" w14:textId="77777777" w:rsidR="003D0784" w:rsidRPr="00736448" w:rsidRDefault="003D0784" w:rsidP="00F84A00">
      <w:pPr>
        <w:rPr>
          <w:rFonts w:ascii="Calibri Light" w:eastAsia="Times New Roman" w:hAnsi="Calibri Light" w:cs="Calibri Light"/>
          <w:b/>
          <w:sz w:val="24"/>
          <w:szCs w:val="24"/>
          <w:lang w:val="ro-MD"/>
        </w:rPr>
      </w:pPr>
    </w:p>
    <w:p w14:paraId="0636F3AF" w14:textId="2F2166E8" w:rsidR="003D0784" w:rsidRPr="00736448" w:rsidRDefault="003D0784" w:rsidP="003D0784">
      <w:pPr>
        <w:tabs>
          <w:tab w:val="left" w:pos="162"/>
        </w:tabs>
        <w:spacing w:before="240"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13</w:t>
      </w:r>
    </w:p>
    <w:p w14:paraId="052F2D16" w14:textId="77777777" w:rsidR="003D0784" w:rsidRPr="00736448" w:rsidRDefault="003D0784" w:rsidP="003D0784">
      <w:pPr>
        <w:spacing w:after="0" w:line="276" w:lineRule="auto"/>
        <w:jc w:val="center"/>
        <w:rPr>
          <w:rFonts w:ascii="Calibri Light" w:eastAsia="Calibri" w:hAnsi="Calibri Light" w:cs="Calibri Light"/>
          <w:b/>
          <w:bCs/>
          <w:sz w:val="20"/>
          <w:szCs w:val="20"/>
          <w:lang w:val="ro-MD"/>
        </w:rPr>
      </w:pPr>
      <w:r w:rsidRPr="00736448">
        <w:rPr>
          <w:rFonts w:ascii="Calibri Light" w:eastAsia="Calibri" w:hAnsi="Calibri Light" w:cs="Calibri Light"/>
          <w:b/>
          <w:bCs/>
          <w:sz w:val="24"/>
          <w:szCs w:val="24"/>
          <w:lang w:val="ro-MD"/>
        </w:rPr>
        <w:t>Structura veniturilor BASS în anul 2022</w:t>
      </w:r>
    </w:p>
    <w:p w14:paraId="7DE1546B" w14:textId="77777777" w:rsidR="003D0784" w:rsidRPr="00736448" w:rsidRDefault="003D0784" w:rsidP="003D0784">
      <w:pPr>
        <w:spacing w:after="0" w:line="276" w:lineRule="auto"/>
        <w:jc w:val="center"/>
        <w:rPr>
          <w:rFonts w:ascii="Calibri Light" w:eastAsia="Calibri" w:hAnsi="Calibri Light" w:cs="Calibri Light"/>
          <w:b/>
          <w:bCs/>
          <w:sz w:val="24"/>
          <w:szCs w:val="24"/>
          <w:lang w:val="ro-MD"/>
        </w:rPr>
      </w:pPr>
      <w:r w:rsidRPr="00653E85">
        <w:rPr>
          <w:rFonts w:ascii="Calibri Light" w:eastAsia="Calibri" w:hAnsi="Calibri Light" w:cs="Calibri Light"/>
          <w:b/>
          <w:bCs/>
          <w:noProof/>
          <w:sz w:val="24"/>
          <w:szCs w:val="24"/>
          <w:lang w:val="ru-RU" w:eastAsia="ru-RU"/>
        </w:rPr>
        <w:drawing>
          <wp:inline distT="0" distB="0" distL="0" distR="0" wp14:anchorId="3B159A5F" wp14:editId="71FFBEE9">
            <wp:extent cx="6240780" cy="2834640"/>
            <wp:effectExtent l="38100" t="0" r="7620" b="381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8708C40" w14:textId="77777777" w:rsidR="003D0784" w:rsidRPr="00736448" w:rsidRDefault="003D0784" w:rsidP="003D0784">
      <w:pPr>
        <w:rPr>
          <w:rFonts w:ascii="Calibri Light" w:eastAsia="Times New Roman" w:hAnsi="Calibri Light" w:cs="Calibri Light"/>
          <w:b/>
          <w:sz w:val="24"/>
          <w:szCs w:val="24"/>
          <w:lang w:val="ro-MD"/>
        </w:rPr>
      </w:pPr>
      <w:r w:rsidRPr="00736448">
        <w:rPr>
          <w:rFonts w:ascii="Calibri Light" w:eastAsia="Calibri" w:hAnsi="Calibri Light" w:cs="Calibri Light"/>
          <w:b/>
          <w:bCs/>
          <w:i/>
          <w:sz w:val="20"/>
          <w:szCs w:val="20"/>
          <w:lang w:val="ro-MD"/>
        </w:rPr>
        <w:t>Sursă:</w:t>
      </w:r>
      <w:r w:rsidRPr="00736448">
        <w:rPr>
          <w:rFonts w:ascii="Calibri Light" w:eastAsia="Calibri" w:hAnsi="Calibri Light" w:cs="Calibri Light"/>
          <w:i/>
          <w:sz w:val="20"/>
          <w:szCs w:val="20"/>
          <w:lang w:val="ro-MD"/>
        </w:rPr>
        <w:t xml:space="preserve"> Raportul privind executarea bugetului asigurărilor sociale de stat pentru anul 2022 (Formularul nr.4 CNAS).</w:t>
      </w:r>
      <w:r w:rsidRPr="00736448">
        <w:rPr>
          <w:rFonts w:ascii="Calibri Light" w:eastAsia="Times New Roman" w:hAnsi="Calibri Light" w:cs="Calibri Light"/>
          <w:b/>
          <w:sz w:val="24"/>
          <w:szCs w:val="24"/>
          <w:lang w:val="ro-MD"/>
        </w:rPr>
        <w:t xml:space="preserve"> </w:t>
      </w:r>
    </w:p>
    <w:p w14:paraId="20C14500" w14:textId="77777777" w:rsidR="003D0784" w:rsidRPr="00736448" w:rsidRDefault="003D0784" w:rsidP="003D0784">
      <w:pPr>
        <w:rPr>
          <w:lang w:val="ro-MD"/>
        </w:rPr>
      </w:pPr>
    </w:p>
    <w:p w14:paraId="3180CAFF" w14:textId="77777777" w:rsidR="003D0784" w:rsidRPr="00736448" w:rsidRDefault="003D0784" w:rsidP="003D0784">
      <w:pPr>
        <w:rPr>
          <w:lang w:val="ro-MD"/>
        </w:rPr>
      </w:pPr>
    </w:p>
    <w:p w14:paraId="34F862BE" w14:textId="77777777" w:rsidR="003D0784" w:rsidRPr="00736448" w:rsidRDefault="003D0784" w:rsidP="003D0784">
      <w:pPr>
        <w:rPr>
          <w:lang w:val="ro-MD"/>
        </w:rPr>
      </w:pPr>
    </w:p>
    <w:p w14:paraId="37F0DF27" w14:textId="77777777" w:rsidR="003D0784" w:rsidRPr="00736448" w:rsidRDefault="003D0784" w:rsidP="003D0784">
      <w:pPr>
        <w:rPr>
          <w:lang w:val="ro-MD"/>
        </w:rPr>
      </w:pPr>
    </w:p>
    <w:p w14:paraId="2EADA3A0" w14:textId="77777777" w:rsidR="003D0784" w:rsidRPr="00736448" w:rsidRDefault="003D0784" w:rsidP="003D0784">
      <w:pPr>
        <w:rPr>
          <w:lang w:val="ro-MD"/>
        </w:rPr>
      </w:pPr>
    </w:p>
    <w:p w14:paraId="566AFD67" w14:textId="77777777" w:rsidR="003D0784" w:rsidRPr="00736448" w:rsidRDefault="003D0784" w:rsidP="003D0784">
      <w:pPr>
        <w:rPr>
          <w:lang w:val="ro-MD"/>
        </w:rPr>
      </w:pPr>
    </w:p>
    <w:p w14:paraId="61882ECF" w14:textId="120D10BA"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14</w:t>
      </w:r>
    </w:p>
    <w:p w14:paraId="4078A599" w14:textId="77777777" w:rsidR="003D0784" w:rsidRPr="00736448" w:rsidRDefault="003D0784" w:rsidP="003D0784">
      <w:pPr>
        <w:widowControl w:val="0"/>
        <w:spacing w:after="0" w:line="276" w:lineRule="auto"/>
        <w:jc w:val="center"/>
        <w:rPr>
          <w:rFonts w:ascii="Calibri Light" w:eastAsia="Book Antiqua" w:hAnsi="Calibri Light" w:cs="Calibri Light"/>
          <w:b/>
          <w:sz w:val="24"/>
          <w:szCs w:val="24"/>
          <w:lang w:val="ro-MD"/>
        </w:rPr>
      </w:pPr>
      <w:r w:rsidRPr="00736448">
        <w:rPr>
          <w:rFonts w:ascii="Calibri Light" w:eastAsia="Book Antiqua" w:hAnsi="Calibri Light" w:cs="Calibri Light"/>
          <w:b/>
          <w:sz w:val="24"/>
          <w:szCs w:val="24"/>
          <w:lang w:val="ro-MD"/>
        </w:rPr>
        <w:t xml:space="preserve">Dinamica executării veniturilor bugetului asigurărilor sociale de stat în anii 2018-2022 </w:t>
      </w:r>
    </w:p>
    <w:p w14:paraId="6F75B5B9" w14:textId="77777777" w:rsidR="003D0784" w:rsidRPr="00736448" w:rsidRDefault="003D0784" w:rsidP="003D0784">
      <w:pPr>
        <w:widowControl w:val="0"/>
        <w:spacing w:after="0" w:line="276" w:lineRule="auto"/>
        <w:jc w:val="right"/>
        <w:rPr>
          <w:rFonts w:ascii="Calibri Light" w:eastAsia="Book Antiqua" w:hAnsi="Calibri Light" w:cs="Calibri Light"/>
          <w:b/>
          <w:sz w:val="20"/>
          <w:szCs w:val="20"/>
          <w:lang w:val="ro-MD"/>
        </w:rPr>
      </w:pPr>
      <w:r w:rsidRPr="00736448">
        <w:rPr>
          <w:rFonts w:ascii="Calibri Light" w:eastAsia="Book Antiqua" w:hAnsi="Calibri Light" w:cs="Calibri Light"/>
          <w:b/>
          <w:sz w:val="20"/>
          <w:szCs w:val="20"/>
          <w:lang w:val="ro-MD"/>
        </w:rPr>
        <w:t>(mil.lei)</w:t>
      </w:r>
    </w:p>
    <w:p w14:paraId="11C95D91" w14:textId="77777777" w:rsidR="003D0784" w:rsidRPr="00736448" w:rsidRDefault="003D0784" w:rsidP="003D0784">
      <w:pPr>
        <w:widowControl w:val="0"/>
        <w:spacing w:after="0" w:line="276" w:lineRule="auto"/>
        <w:jc w:val="center"/>
        <w:rPr>
          <w:rFonts w:ascii="Calibri Light" w:eastAsia="Book Antiqua" w:hAnsi="Calibri Light" w:cs="Calibri Light"/>
          <w:b/>
          <w:sz w:val="24"/>
          <w:szCs w:val="24"/>
          <w:lang w:val="ro-MD"/>
        </w:rPr>
      </w:pPr>
      <w:r w:rsidRPr="00653E85">
        <w:rPr>
          <w:rFonts w:ascii="Calibri Light" w:eastAsia="Book Antiqua" w:hAnsi="Calibri Light" w:cs="Calibri Light"/>
          <w:b/>
          <w:noProof/>
          <w:sz w:val="24"/>
          <w:szCs w:val="24"/>
          <w:lang w:val="ru-RU" w:eastAsia="ru-RU"/>
        </w:rPr>
        <w:drawing>
          <wp:inline distT="0" distB="0" distL="0" distR="0" wp14:anchorId="3250DF3C" wp14:editId="52BFBEDE">
            <wp:extent cx="6339840" cy="2545080"/>
            <wp:effectExtent l="0" t="0" r="3810" b="762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51731C1" w14:textId="77777777" w:rsidR="003D0784" w:rsidRPr="00736448" w:rsidRDefault="003D0784" w:rsidP="003D0784">
      <w:pPr>
        <w:tabs>
          <w:tab w:val="left" w:pos="162"/>
        </w:tabs>
        <w:spacing w:after="0" w:line="276" w:lineRule="auto"/>
        <w:rPr>
          <w:rFonts w:ascii="Calibri Light" w:eastAsia="Times New Roman" w:hAnsi="Calibri Light" w:cs="Calibri Light"/>
          <w:i/>
          <w:sz w:val="20"/>
          <w:szCs w:val="20"/>
          <w:lang w:val="ro-MD"/>
        </w:rPr>
      </w:pPr>
      <w:r w:rsidRPr="00736448">
        <w:rPr>
          <w:rFonts w:ascii="Calibri Light" w:eastAsia="Times New Roman" w:hAnsi="Calibri Light" w:cs="Calibri Light"/>
          <w:b/>
          <w:bCs/>
          <w:i/>
          <w:sz w:val="20"/>
          <w:szCs w:val="20"/>
          <w:lang w:val="ro-MD"/>
        </w:rPr>
        <w:t>Sursă:</w:t>
      </w:r>
      <w:r w:rsidRPr="00736448">
        <w:rPr>
          <w:rFonts w:ascii="Calibri Light" w:eastAsia="Times New Roman" w:hAnsi="Calibri Light" w:cs="Calibri Light"/>
          <w:i/>
          <w:sz w:val="20"/>
          <w:szCs w:val="20"/>
          <w:lang w:val="ro-MD"/>
        </w:rPr>
        <w:t xml:space="preserve"> Raportul privind executarea bugetului asigurărilor sociale de stat pentru anii 2018-2022</w:t>
      </w:r>
    </w:p>
    <w:p w14:paraId="15DCAE27" w14:textId="77777777" w:rsidR="003D0784" w:rsidRPr="00736448" w:rsidRDefault="003D0784" w:rsidP="003D0784">
      <w:pPr>
        <w:tabs>
          <w:tab w:val="left" w:pos="162"/>
        </w:tabs>
        <w:spacing w:after="0" w:line="276" w:lineRule="auto"/>
        <w:rPr>
          <w:rFonts w:ascii="Calibri Light" w:eastAsia="Times New Roman" w:hAnsi="Calibri Light" w:cs="Calibri Light"/>
          <w:i/>
          <w:sz w:val="20"/>
          <w:szCs w:val="20"/>
          <w:lang w:val="ro-MD"/>
        </w:rPr>
      </w:pPr>
    </w:p>
    <w:p w14:paraId="4E11DD84" w14:textId="77777777" w:rsidR="003D0784" w:rsidRPr="00736448" w:rsidRDefault="003D0784" w:rsidP="003D0784">
      <w:pPr>
        <w:tabs>
          <w:tab w:val="left" w:pos="162"/>
        </w:tabs>
        <w:spacing w:after="0" w:line="276" w:lineRule="auto"/>
        <w:rPr>
          <w:rFonts w:ascii="Calibri Light" w:eastAsia="Times New Roman" w:hAnsi="Calibri Light" w:cs="Calibri Light"/>
          <w:i/>
          <w:sz w:val="20"/>
          <w:szCs w:val="20"/>
          <w:lang w:val="ro-MD"/>
        </w:rPr>
      </w:pPr>
    </w:p>
    <w:p w14:paraId="1E6BF882" w14:textId="5EECBC74" w:rsidR="003D0784" w:rsidRPr="00736448" w:rsidRDefault="003D0784" w:rsidP="003D0784">
      <w:pPr>
        <w:keepNext/>
        <w:keepLines/>
        <w:spacing w:before="40" w:after="0" w:line="240" w:lineRule="auto"/>
        <w:jc w:val="right"/>
        <w:outlineLvl w:val="1"/>
        <w:rPr>
          <w:rFonts w:ascii="Calibri Light" w:eastAsia="Times New Roman" w:hAnsi="Calibri Light" w:cs="Calibri Light"/>
          <w:b/>
          <w:color w:val="000000"/>
          <w:sz w:val="24"/>
          <w:szCs w:val="20"/>
          <w:lang w:val="ro-MD" w:eastAsia="ro-RO"/>
        </w:rPr>
      </w:pPr>
      <w:r w:rsidRPr="00736448">
        <w:rPr>
          <w:rFonts w:ascii="Calibri Light" w:eastAsia="Times New Roman" w:hAnsi="Calibri Light" w:cs="Calibri Light"/>
          <w:b/>
          <w:color w:val="000000"/>
          <w:sz w:val="24"/>
          <w:szCs w:val="20"/>
          <w:lang w:val="ro-MD" w:eastAsia="ro-RO"/>
        </w:rPr>
        <w:t xml:space="preserve">Anexa nr. </w:t>
      </w:r>
      <w:r w:rsidR="008B5EDB" w:rsidRPr="00736448">
        <w:rPr>
          <w:rFonts w:ascii="Calibri Light" w:eastAsia="Times New Roman" w:hAnsi="Calibri Light" w:cs="Calibri Light"/>
          <w:b/>
          <w:color w:val="000000"/>
          <w:sz w:val="24"/>
          <w:szCs w:val="20"/>
          <w:lang w:val="ro-MD" w:eastAsia="ro-RO"/>
        </w:rPr>
        <w:t>15</w:t>
      </w:r>
    </w:p>
    <w:p w14:paraId="2F2947C1" w14:textId="77777777" w:rsidR="003D0784" w:rsidRPr="00736448" w:rsidRDefault="003D0784" w:rsidP="003D0784">
      <w:pPr>
        <w:spacing w:after="0" w:line="240" w:lineRule="auto"/>
        <w:jc w:val="center"/>
        <w:rPr>
          <w:rFonts w:ascii="Calibri Light" w:eastAsia="Times New Roman" w:hAnsi="Calibri Light" w:cs="Calibri Light"/>
          <w:b/>
          <w:bCs/>
          <w:color w:val="000000"/>
          <w:sz w:val="20"/>
          <w:szCs w:val="20"/>
          <w:lang w:val="ro-MD"/>
        </w:rPr>
      </w:pPr>
    </w:p>
    <w:p w14:paraId="5DB27740" w14:textId="77777777" w:rsidR="003D0784" w:rsidRPr="00736448" w:rsidRDefault="003D0784" w:rsidP="003D0784">
      <w:pPr>
        <w:tabs>
          <w:tab w:val="left" w:pos="162"/>
        </w:tabs>
        <w:spacing w:after="0" w:line="276" w:lineRule="auto"/>
        <w:jc w:val="center"/>
        <w:rPr>
          <w:rFonts w:ascii="Calibri Light" w:eastAsia="Times New Roman" w:hAnsi="Calibri Light" w:cs="Calibri Light"/>
          <w:b/>
          <w:bCs/>
          <w:color w:val="000000"/>
          <w:sz w:val="24"/>
          <w:szCs w:val="20"/>
          <w:lang w:val="ro-MD"/>
        </w:rPr>
      </w:pPr>
      <w:r w:rsidRPr="00736448">
        <w:rPr>
          <w:rFonts w:ascii="Calibri Light" w:eastAsia="Times New Roman" w:hAnsi="Calibri Light" w:cs="Calibri Light"/>
          <w:b/>
          <w:bCs/>
          <w:color w:val="000000"/>
          <w:sz w:val="24"/>
          <w:szCs w:val="20"/>
          <w:lang w:val="ro-MD"/>
        </w:rPr>
        <w:t>Analiza transferurilor la bugetul asigurărilor sociale de stat</w:t>
      </w:r>
    </w:p>
    <w:p w14:paraId="2295BEAC" w14:textId="77777777" w:rsidR="003D0784" w:rsidRPr="00736448" w:rsidRDefault="003D0784" w:rsidP="003D0784">
      <w:pPr>
        <w:tabs>
          <w:tab w:val="left" w:pos="162"/>
          <w:tab w:val="left" w:pos="2268"/>
        </w:tabs>
        <w:spacing w:after="0" w:line="276" w:lineRule="auto"/>
        <w:jc w:val="right"/>
        <w:rPr>
          <w:rFonts w:ascii="Calibri Light" w:eastAsia="Times New Roman" w:hAnsi="Calibri Light" w:cs="Calibri Light"/>
          <w:b/>
          <w:bCs/>
          <w:iCs/>
          <w:sz w:val="20"/>
          <w:szCs w:val="20"/>
          <w:lang w:val="ro-MD"/>
        </w:rPr>
      </w:pPr>
      <w:r w:rsidRPr="00736448">
        <w:rPr>
          <w:rFonts w:ascii="Calibri Light" w:eastAsia="Times New Roman" w:hAnsi="Calibri Light" w:cs="Calibri Light"/>
          <w:b/>
          <w:bCs/>
          <w:iCs/>
          <w:sz w:val="20"/>
          <w:szCs w:val="20"/>
          <w:lang w:val="ro-MD"/>
        </w:rPr>
        <w:t>(mii lei)</w:t>
      </w:r>
    </w:p>
    <w:tbl>
      <w:tblPr>
        <w:tblW w:w="9985" w:type="dxa"/>
        <w:shd w:val="clear" w:color="auto" w:fill="FFFFFF" w:themeFill="background1"/>
        <w:tblLook w:val="04A0" w:firstRow="1" w:lastRow="0" w:firstColumn="1" w:lastColumn="0" w:noHBand="0" w:noVBand="1"/>
      </w:tblPr>
      <w:tblGrid>
        <w:gridCol w:w="3020"/>
        <w:gridCol w:w="980"/>
        <w:gridCol w:w="1000"/>
        <w:gridCol w:w="1000"/>
        <w:gridCol w:w="1000"/>
        <w:gridCol w:w="1000"/>
        <w:gridCol w:w="980"/>
        <w:gridCol w:w="1005"/>
      </w:tblGrid>
      <w:tr w:rsidR="003D0784" w:rsidRPr="00B7675F" w14:paraId="5201E939" w14:textId="77777777" w:rsidTr="00B27804">
        <w:trPr>
          <w:trHeight w:val="288"/>
        </w:trPr>
        <w:tc>
          <w:tcPr>
            <w:tcW w:w="30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C09FF4"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Denumirea</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9C53AD2"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ECO</w:t>
            </w:r>
          </w:p>
        </w:tc>
        <w:tc>
          <w:tcPr>
            <w:tcW w:w="200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6E4257"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Plan</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F3B1FD"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Executat anul curent</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FFFB18"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Executat anul precedent</w:t>
            </w: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050ACCD"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Executat</w:t>
            </w:r>
          </w:p>
        </w:tc>
      </w:tr>
      <w:tr w:rsidR="003D0784" w:rsidRPr="00B7675F" w14:paraId="0B36AD09" w14:textId="77777777" w:rsidTr="00B27804">
        <w:trPr>
          <w:trHeight w:val="468"/>
        </w:trPr>
        <w:tc>
          <w:tcPr>
            <w:tcW w:w="30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5D04C1"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8C19CF"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200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6EECB"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C3BE5C"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6A9661"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985"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C17E19B"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anul curent față de anul precedent</w:t>
            </w:r>
          </w:p>
        </w:tc>
      </w:tr>
      <w:tr w:rsidR="003D0784" w:rsidRPr="00B7675F" w14:paraId="6DA287F7" w14:textId="77777777" w:rsidTr="00B27804">
        <w:trPr>
          <w:trHeight w:val="288"/>
        </w:trPr>
        <w:tc>
          <w:tcPr>
            <w:tcW w:w="30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98EED0"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50E7269"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5647FF9C"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aprobat</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2325D8DE"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precizat</w:t>
            </w: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FD8447"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88A83"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05767AAB"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devieri</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2D4C92A5"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în</w:t>
            </w:r>
          </w:p>
        </w:tc>
      </w:tr>
      <w:tr w:rsidR="003D0784" w:rsidRPr="00B7675F" w14:paraId="1E3855C4" w14:textId="77777777" w:rsidTr="00B27804">
        <w:trPr>
          <w:trHeight w:val="276"/>
        </w:trPr>
        <w:tc>
          <w:tcPr>
            <w:tcW w:w="30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46FCFE"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644782"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6F1818A5"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xml:space="preserve">pe an </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0A766AA8"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xml:space="preserve">pe an </w:t>
            </w: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6541E"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100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35FFBA"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08A07417"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0E9250F4"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xml:space="preserve"> %</w:t>
            </w:r>
          </w:p>
        </w:tc>
      </w:tr>
      <w:tr w:rsidR="003D0784" w:rsidRPr="00B7675F" w14:paraId="225AA437" w14:textId="77777777" w:rsidTr="00B27804">
        <w:trPr>
          <w:trHeight w:val="288"/>
        </w:trPr>
        <w:tc>
          <w:tcPr>
            <w:tcW w:w="302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3F11B9"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1</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7897D805"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2</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744734B8"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3</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6ABE6F40"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4</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26BEE68F"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5</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049FBC8B"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8</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7F10C3A2"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9</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412E2552"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10</w:t>
            </w:r>
          </w:p>
        </w:tc>
      </w:tr>
      <w:tr w:rsidR="003D0784" w:rsidRPr="00B7675F" w14:paraId="0FC1E167" w14:textId="77777777" w:rsidTr="00B27804">
        <w:trPr>
          <w:trHeight w:val="288"/>
        </w:trPr>
        <w:tc>
          <w:tcPr>
            <w:tcW w:w="302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5A9B44"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I.  VENITURI</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5103258B" w14:textId="77777777" w:rsidR="003D0784" w:rsidRPr="00736448" w:rsidRDefault="003D0784" w:rsidP="005F6348">
            <w:pPr>
              <w:spacing w:after="0" w:line="240" w:lineRule="auto"/>
              <w:jc w:val="right"/>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1</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00C414ED"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31224240.7</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7D6369E3"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34200589.4</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69E22698"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33796071.0</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23EF87A3"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27246848.9</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373339B4"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6549222.1</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43397ECA"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124.0</w:t>
            </w:r>
          </w:p>
        </w:tc>
      </w:tr>
      <w:tr w:rsidR="003D0784" w:rsidRPr="00B7675F" w14:paraId="504E5D43" w14:textId="77777777" w:rsidTr="00B27804">
        <w:trPr>
          <w:trHeight w:val="576"/>
        </w:trPr>
        <w:tc>
          <w:tcPr>
            <w:tcW w:w="3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BF0F3FA" w14:textId="77777777" w:rsidR="003D0784" w:rsidRPr="00736448" w:rsidRDefault="003D0784" w:rsidP="005F6348">
            <w:pPr>
              <w:spacing w:after="0" w:line="240" w:lineRule="auto"/>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TRANSFERURI PRIMITE ÎN CADRUL BUGETULUI PUBLIC NAŢIONAL</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05CC8335" w14:textId="77777777" w:rsidR="003D0784" w:rsidRPr="00736448" w:rsidRDefault="003D0784" w:rsidP="005F6348">
            <w:pPr>
              <w:spacing w:after="0" w:line="240" w:lineRule="auto"/>
              <w:jc w:val="right"/>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19</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11D24360"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12550012.5</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4A6F796A"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15302361.2</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3191B28C"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14794027.1</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3D7B72EF"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10724685.9</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43F51F01"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4069341.2</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2DB33D96"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137.9</w:t>
            </w:r>
          </w:p>
        </w:tc>
      </w:tr>
      <w:tr w:rsidR="003D0784" w:rsidRPr="00B7675F" w14:paraId="64B64B46" w14:textId="77777777" w:rsidTr="00B27804">
        <w:trPr>
          <w:trHeight w:val="564"/>
        </w:trPr>
        <w:tc>
          <w:tcPr>
            <w:tcW w:w="3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695CAEE6"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Ponderea transferurilor în total venituri</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23AEAC69"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7F18FF79"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40.20%</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7D0DC229"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44.70%</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13DE8CD1"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43.77</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5BCCF362"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39.36</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60A1DF0D"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62.13</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3CF6D781"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x</w:t>
            </w:r>
          </w:p>
        </w:tc>
      </w:tr>
      <w:tr w:rsidR="003D0784" w:rsidRPr="00B7675F" w14:paraId="0DA9D76D" w14:textId="77777777" w:rsidTr="00B27804">
        <w:trPr>
          <w:trHeight w:val="636"/>
        </w:trPr>
        <w:tc>
          <w:tcPr>
            <w:tcW w:w="3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072AD59"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Transferuri curente primite cu destinație specială între bugetul de stat și bugetul asigurărilor sociale de stat</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0A70FEE9" w14:textId="77777777" w:rsidR="003D0784" w:rsidRPr="00736448" w:rsidRDefault="003D0784" w:rsidP="005F6348">
            <w:pPr>
              <w:spacing w:after="0" w:line="240" w:lineRule="auto"/>
              <w:jc w:val="right"/>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192110</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2BEFE060"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9618885.0</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2C7F9167"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10483234.5</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34F9DDAE"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10359900.4</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70BA3E11"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7884643.0</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33EBF48F"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2475257.4</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7E11D874"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131.4</w:t>
            </w:r>
          </w:p>
        </w:tc>
      </w:tr>
      <w:tr w:rsidR="003D0784" w:rsidRPr="00B7675F" w14:paraId="558ADEE2" w14:textId="77777777" w:rsidTr="00B27804">
        <w:trPr>
          <w:trHeight w:val="576"/>
        </w:trPr>
        <w:tc>
          <w:tcPr>
            <w:tcW w:w="3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BA18AF"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xml:space="preserve">Ponderea transferurilor cu destinație specială în total transferuri </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4951D23B"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62FB0769"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76.64%</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53582926"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68.51%</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782F871E"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70.03%</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525F94D1"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73.52%</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37DCE6C6"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60.83%</w:t>
            </w:r>
          </w:p>
        </w:tc>
        <w:tc>
          <w:tcPr>
            <w:tcW w:w="1005" w:type="dxa"/>
            <w:tcBorders>
              <w:top w:val="nil"/>
              <w:left w:val="nil"/>
              <w:bottom w:val="single" w:sz="4" w:space="0" w:color="auto"/>
              <w:right w:val="single" w:sz="4" w:space="0" w:color="auto"/>
            </w:tcBorders>
            <w:shd w:val="clear" w:color="auto" w:fill="FFFFFF" w:themeFill="background1"/>
            <w:vAlign w:val="center"/>
            <w:hideMark/>
          </w:tcPr>
          <w:p w14:paraId="308E1365"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x</w:t>
            </w:r>
          </w:p>
        </w:tc>
      </w:tr>
      <w:tr w:rsidR="003D0784" w:rsidRPr="00B7675F" w14:paraId="6FA4A89B" w14:textId="77777777" w:rsidTr="00B27804">
        <w:trPr>
          <w:trHeight w:val="720"/>
        </w:trPr>
        <w:tc>
          <w:tcPr>
            <w:tcW w:w="3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957219"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Transferuri curente primite cu destinație generală între bugetul de stat și bugetul asigurărilor sociale de stat</w:t>
            </w:r>
          </w:p>
        </w:tc>
        <w:tc>
          <w:tcPr>
            <w:tcW w:w="980" w:type="dxa"/>
            <w:tcBorders>
              <w:top w:val="nil"/>
              <w:left w:val="nil"/>
              <w:bottom w:val="single" w:sz="4" w:space="0" w:color="auto"/>
              <w:right w:val="single" w:sz="4" w:space="0" w:color="auto"/>
            </w:tcBorders>
            <w:shd w:val="clear" w:color="auto" w:fill="FFFFFF" w:themeFill="background1"/>
            <w:vAlign w:val="center"/>
            <w:hideMark/>
          </w:tcPr>
          <w:p w14:paraId="3F46F56F" w14:textId="77777777" w:rsidR="003D0784" w:rsidRPr="00736448" w:rsidRDefault="003D0784" w:rsidP="005F6348">
            <w:pPr>
              <w:spacing w:after="0" w:line="240" w:lineRule="auto"/>
              <w:jc w:val="right"/>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192130</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204280B0"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2931127.5</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324F9FDA"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4819126.7</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33B445B6"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4434126.7</w:t>
            </w:r>
          </w:p>
        </w:tc>
        <w:tc>
          <w:tcPr>
            <w:tcW w:w="1000" w:type="dxa"/>
            <w:tcBorders>
              <w:top w:val="nil"/>
              <w:left w:val="nil"/>
              <w:bottom w:val="single" w:sz="4" w:space="0" w:color="auto"/>
              <w:right w:val="single" w:sz="4" w:space="0" w:color="auto"/>
            </w:tcBorders>
            <w:shd w:val="clear" w:color="auto" w:fill="FFFFFF" w:themeFill="background1"/>
            <w:vAlign w:val="center"/>
            <w:hideMark/>
          </w:tcPr>
          <w:p w14:paraId="25E336F4"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2840042.9</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18BFEE55"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1594083.8</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1626F57E" w14:textId="77777777" w:rsidR="003D0784" w:rsidRPr="00736448" w:rsidRDefault="003D0784" w:rsidP="005F6348">
            <w:pPr>
              <w:spacing w:after="0" w:line="240" w:lineRule="auto"/>
              <w:jc w:val="center"/>
              <w:rPr>
                <w:rFonts w:ascii="Calibri Light" w:eastAsia="Times New Roman" w:hAnsi="Calibri Light" w:cs="Calibri Light"/>
                <w:sz w:val="16"/>
                <w:szCs w:val="16"/>
                <w:lang w:val="ro-MD"/>
              </w:rPr>
            </w:pPr>
            <w:r w:rsidRPr="00736448">
              <w:rPr>
                <w:rFonts w:ascii="Calibri Light" w:eastAsia="Times New Roman" w:hAnsi="Calibri Light" w:cs="Calibri Light"/>
                <w:sz w:val="16"/>
                <w:szCs w:val="16"/>
                <w:lang w:val="ro-MD"/>
              </w:rPr>
              <w:t>156.1</w:t>
            </w:r>
          </w:p>
        </w:tc>
      </w:tr>
      <w:tr w:rsidR="003D0784" w:rsidRPr="00B7675F" w14:paraId="6BDC0F52" w14:textId="77777777" w:rsidTr="00B27804">
        <w:trPr>
          <w:trHeight w:val="636"/>
        </w:trPr>
        <w:tc>
          <w:tcPr>
            <w:tcW w:w="3020"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E5273D"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Ponderea transferurilor cu destinație generală în total transferuri</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641F1C69" w14:textId="77777777" w:rsidR="003D0784" w:rsidRPr="00736448" w:rsidRDefault="003D0784" w:rsidP="005F6348">
            <w:pPr>
              <w:spacing w:after="0" w:line="240" w:lineRule="auto"/>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 </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1891CC67"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23.36%</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2C5B403E"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31.49%</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43BC6689"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29.97%</w:t>
            </w:r>
          </w:p>
        </w:tc>
        <w:tc>
          <w:tcPr>
            <w:tcW w:w="1000" w:type="dxa"/>
            <w:tcBorders>
              <w:top w:val="nil"/>
              <w:left w:val="nil"/>
              <w:bottom w:val="single" w:sz="4" w:space="0" w:color="auto"/>
              <w:right w:val="single" w:sz="4" w:space="0" w:color="auto"/>
            </w:tcBorders>
            <w:shd w:val="clear" w:color="auto" w:fill="FFFFFF" w:themeFill="background1"/>
            <w:noWrap/>
            <w:vAlign w:val="center"/>
            <w:hideMark/>
          </w:tcPr>
          <w:p w14:paraId="2DB671B5"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26.48%</w:t>
            </w:r>
          </w:p>
        </w:tc>
        <w:tc>
          <w:tcPr>
            <w:tcW w:w="980" w:type="dxa"/>
            <w:tcBorders>
              <w:top w:val="nil"/>
              <w:left w:val="nil"/>
              <w:bottom w:val="single" w:sz="4" w:space="0" w:color="auto"/>
              <w:right w:val="single" w:sz="4" w:space="0" w:color="auto"/>
            </w:tcBorders>
            <w:shd w:val="clear" w:color="auto" w:fill="FFFFFF" w:themeFill="background1"/>
            <w:noWrap/>
            <w:vAlign w:val="center"/>
            <w:hideMark/>
          </w:tcPr>
          <w:p w14:paraId="4B3501B9"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39.17%</w:t>
            </w:r>
          </w:p>
        </w:tc>
        <w:tc>
          <w:tcPr>
            <w:tcW w:w="1005" w:type="dxa"/>
            <w:tcBorders>
              <w:top w:val="nil"/>
              <w:left w:val="nil"/>
              <w:bottom w:val="single" w:sz="4" w:space="0" w:color="auto"/>
              <w:right w:val="single" w:sz="4" w:space="0" w:color="auto"/>
            </w:tcBorders>
            <w:shd w:val="clear" w:color="auto" w:fill="FFFFFF" w:themeFill="background1"/>
            <w:noWrap/>
            <w:vAlign w:val="center"/>
            <w:hideMark/>
          </w:tcPr>
          <w:p w14:paraId="4B8FEF4C" w14:textId="77777777" w:rsidR="003D0784" w:rsidRPr="00736448" w:rsidRDefault="003D0784" w:rsidP="005F6348">
            <w:pPr>
              <w:spacing w:after="0" w:line="240" w:lineRule="auto"/>
              <w:jc w:val="center"/>
              <w:rPr>
                <w:rFonts w:ascii="Calibri Light" w:eastAsia="Times New Roman" w:hAnsi="Calibri Light" w:cs="Calibri Light"/>
                <w:color w:val="000000"/>
                <w:sz w:val="16"/>
                <w:szCs w:val="16"/>
                <w:lang w:val="ro-MD"/>
              </w:rPr>
            </w:pPr>
            <w:r w:rsidRPr="00736448">
              <w:rPr>
                <w:rFonts w:ascii="Calibri Light" w:eastAsia="Times New Roman" w:hAnsi="Calibri Light" w:cs="Calibri Light"/>
                <w:color w:val="000000"/>
                <w:sz w:val="16"/>
                <w:szCs w:val="16"/>
                <w:lang w:val="ro-MD"/>
              </w:rPr>
              <w:t>x</w:t>
            </w:r>
          </w:p>
        </w:tc>
      </w:tr>
    </w:tbl>
    <w:p w14:paraId="7444BF63" w14:textId="6FDFA69E" w:rsidR="003D0784" w:rsidRPr="00736448" w:rsidRDefault="003D0784" w:rsidP="003D0784">
      <w:pPr>
        <w:tabs>
          <w:tab w:val="left" w:pos="162"/>
        </w:tabs>
        <w:spacing w:after="0" w:line="276" w:lineRule="auto"/>
        <w:rPr>
          <w:rFonts w:ascii="Calibri Light" w:eastAsia="Times New Roman" w:hAnsi="Calibri Light" w:cs="Calibri Light"/>
          <w:i/>
          <w:sz w:val="20"/>
          <w:szCs w:val="20"/>
          <w:lang w:val="ro-MD"/>
        </w:rPr>
      </w:pPr>
      <w:r w:rsidRPr="00736448">
        <w:rPr>
          <w:rFonts w:ascii="Calibri Light" w:eastAsia="Times New Roman" w:hAnsi="Calibri Light" w:cs="Calibri Light"/>
          <w:b/>
          <w:i/>
          <w:sz w:val="20"/>
          <w:szCs w:val="20"/>
          <w:lang w:val="ro-MD"/>
        </w:rPr>
        <w:t>Sursă:</w:t>
      </w:r>
      <w:r w:rsidRPr="00736448">
        <w:rPr>
          <w:rFonts w:ascii="Calibri Light" w:eastAsia="Times New Roman" w:hAnsi="Calibri Light" w:cs="Calibri Light"/>
          <w:i/>
          <w:sz w:val="20"/>
          <w:szCs w:val="20"/>
          <w:lang w:val="ro-MD"/>
        </w:rPr>
        <w:t xml:space="preserve"> Rapoartele privind executarea bugetului asigurărilor sociale de stat pentru anii 2021-2022</w:t>
      </w:r>
      <w:r w:rsidR="00E15964">
        <w:rPr>
          <w:rFonts w:ascii="Calibri Light" w:eastAsia="Times New Roman" w:hAnsi="Calibri Light" w:cs="Calibri Light"/>
          <w:i/>
          <w:sz w:val="20"/>
          <w:szCs w:val="20"/>
          <w:lang w:val="ro-MD"/>
        </w:rPr>
        <w:t>.</w:t>
      </w:r>
    </w:p>
    <w:p w14:paraId="0C6F29E3" w14:textId="77777777" w:rsidR="003D0784" w:rsidRPr="00736448" w:rsidRDefault="003D0784" w:rsidP="003D0784">
      <w:pPr>
        <w:rPr>
          <w:lang w:val="ro-MD"/>
        </w:rPr>
      </w:pPr>
    </w:p>
    <w:p w14:paraId="1FA692C1" w14:textId="3CDF2994" w:rsidR="003D0784" w:rsidRPr="00736448" w:rsidRDefault="003D0784" w:rsidP="003D0784">
      <w:pPr>
        <w:pStyle w:val="2"/>
        <w:jc w:val="right"/>
        <w:rPr>
          <w:rFonts w:ascii="Calibri Light" w:eastAsia="Times New Roman" w:hAnsi="Calibri Light" w:cs="Calibri Light"/>
          <w:b/>
          <w:bCs/>
          <w:iCs/>
          <w:color w:val="000000" w:themeColor="text1"/>
          <w:sz w:val="24"/>
          <w:szCs w:val="24"/>
          <w:lang w:val="ro-MD"/>
        </w:rPr>
      </w:pPr>
      <w:r w:rsidRPr="00736448">
        <w:rPr>
          <w:rFonts w:ascii="Calibri Light" w:eastAsia="Times New Roman" w:hAnsi="Calibri Light" w:cs="Calibri Light"/>
          <w:b/>
          <w:bCs/>
          <w:iCs/>
          <w:color w:val="000000" w:themeColor="text1"/>
          <w:sz w:val="24"/>
          <w:szCs w:val="24"/>
          <w:lang w:val="ro-MD"/>
        </w:rPr>
        <w:t xml:space="preserve">Anexa nr. </w:t>
      </w:r>
      <w:r w:rsidR="008B5EDB" w:rsidRPr="00736448">
        <w:rPr>
          <w:rFonts w:ascii="Calibri Light" w:eastAsia="Times New Roman" w:hAnsi="Calibri Light" w:cs="Calibri Light"/>
          <w:b/>
          <w:bCs/>
          <w:iCs/>
          <w:color w:val="000000" w:themeColor="text1"/>
          <w:sz w:val="24"/>
          <w:szCs w:val="24"/>
          <w:lang w:val="ro-MD"/>
        </w:rPr>
        <w:t>16</w:t>
      </w:r>
    </w:p>
    <w:p w14:paraId="5458ACCF" w14:textId="77777777" w:rsidR="003D0784" w:rsidRPr="00736448" w:rsidRDefault="003D0784" w:rsidP="003D0784">
      <w:pPr>
        <w:tabs>
          <w:tab w:val="left" w:pos="162"/>
        </w:tabs>
        <w:spacing w:after="0" w:line="276" w:lineRule="auto"/>
        <w:jc w:val="right"/>
        <w:rPr>
          <w:rFonts w:ascii="Calibri Light" w:eastAsia="Times New Roman" w:hAnsi="Calibri Light" w:cs="Calibri Light"/>
          <w:b/>
          <w:bCs/>
          <w:iCs/>
          <w:sz w:val="24"/>
          <w:szCs w:val="24"/>
          <w:lang w:val="ro-MD"/>
        </w:rPr>
      </w:pPr>
    </w:p>
    <w:p w14:paraId="68EA71F7" w14:textId="77777777" w:rsidR="003D0784" w:rsidRPr="00736448" w:rsidRDefault="003D0784" w:rsidP="003D0784">
      <w:pPr>
        <w:tabs>
          <w:tab w:val="left" w:pos="162"/>
        </w:tabs>
        <w:spacing w:after="0" w:line="276" w:lineRule="auto"/>
        <w:jc w:val="center"/>
        <w:rPr>
          <w:rFonts w:ascii="Calibri Light" w:eastAsia="Times New Roman" w:hAnsi="Calibri Light" w:cs="Calibri Light"/>
          <w:b/>
          <w:bCs/>
          <w:iCs/>
          <w:sz w:val="24"/>
          <w:szCs w:val="24"/>
          <w:lang w:val="ro-MD"/>
        </w:rPr>
      </w:pPr>
      <w:r w:rsidRPr="00736448">
        <w:rPr>
          <w:rFonts w:ascii="Calibri Light" w:eastAsia="Times New Roman" w:hAnsi="Calibri Light" w:cs="Calibri Light"/>
          <w:b/>
          <w:bCs/>
          <w:iCs/>
          <w:sz w:val="24"/>
          <w:szCs w:val="24"/>
          <w:lang w:val="ro-MD"/>
        </w:rPr>
        <w:t>Evoluția ponderii veniturilor proprii ale BASS și transferurilor de la bugetul public național în totalul veniturilor</w:t>
      </w:r>
    </w:p>
    <w:p w14:paraId="0522F8BC" w14:textId="77777777" w:rsidR="003D0784" w:rsidRPr="00736448" w:rsidRDefault="003D0784" w:rsidP="003D0784">
      <w:pPr>
        <w:tabs>
          <w:tab w:val="left" w:pos="162"/>
        </w:tabs>
        <w:spacing w:after="0" w:line="276" w:lineRule="auto"/>
        <w:rPr>
          <w:rFonts w:ascii="Calibri Light" w:eastAsia="Times New Roman" w:hAnsi="Calibri Light" w:cs="Calibri Light"/>
          <w:i/>
          <w:sz w:val="20"/>
          <w:szCs w:val="20"/>
          <w:lang w:val="ro-MD"/>
        </w:rPr>
      </w:pPr>
      <w:r w:rsidRPr="00653E85">
        <w:rPr>
          <w:rFonts w:ascii="Calibri Light" w:eastAsia="Times New Roman" w:hAnsi="Calibri Light" w:cs="Calibri Light"/>
          <w:i/>
          <w:noProof/>
          <w:sz w:val="20"/>
          <w:szCs w:val="20"/>
          <w:lang w:val="ru-RU" w:eastAsia="ru-RU"/>
        </w:rPr>
        <w:drawing>
          <wp:inline distT="0" distB="0" distL="0" distR="0" wp14:anchorId="46BEB549" wp14:editId="3F515E59">
            <wp:extent cx="6256020" cy="3200400"/>
            <wp:effectExtent l="0" t="0" r="1143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9ACFC45" w14:textId="5BCEB7A3" w:rsidR="003D0784" w:rsidRPr="00736448" w:rsidRDefault="003D0784" w:rsidP="003D0784">
      <w:pPr>
        <w:rPr>
          <w:rFonts w:ascii="Calibri Light" w:eastAsia="Times New Roman" w:hAnsi="Calibri Light" w:cs="Calibri Light"/>
          <w:i/>
          <w:sz w:val="20"/>
          <w:szCs w:val="20"/>
          <w:lang w:val="ro-MD"/>
        </w:rPr>
      </w:pPr>
      <w:r w:rsidRPr="00736448">
        <w:rPr>
          <w:rFonts w:ascii="Calibri Light" w:eastAsia="Times New Roman" w:hAnsi="Calibri Light" w:cs="Calibri Light"/>
          <w:b/>
          <w:i/>
          <w:sz w:val="20"/>
          <w:szCs w:val="20"/>
          <w:lang w:val="ro-MD"/>
        </w:rPr>
        <w:t xml:space="preserve">     Sursă:</w:t>
      </w:r>
      <w:r w:rsidRPr="00736448">
        <w:rPr>
          <w:rFonts w:ascii="Calibri Light" w:eastAsia="Times New Roman" w:hAnsi="Calibri Light" w:cs="Calibri Light"/>
          <w:i/>
          <w:sz w:val="20"/>
          <w:szCs w:val="20"/>
          <w:lang w:val="ro-MD"/>
        </w:rPr>
        <w:t xml:space="preserve"> Rapoartele privind executarea bugetului asigurărilor sociale de stat pentru anii 2019-2022</w:t>
      </w:r>
      <w:r w:rsidR="00AA6D17">
        <w:rPr>
          <w:rFonts w:ascii="Calibri Light" w:eastAsia="Times New Roman" w:hAnsi="Calibri Light" w:cs="Calibri Light"/>
          <w:i/>
          <w:sz w:val="20"/>
          <w:szCs w:val="20"/>
          <w:lang w:val="ro-MD"/>
        </w:rPr>
        <w:t>.</w:t>
      </w:r>
    </w:p>
    <w:p w14:paraId="6C56B0D7" w14:textId="03DCB891"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17</w:t>
      </w:r>
    </w:p>
    <w:p w14:paraId="54CB16C6" w14:textId="77777777" w:rsidR="003D0784" w:rsidRPr="00736448" w:rsidRDefault="003D0784" w:rsidP="003D0784">
      <w:pPr>
        <w:widowControl w:val="0"/>
        <w:spacing w:after="0" w:line="276" w:lineRule="auto"/>
        <w:jc w:val="center"/>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Cheltuielile bugetului asigurărilor sociale de stat în anul 2022 </w:t>
      </w:r>
    </w:p>
    <w:p w14:paraId="0E358EB6" w14:textId="77777777" w:rsidR="003D0784" w:rsidRPr="00736448" w:rsidRDefault="003D0784" w:rsidP="003D0784">
      <w:pPr>
        <w:widowControl w:val="0"/>
        <w:spacing w:after="0" w:line="276" w:lineRule="auto"/>
        <w:jc w:val="right"/>
        <w:rPr>
          <w:rFonts w:ascii="Calibri Light" w:eastAsia="Times New Roman" w:hAnsi="Calibri Light" w:cs="Calibri Light"/>
          <w:b/>
          <w:sz w:val="20"/>
          <w:szCs w:val="20"/>
          <w:lang w:val="ro-MD"/>
        </w:rPr>
      </w:pPr>
      <w:r w:rsidRPr="00736448">
        <w:rPr>
          <w:rFonts w:ascii="Calibri Light" w:eastAsia="Times New Roman" w:hAnsi="Calibri Light" w:cs="Calibri Light"/>
          <w:b/>
          <w:sz w:val="20"/>
          <w:szCs w:val="20"/>
          <w:lang w:val="ro-MD"/>
        </w:rPr>
        <w:t>(mil. lei)</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718"/>
        <w:gridCol w:w="745"/>
        <w:gridCol w:w="809"/>
        <w:gridCol w:w="809"/>
        <w:gridCol w:w="844"/>
        <w:gridCol w:w="809"/>
        <w:gridCol w:w="914"/>
        <w:gridCol w:w="763"/>
        <w:gridCol w:w="768"/>
        <w:gridCol w:w="763"/>
        <w:gridCol w:w="1037"/>
      </w:tblGrid>
      <w:tr w:rsidR="003D0784" w:rsidRPr="00B7675F" w14:paraId="30E3C6BA" w14:textId="77777777" w:rsidTr="00B27804">
        <w:trPr>
          <w:trHeight w:val="292"/>
        </w:trPr>
        <w:tc>
          <w:tcPr>
            <w:tcW w:w="1718" w:type="dxa"/>
            <w:vMerge w:val="restart"/>
            <w:shd w:val="clear" w:color="auto" w:fill="FFFFFF" w:themeFill="background1"/>
            <w:vAlign w:val="center"/>
            <w:hideMark/>
          </w:tcPr>
          <w:p w14:paraId="37B09B5C"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Indicatorii</w:t>
            </w:r>
          </w:p>
        </w:tc>
        <w:tc>
          <w:tcPr>
            <w:tcW w:w="745" w:type="dxa"/>
            <w:shd w:val="clear" w:color="auto" w:fill="FFFFFF" w:themeFill="background1"/>
            <w:vAlign w:val="center"/>
            <w:hideMark/>
          </w:tcPr>
          <w:p w14:paraId="0D44D797"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Cod</w:t>
            </w:r>
          </w:p>
        </w:tc>
        <w:tc>
          <w:tcPr>
            <w:tcW w:w="4185" w:type="dxa"/>
            <w:gridSpan w:val="5"/>
            <w:shd w:val="clear" w:color="auto" w:fill="FFFFFF" w:themeFill="background1"/>
            <w:vAlign w:val="center"/>
            <w:hideMark/>
          </w:tcPr>
          <w:p w14:paraId="250F740E"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2022</w:t>
            </w:r>
          </w:p>
        </w:tc>
        <w:tc>
          <w:tcPr>
            <w:tcW w:w="3331" w:type="dxa"/>
            <w:gridSpan w:val="4"/>
            <w:shd w:val="clear" w:color="auto" w:fill="FFFFFF" w:themeFill="background1"/>
            <w:vAlign w:val="center"/>
            <w:hideMark/>
          </w:tcPr>
          <w:p w14:paraId="5CE3F967"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Devieri</w:t>
            </w:r>
          </w:p>
        </w:tc>
      </w:tr>
      <w:tr w:rsidR="003D0784" w:rsidRPr="00B7675F" w14:paraId="4F513DBE" w14:textId="77777777" w:rsidTr="00B27804">
        <w:trPr>
          <w:trHeight w:val="769"/>
        </w:trPr>
        <w:tc>
          <w:tcPr>
            <w:tcW w:w="1718" w:type="dxa"/>
            <w:vMerge/>
            <w:tcBorders>
              <w:bottom w:val="single" w:sz="4" w:space="0" w:color="auto"/>
            </w:tcBorders>
            <w:shd w:val="clear" w:color="auto" w:fill="FFFFFF" w:themeFill="background1"/>
            <w:vAlign w:val="center"/>
            <w:hideMark/>
          </w:tcPr>
          <w:p w14:paraId="2D4B8D09"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p>
        </w:tc>
        <w:tc>
          <w:tcPr>
            <w:tcW w:w="745" w:type="dxa"/>
            <w:vMerge w:val="restart"/>
            <w:tcBorders>
              <w:bottom w:val="single" w:sz="4" w:space="0" w:color="auto"/>
            </w:tcBorders>
            <w:shd w:val="clear" w:color="auto" w:fill="FFFFFF" w:themeFill="background1"/>
            <w:vAlign w:val="center"/>
            <w:hideMark/>
          </w:tcPr>
          <w:p w14:paraId="466E6657"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Eco</w:t>
            </w:r>
          </w:p>
        </w:tc>
        <w:tc>
          <w:tcPr>
            <w:tcW w:w="809" w:type="dxa"/>
            <w:vMerge w:val="restart"/>
            <w:tcBorders>
              <w:bottom w:val="single" w:sz="4" w:space="0" w:color="auto"/>
            </w:tcBorders>
            <w:shd w:val="clear" w:color="auto" w:fill="FFFFFF" w:themeFill="background1"/>
            <w:vAlign w:val="center"/>
            <w:hideMark/>
          </w:tcPr>
          <w:p w14:paraId="1458E9CE"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aprobat</w:t>
            </w:r>
          </w:p>
        </w:tc>
        <w:tc>
          <w:tcPr>
            <w:tcW w:w="809" w:type="dxa"/>
            <w:vMerge w:val="restart"/>
            <w:tcBorders>
              <w:bottom w:val="single" w:sz="4" w:space="0" w:color="auto"/>
            </w:tcBorders>
            <w:shd w:val="clear" w:color="auto" w:fill="FFFFFF" w:themeFill="background1"/>
            <w:vAlign w:val="center"/>
            <w:hideMark/>
          </w:tcPr>
          <w:p w14:paraId="320E4147"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precizat</w:t>
            </w:r>
          </w:p>
        </w:tc>
        <w:tc>
          <w:tcPr>
            <w:tcW w:w="844" w:type="dxa"/>
            <w:vMerge w:val="restart"/>
            <w:tcBorders>
              <w:bottom w:val="single" w:sz="4" w:space="0" w:color="auto"/>
            </w:tcBorders>
            <w:shd w:val="clear" w:color="auto" w:fill="FFFFFF" w:themeFill="background1"/>
            <w:vAlign w:val="center"/>
            <w:hideMark/>
          </w:tcPr>
          <w:p w14:paraId="67EB1888"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executat</w:t>
            </w:r>
          </w:p>
        </w:tc>
        <w:tc>
          <w:tcPr>
            <w:tcW w:w="809" w:type="dxa"/>
            <w:vMerge w:val="restart"/>
            <w:tcBorders>
              <w:bottom w:val="single" w:sz="4" w:space="0" w:color="auto"/>
            </w:tcBorders>
            <w:shd w:val="clear" w:color="auto" w:fill="FFFFFF" w:themeFill="background1"/>
            <w:vAlign w:val="center"/>
            <w:hideMark/>
          </w:tcPr>
          <w:p w14:paraId="41190E25"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efectiv</w:t>
            </w:r>
          </w:p>
        </w:tc>
        <w:tc>
          <w:tcPr>
            <w:tcW w:w="914" w:type="dxa"/>
            <w:tcBorders>
              <w:bottom w:val="single" w:sz="4" w:space="0" w:color="auto"/>
            </w:tcBorders>
            <w:shd w:val="clear" w:color="auto" w:fill="FFFFFF" w:themeFill="background1"/>
            <w:vAlign w:val="center"/>
            <w:hideMark/>
          </w:tcPr>
          <w:p w14:paraId="79407B21"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Ponderea în suma</w:t>
            </w:r>
          </w:p>
          <w:p w14:paraId="39C08B16"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totală</w:t>
            </w:r>
          </w:p>
        </w:tc>
        <w:tc>
          <w:tcPr>
            <w:tcW w:w="1531" w:type="dxa"/>
            <w:gridSpan w:val="2"/>
            <w:tcBorders>
              <w:bottom w:val="single" w:sz="4" w:space="0" w:color="auto"/>
            </w:tcBorders>
            <w:shd w:val="clear" w:color="auto" w:fill="FFFFFF" w:themeFill="background1"/>
            <w:vAlign w:val="center"/>
            <w:hideMark/>
          </w:tcPr>
          <w:p w14:paraId="2AA4ACA0"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executat față de precizat</w:t>
            </w:r>
          </w:p>
        </w:tc>
        <w:tc>
          <w:tcPr>
            <w:tcW w:w="1800" w:type="dxa"/>
            <w:gridSpan w:val="2"/>
            <w:tcBorders>
              <w:bottom w:val="single" w:sz="4" w:space="0" w:color="auto"/>
            </w:tcBorders>
            <w:shd w:val="clear" w:color="auto" w:fill="FFFFFF" w:themeFill="background1"/>
            <w:vAlign w:val="center"/>
            <w:hideMark/>
          </w:tcPr>
          <w:p w14:paraId="0A7F439B"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efectiv față de precizat</w:t>
            </w:r>
          </w:p>
        </w:tc>
      </w:tr>
      <w:tr w:rsidR="003D0784" w:rsidRPr="00B7675F" w14:paraId="688EBC8F" w14:textId="77777777" w:rsidTr="00B27804">
        <w:trPr>
          <w:trHeight w:val="292"/>
        </w:trPr>
        <w:tc>
          <w:tcPr>
            <w:tcW w:w="1718" w:type="dxa"/>
            <w:vMerge/>
            <w:shd w:val="clear" w:color="auto" w:fill="FFFFFF" w:themeFill="background1"/>
            <w:vAlign w:val="center"/>
            <w:hideMark/>
          </w:tcPr>
          <w:p w14:paraId="7ABA70D8"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p>
        </w:tc>
        <w:tc>
          <w:tcPr>
            <w:tcW w:w="745" w:type="dxa"/>
            <w:vMerge/>
            <w:shd w:val="clear" w:color="auto" w:fill="FFFFFF" w:themeFill="background1"/>
            <w:vAlign w:val="center"/>
            <w:hideMark/>
          </w:tcPr>
          <w:p w14:paraId="5D8811F7" w14:textId="77777777" w:rsidR="003D0784" w:rsidRPr="00736448" w:rsidRDefault="003D0784" w:rsidP="005F6348">
            <w:pPr>
              <w:spacing w:after="0" w:line="240" w:lineRule="auto"/>
              <w:jc w:val="center"/>
              <w:rPr>
                <w:rFonts w:asciiTheme="majorHAnsi" w:eastAsia="Times New Roman" w:hAnsiTheme="majorHAnsi" w:cstheme="majorHAnsi"/>
                <w:color w:val="000000"/>
                <w:sz w:val="18"/>
                <w:szCs w:val="18"/>
                <w:lang w:val="ro-MD"/>
              </w:rPr>
            </w:pPr>
          </w:p>
        </w:tc>
        <w:tc>
          <w:tcPr>
            <w:tcW w:w="809" w:type="dxa"/>
            <w:vMerge/>
            <w:shd w:val="clear" w:color="auto" w:fill="FFFFFF" w:themeFill="background1"/>
            <w:vAlign w:val="center"/>
            <w:hideMark/>
          </w:tcPr>
          <w:p w14:paraId="4826288A"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p>
        </w:tc>
        <w:tc>
          <w:tcPr>
            <w:tcW w:w="809" w:type="dxa"/>
            <w:vMerge/>
            <w:shd w:val="clear" w:color="auto" w:fill="FFFFFF" w:themeFill="background1"/>
            <w:vAlign w:val="center"/>
            <w:hideMark/>
          </w:tcPr>
          <w:p w14:paraId="7AEE20FA"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p>
        </w:tc>
        <w:tc>
          <w:tcPr>
            <w:tcW w:w="844" w:type="dxa"/>
            <w:vMerge/>
            <w:shd w:val="clear" w:color="auto" w:fill="FFFFFF" w:themeFill="background1"/>
            <w:vAlign w:val="center"/>
            <w:hideMark/>
          </w:tcPr>
          <w:p w14:paraId="1C7417C6"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p>
        </w:tc>
        <w:tc>
          <w:tcPr>
            <w:tcW w:w="809" w:type="dxa"/>
            <w:vMerge/>
            <w:shd w:val="clear" w:color="auto" w:fill="FFFFFF" w:themeFill="background1"/>
            <w:vAlign w:val="center"/>
            <w:hideMark/>
          </w:tcPr>
          <w:p w14:paraId="2CC0D1A2"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p>
        </w:tc>
        <w:tc>
          <w:tcPr>
            <w:tcW w:w="914" w:type="dxa"/>
            <w:shd w:val="clear" w:color="auto" w:fill="FFFFFF" w:themeFill="background1"/>
            <w:vAlign w:val="center"/>
            <w:hideMark/>
          </w:tcPr>
          <w:p w14:paraId="7C37115C"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w:t>
            </w:r>
          </w:p>
        </w:tc>
        <w:tc>
          <w:tcPr>
            <w:tcW w:w="763" w:type="dxa"/>
            <w:shd w:val="clear" w:color="auto" w:fill="FFFFFF" w:themeFill="background1"/>
            <w:vAlign w:val="center"/>
            <w:hideMark/>
          </w:tcPr>
          <w:p w14:paraId="67A1EAA2"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w:t>
            </w:r>
          </w:p>
        </w:tc>
        <w:tc>
          <w:tcPr>
            <w:tcW w:w="768" w:type="dxa"/>
            <w:shd w:val="clear" w:color="auto" w:fill="FFFFFF" w:themeFill="background1"/>
            <w:vAlign w:val="center"/>
            <w:hideMark/>
          </w:tcPr>
          <w:p w14:paraId="49B33E90"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w:t>
            </w:r>
          </w:p>
        </w:tc>
        <w:tc>
          <w:tcPr>
            <w:tcW w:w="763" w:type="dxa"/>
            <w:shd w:val="clear" w:color="auto" w:fill="FFFFFF" w:themeFill="background1"/>
            <w:vAlign w:val="center"/>
            <w:hideMark/>
          </w:tcPr>
          <w:p w14:paraId="7C7401DC"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w:t>
            </w:r>
          </w:p>
        </w:tc>
        <w:tc>
          <w:tcPr>
            <w:tcW w:w="1037" w:type="dxa"/>
            <w:shd w:val="clear" w:color="auto" w:fill="FFFFFF" w:themeFill="background1"/>
            <w:vAlign w:val="center"/>
            <w:hideMark/>
          </w:tcPr>
          <w:p w14:paraId="0978562D" w14:textId="77777777" w:rsidR="003D0784" w:rsidRPr="00736448" w:rsidRDefault="003D0784" w:rsidP="005F6348">
            <w:pPr>
              <w:spacing w:after="0" w:line="240" w:lineRule="auto"/>
              <w:jc w:val="center"/>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w:t>
            </w:r>
          </w:p>
        </w:tc>
      </w:tr>
      <w:tr w:rsidR="003D0784" w:rsidRPr="00B7675F" w14:paraId="0A8D8536" w14:textId="77777777" w:rsidTr="00B27804">
        <w:trPr>
          <w:trHeight w:val="292"/>
        </w:trPr>
        <w:tc>
          <w:tcPr>
            <w:tcW w:w="1718" w:type="dxa"/>
            <w:shd w:val="clear" w:color="auto" w:fill="FFFFFF" w:themeFill="background1"/>
            <w:hideMark/>
          </w:tcPr>
          <w:p w14:paraId="46E4AD57"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Ab</w:t>
            </w:r>
          </w:p>
        </w:tc>
        <w:tc>
          <w:tcPr>
            <w:tcW w:w="745" w:type="dxa"/>
            <w:shd w:val="clear" w:color="auto" w:fill="FFFFFF" w:themeFill="background1"/>
            <w:vAlign w:val="center"/>
            <w:hideMark/>
          </w:tcPr>
          <w:p w14:paraId="4DDAB1F4"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1</w:t>
            </w:r>
          </w:p>
        </w:tc>
        <w:tc>
          <w:tcPr>
            <w:tcW w:w="809" w:type="dxa"/>
            <w:shd w:val="clear" w:color="auto" w:fill="FFFFFF" w:themeFill="background1"/>
            <w:hideMark/>
          </w:tcPr>
          <w:p w14:paraId="59E9C531"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w:t>
            </w:r>
          </w:p>
        </w:tc>
        <w:tc>
          <w:tcPr>
            <w:tcW w:w="809" w:type="dxa"/>
            <w:shd w:val="clear" w:color="auto" w:fill="FFFFFF" w:themeFill="background1"/>
            <w:hideMark/>
          </w:tcPr>
          <w:p w14:paraId="783EC3B0"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3</w:t>
            </w:r>
          </w:p>
        </w:tc>
        <w:tc>
          <w:tcPr>
            <w:tcW w:w="844" w:type="dxa"/>
            <w:shd w:val="clear" w:color="auto" w:fill="FFFFFF" w:themeFill="background1"/>
            <w:hideMark/>
          </w:tcPr>
          <w:p w14:paraId="1AE61D71"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4</w:t>
            </w:r>
          </w:p>
        </w:tc>
        <w:tc>
          <w:tcPr>
            <w:tcW w:w="809" w:type="dxa"/>
            <w:shd w:val="clear" w:color="auto" w:fill="FFFFFF" w:themeFill="background1"/>
            <w:hideMark/>
          </w:tcPr>
          <w:p w14:paraId="09043E1D"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5</w:t>
            </w:r>
          </w:p>
        </w:tc>
        <w:tc>
          <w:tcPr>
            <w:tcW w:w="914" w:type="dxa"/>
            <w:shd w:val="clear" w:color="auto" w:fill="FFFFFF" w:themeFill="background1"/>
            <w:hideMark/>
          </w:tcPr>
          <w:p w14:paraId="02CF8BA5"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6</w:t>
            </w:r>
          </w:p>
        </w:tc>
        <w:tc>
          <w:tcPr>
            <w:tcW w:w="763" w:type="dxa"/>
            <w:shd w:val="clear" w:color="auto" w:fill="FFFFFF" w:themeFill="background1"/>
            <w:hideMark/>
          </w:tcPr>
          <w:p w14:paraId="6F2CF9C0"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7</w:t>
            </w:r>
          </w:p>
        </w:tc>
        <w:tc>
          <w:tcPr>
            <w:tcW w:w="768" w:type="dxa"/>
            <w:shd w:val="clear" w:color="auto" w:fill="FFFFFF" w:themeFill="background1"/>
            <w:hideMark/>
          </w:tcPr>
          <w:p w14:paraId="2B763F87"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8</w:t>
            </w:r>
          </w:p>
        </w:tc>
        <w:tc>
          <w:tcPr>
            <w:tcW w:w="763" w:type="dxa"/>
            <w:shd w:val="clear" w:color="auto" w:fill="FFFFFF" w:themeFill="background1"/>
            <w:hideMark/>
          </w:tcPr>
          <w:p w14:paraId="726FE380"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9</w:t>
            </w:r>
          </w:p>
        </w:tc>
        <w:tc>
          <w:tcPr>
            <w:tcW w:w="1037" w:type="dxa"/>
            <w:shd w:val="clear" w:color="auto" w:fill="FFFFFF" w:themeFill="background1"/>
            <w:hideMark/>
          </w:tcPr>
          <w:p w14:paraId="49778DF3" w14:textId="77777777" w:rsidR="003D0784" w:rsidRPr="00736448" w:rsidRDefault="003D0784" w:rsidP="005F6348">
            <w:pPr>
              <w:spacing w:after="0" w:line="240" w:lineRule="auto"/>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10</w:t>
            </w:r>
          </w:p>
        </w:tc>
      </w:tr>
      <w:tr w:rsidR="003D0784" w:rsidRPr="00B7675F" w14:paraId="0447FE2A" w14:textId="77777777" w:rsidTr="00B27804">
        <w:trPr>
          <w:trHeight w:val="292"/>
        </w:trPr>
        <w:tc>
          <w:tcPr>
            <w:tcW w:w="1718" w:type="dxa"/>
            <w:shd w:val="clear" w:color="auto" w:fill="FFFFFF" w:themeFill="background1"/>
            <w:vAlign w:val="bottom"/>
            <w:hideMark/>
          </w:tcPr>
          <w:p w14:paraId="723C2B9A"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Cheltuieli,</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b/>
                <w:bCs/>
                <w:color w:val="000000"/>
                <w:sz w:val="18"/>
                <w:szCs w:val="18"/>
                <w:lang w:val="ro-MD"/>
              </w:rPr>
              <w:t>total</w:t>
            </w:r>
          </w:p>
        </w:tc>
        <w:tc>
          <w:tcPr>
            <w:tcW w:w="745" w:type="dxa"/>
            <w:shd w:val="clear" w:color="auto" w:fill="FFFFFF" w:themeFill="background1"/>
            <w:vAlign w:val="center"/>
            <w:hideMark/>
          </w:tcPr>
          <w:p w14:paraId="09619BA0"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2+3</w:t>
            </w:r>
          </w:p>
        </w:tc>
        <w:tc>
          <w:tcPr>
            <w:tcW w:w="809" w:type="dxa"/>
            <w:shd w:val="clear" w:color="auto" w:fill="FFFFFF" w:themeFill="background1"/>
            <w:vAlign w:val="center"/>
            <w:hideMark/>
          </w:tcPr>
          <w:p w14:paraId="009BF32A"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31224.2</w:t>
            </w:r>
          </w:p>
        </w:tc>
        <w:tc>
          <w:tcPr>
            <w:tcW w:w="809" w:type="dxa"/>
            <w:shd w:val="clear" w:color="auto" w:fill="FFFFFF" w:themeFill="background1"/>
            <w:vAlign w:val="center"/>
            <w:hideMark/>
          </w:tcPr>
          <w:p w14:paraId="79CC41E9"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34200.6</w:t>
            </w:r>
          </w:p>
        </w:tc>
        <w:tc>
          <w:tcPr>
            <w:tcW w:w="844" w:type="dxa"/>
            <w:shd w:val="clear" w:color="auto" w:fill="FFFFFF" w:themeFill="background1"/>
            <w:vAlign w:val="center"/>
            <w:hideMark/>
          </w:tcPr>
          <w:p w14:paraId="2C097591"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33745.3</w:t>
            </w:r>
          </w:p>
        </w:tc>
        <w:tc>
          <w:tcPr>
            <w:tcW w:w="809" w:type="dxa"/>
            <w:shd w:val="clear" w:color="auto" w:fill="FFFFFF" w:themeFill="background1"/>
            <w:vAlign w:val="center"/>
            <w:hideMark/>
          </w:tcPr>
          <w:p w14:paraId="01F00CAD"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33773.3</w:t>
            </w:r>
          </w:p>
        </w:tc>
        <w:tc>
          <w:tcPr>
            <w:tcW w:w="914" w:type="dxa"/>
            <w:shd w:val="clear" w:color="auto" w:fill="FFFFFF" w:themeFill="background1"/>
            <w:vAlign w:val="center"/>
            <w:hideMark/>
          </w:tcPr>
          <w:p w14:paraId="712309E2"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100.00%</w:t>
            </w:r>
          </w:p>
        </w:tc>
        <w:tc>
          <w:tcPr>
            <w:tcW w:w="763" w:type="dxa"/>
            <w:shd w:val="clear" w:color="auto" w:fill="FFFFFF" w:themeFill="background1"/>
            <w:vAlign w:val="center"/>
            <w:hideMark/>
          </w:tcPr>
          <w:p w14:paraId="683F166B"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-455.3</w:t>
            </w:r>
          </w:p>
        </w:tc>
        <w:tc>
          <w:tcPr>
            <w:tcW w:w="768" w:type="dxa"/>
            <w:shd w:val="clear" w:color="auto" w:fill="FFFFFF" w:themeFill="background1"/>
            <w:vAlign w:val="center"/>
            <w:hideMark/>
          </w:tcPr>
          <w:p w14:paraId="574BE641"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98.7%</w:t>
            </w:r>
          </w:p>
        </w:tc>
        <w:tc>
          <w:tcPr>
            <w:tcW w:w="763" w:type="dxa"/>
            <w:shd w:val="clear" w:color="auto" w:fill="FFFFFF" w:themeFill="background1"/>
            <w:vAlign w:val="center"/>
            <w:hideMark/>
          </w:tcPr>
          <w:p w14:paraId="15CD2E39"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-427.3</w:t>
            </w:r>
          </w:p>
        </w:tc>
        <w:tc>
          <w:tcPr>
            <w:tcW w:w="1037" w:type="dxa"/>
            <w:shd w:val="clear" w:color="auto" w:fill="FFFFFF" w:themeFill="background1"/>
            <w:vAlign w:val="center"/>
            <w:hideMark/>
          </w:tcPr>
          <w:p w14:paraId="7B72F5AE"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98.8%</w:t>
            </w:r>
          </w:p>
        </w:tc>
      </w:tr>
      <w:tr w:rsidR="003D0784" w:rsidRPr="00B7675F" w14:paraId="4A5F6AC9" w14:textId="77777777" w:rsidTr="00B27804">
        <w:trPr>
          <w:trHeight w:val="292"/>
        </w:trPr>
        <w:tc>
          <w:tcPr>
            <w:tcW w:w="1718" w:type="dxa"/>
            <w:shd w:val="clear" w:color="auto" w:fill="FFFFFF" w:themeFill="background1"/>
            <w:vAlign w:val="bottom"/>
            <w:hideMark/>
          </w:tcPr>
          <w:p w14:paraId="58EE3EBD" w14:textId="77777777" w:rsidR="003D0784" w:rsidRPr="00736448" w:rsidRDefault="003D0784" w:rsidP="005F6348">
            <w:pPr>
              <w:spacing w:after="0" w:line="240" w:lineRule="auto"/>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Cheltuieli</w:t>
            </w:r>
          </w:p>
        </w:tc>
        <w:tc>
          <w:tcPr>
            <w:tcW w:w="745" w:type="dxa"/>
            <w:shd w:val="clear" w:color="auto" w:fill="FFFFFF" w:themeFill="background1"/>
            <w:vAlign w:val="center"/>
            <w:hideMark/>
          </w:tcPr>
          <w:p w14:paraId="46E9BC51"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w:t>
            </w:r>
          </w:p>
        </w:tc>
        <w:tc>
          <w:tcPr>
            <w:tcW w:w="809" w:type="dxa"/>
            <w:shd w:val="clear" w:color="auto" w:fill="FFFFFF" w:themeFill="background1"/>
            <w:vAlign w:val="center"/>
            <w:hideMark/>
          </w:tcPr>
          <w:p w14:paraId="0FEA393C"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31203.2</w:t>
            </w:r>
          </w:p>
        </w:tc>
        <w:tc>
          <w:tcPr>
            <w:tcW w:w="809" w:type="dxa"/>
            <w:shd w:val="clear" w:color="auto" w:fill="FFFFFF" w:themeFill="background1"/>
            <w:vAlign w:val="center"/>
            <w:hideMark/>
          </w:tcPr>
          <w:p w14:paraId="27A2630D"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34180.7</w:t>
            </w:r>
          </w:p>
        </w:tc>
        <w:tc>
          <w:tcPr>
            <w:tcW w:w="844" w:type="dxa"/>
            <w:shd w:val="clear" w:color="auto" w:fill="FFFFFF" w:themeFill="background1"/>
            <w:vAlign w:val="center"/>
            <w:hideMark/>
          </w:tcPr>
          <w:p w14:paraId="1BBEC2AA"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33728.3</w:t>
            </w:r>
          </w:p>
        </w:tc>
        <w:tc>
          <w:tcPr>
            <w:tcW w:w="809" w:type="dxa"/>
            <w:shd w:val="clear" w:color="auto" w:fill="FFFFFF" w:themeFill="background1"/>
            <w:vAlign w:val="center"/>
            <w:hideMark/>
          </w:tcPr>
          <w:p w14:paraId="003EBE8A"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33757.2</w:t>
            </w:r>
          </w:p>
        </w:tc>
        <w:tc>
          <w:tcPr>
            <w:tcW w:w="914" w:type="dxa"/>
            <w:shd w:val="clear" w:color="auto" w:fill="FFFFFF" w:themeFill="background1"/>
            <w:vAlign w:val="center"/>
            <w:hideMark/>
          </w:tcPr>
          <w:p w14:paraId="02207241"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99.95%</w:t>
            </w:r>
          </w:p>
        </w:tc>
        <w:tc>
          <w:tcPr>
            <w:tcW w:w="763" w:type="dxa"/>
            <w:shd w:val="clear" w:color="auto" w:fill="FFFFFF" w:themeFill="background1"/>
            <w:vAlign w:val="center"/>
            <w:hideMark/>
          </w:tcPr>
          <w:p w14:paraId="31CBCAFB"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-452.4</w:t>
            </w:r>
          </w:p>
        </w:tc>
        <w:tc>
          <w:tcPr>
            <w:tcW w:w="768" w:type="dxa"/>
            <w:shd w:val="clear" w:color="auto" w:fill="FFFFFF" w:themeFill="background1"/>
            <w:vAlign w:val="center"/>
            <w:hideMark/>
          </w:tcPr>
          <w:p w14:paraId="7236DD34"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98.7%</w:t>
            </w:r>
          </w:p>
        </w:tc>
        <w:tc>
          <w:tcPr>
            <w:tcW w:w="763" w:type="dxa"/>
            <w:shd w:val="clear" w:color="auto" w:fill="FFFFFF" w:themeFill="background1"/>
            <w:vAlign w:val="center"/>
            <w:hideMark/>
          </w:tcPr>
          <w:p w14:paraId="3DD112A2"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-423.5</w:t>
            </w:r>
          </w:p>
        </w:tc>
        <w:tc>
          <w:tcPr>
            <w:tcW w:w="1037" w:type="dxa"/>
            <w:shd w:val="clear" w:color="auto" w:fill="FFFFFF" w:themeFill="background1"/>
            <w:vAlign w:val="center"/>
            <w:hideMark/>
          </w:tcPr>
          <w:p w14:paraId="18C4A0F4"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98.8%</w:t>
            </w:r>
          </w:p>
        </w:tc>
      </w:tr>
      <w:tr w:rsidR="003D0784" w:rsidRPr="00B7675F" w14:paraId="32FF899C" w14:textId="77777777" w:rsidTr="00B27804">
        <w:trPr>
          <w:trHeight w:val="292"/>
        </w:trPr>
        <w:tc>
          <w:tcPr>
            <w:tcW w:w="1718" w:type="dxa"/>
            <w:shd w:val="clear" w:color="auto" w:fill="FFFFFF" w:themeFill="background1"/>
            <w:vAlign w:val="bottom"/>
            <w:hideMark/>
          </w:tcPr>
          <w:p w14:paraId="4990790F"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Cheltuieli de personal</w:t>
            </w:r>
          </w:p>
        </w:tc>
        <w:tc>
          <w:tcPr>
            <w:tcW w:w="745" w:type="dxa"/>
            <w:shd w:val="clear" w:color="auto" w:fill="FFFFFF" w:themeFill="background1"/>
            <w:vAlign w:val="center"/>
            <w:hideMark/>
          </w:tcPr>
          <w:p w14:paraId="46811EB3"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21</w:t>
            </w:r>
          </w:p>
        </w:tc>
        <w:tc>
          <w:tcPr>
            <w:tcW w:w="809" w:type="dxa"/>
            <w:shd w:val="clear" w:color="auto" w:fill="FFFFFF" w:themeFill="background1"/>
            <w:vAlign w:val="center"/>
            <w:hideMark/>
          </w:tcPr>
          <w:p w14:paraId="6283823B"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184.9</w:t>
            </w:r>
          </w:p>
        </w:tc>
        <w:tc>
          <w:tcPr>
            <w:tcW w:w="809" w:type="dxa"/>
            <w:shd w:val="clear" w:color="auto" w:fill="FFFFFF" w:themeFill="background1"/>
            <w:vAlign w:val="center"/>
            <w:hideMark/>
          </w:tcPr>
          <w:p w14:paraId="6A27FD07"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188.8</w:t>
            </w:r>
          </w:p>
        </w:tc>
        <w:tc>
          <w:tcPr>
            <w:tcW w:w="844" w:type="dxa"/>
            <w:shd w:val="clear" w:color="auto" w:fill="FFFFFF" w:themeFill="background1"/>
            <w:vAlign w:val="center"/>
            <w:hideMark/>
          </w:tcPr>
          <w:p w14:paraId="1B22EF74"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185.7</w:t>
            </w:r>
          </w:p>
        </w:tc>
        <w:tc>
          <w:tcPr>
            <w:tcW w:w="809" w:type="dxa"/>
            <w:shd w:val="clear" w:color="auto" w:fill="FFFFFF" w:themeFill="background1"/>
            <w:vAlign w:val="center"/>
            <w:hideMark/>
          </w:tcPr>
          <w:p w14:paraId="2648FCEC"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186.7</w:t>
            </w:r>
          </w:p>
        </w:tc>
        <w:tc>
          <w:tcPr>
            <w:tcW w:w="914" w:type="dxa"/>
            <w:shd w:val="clear" w:color="auto" w:fill="FFFFFF" w:themeFill="background1"/>
            <w:vAlign w:val="center"/>
            <w:hideMark/>
          </w:tcPr>
          <w:p w14:paraId="591BC406"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0.55%</w:t>
            </w:r>
          </w:p>
        </w:tc>
        <w:tc>
          <w:tcPr>
            <w:tcW w:w="763" w:type="dxa"/>
            <w:shd w:val="clear" w:color="auto" w:fill="FFFFFF" w:themeFill="background1"/>
            <w:vAlign w:val="center"/>
            <w:hideMark/>
          </w:tcPr>
          <w:p w14:paraId="193BEF4D"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-3.1</w:t>
            </w:r>
          </w:p>
        </w:tc>
        <w:tc>
          <w:tcPr>
            <w:tcW w:w="768" w:type="dxa"/>
            <w:shd w:val="clear" w:color="auto" w:fill="FFFFFF" w:themeFill="background1"/>
            <w:vAlign w:val="center"/>
            <w:hideMark/>
          </w:tcPr>
          <w:p w14:paraId="2B581DA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98.4%</w:t>
            </w:r>
          </w:p>
        </w:tc>
        <w:tc>
          <w:tcPr>
            <w:tcW w:w="763" w:type="dxa"/>
            <w:shd w:val="clear" w:color="auto" w:fill="FFFFFF" w:themeFill="background1"/>
            <w:vAlign w:val="center"/>
            <w:hideMark/>
          </w:tcPr>
          <w:p w14:paraId="6E75C6AF"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-2.1</w:t>
            </w:r>
          </w:p>
        </w:tc>
        <w:tc>
          <w:tcPr>
            <w:tcW w:w="1037" w:type="dxa"/>
            <w:shd w:val="clear" w:color="auto" w:fill="FFFFFF" w:themeFill="background1"/>
            <w:vAlign w:val="center"/>
            <w:hideMark/>
          </w:tcPr>
          <w:p w14:paraId="37542AED"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98.9%</w:t>
            </w:r>
          </w:p>
        </w:tc>
      </w:tr>
      <w:tr w:rsidR="003D0784" w:rsidRPr="00B7675F" w14:paraId="1916ADDC" w14:textId="77777777" w:rsidTr="00B27804">
        <w:trPr>
          <w:trHeight w:val="292"/>
        </w:trPr>
        <w:tc>
          <w:tcPr>
            <w:tcW w:w="1718" w:type="dxa"/>
            <w:shd w:val="clear" w:color="auto" w:fill="FFFFFF" w:themeFill="background1"/>
            <w:vAlign w:val="bottom"/>
            <w:hideMark/>
          </w:tcPr>
          <w:p w14:paraId="104EF267"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Bunuri şi servicii</w:t>
            </w:r>
          </w:p>
        </w:tc>
        <w:tc>
          <w:tcPr>
            <w:tcW w:w="745" w:type="dxa"/>
            <w:shd w:val="clear" w:color="auto" w:fill="FFFFFF" w:themeFill="background1"/>
            <w:vAlign w:val="center"/>
            <w:hideMark/>
          </w:tcPr>
          <w:p w14:paraId="3FB60CE5"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22</w:t>
            </w:r>
          </w:p>
        </w:tc>
        <w:tc>
          <w:tcPr>
            <w:tcW w:w="809" w:type="dxa"/>
            <w:shd w:val="clear" w:color="auto" w:fill="FFFFFF" w:themeFill="background1"/>
            <w:vAlign w:val="center"/>
            <w:hideMark/>
          </w:tcPr>
          <w:p w14:paraId="46197EDD"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329.2</w:t>
            </w:r>
          </w:p>
        </w:tc>
        <w:tc>
          <w:tcPr>
            <w:tcW w:w="809" w:type="dxa"/>
            <w:shd w:val="clear" w:color="auto" w:fill="FFFFFF" w:themeFill="background1"/>
            <w:vAlign w:val="center"/>
            <w:hideMark/>
          </w:tcPr>
          <w:p w14:paraId="5B24BDAC"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280</w:t>
            </w:r>
          </w:p>
        </w:tc>
        <w:tc>
          <w:tcPr>
            <w:tcW w:w="844" w:type="dxa"/>
            <w:shd w:val="clear" w:color="auto" w:fill="FFFFFF" w:themeFill="background1"/>
            <w:vAlign w:val="center"/>
            <w:hideMark/>
          </w:tcPr>
          <w:p w14:paraId="2B8D641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243.3</w:t>
            </w:r>
          </w:p>
        </w:tc>
        <w:tc>
          <w:tcPr>
            <w:tcW w:w="809" w:type="dxa"/>
            <w:shd w:val="clear" w:color="auto" w:fill="FFFFFF" w:themeFill="background1"/>
            <w:vAlign w:val="center"/>
            <w:hideMark/>
          </w:tcPr>
          <w:p w14:paraId="6A44F8A7"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242.9</w:t>
            </w:r>
          </w:p>
        </w:tc>
        <w:tc>
          <w:tcPr>
            <w:tcW w:w="914" w:type="dxa"/>
            <w:shd w:val="clear" w:color="auto" w:fill="FFFFFF" w:themeFill="background1"/>
            <w:vAlign w:val="center"/>
            <w:hideMark/>
          </w:tcPr>
          <w:p w14:paraId="73041101"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0.72%</w:t>
            </w:r>
          </w:p>
        </w:tc>
        <w:tc>
          <w:tcPr>
            <w:tcW w:w="763" w:type="dxa"/>
            <w:shd w:val="clear" w:color="auto" w:fill="FFFFFF" w:themeFill="background1"/>
            <w:vAlign w:val="center"/>
            <w:hideMark/>
          </w:tcPr>
          <w:p w14:paraId="7E0D5A9B"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-36.7</w:t>
            </w:r>
          </w:p>
        </w:tc>
        <w:tc>
          <w:tcPr>
            <w:tcW w:w="768" w:type="dxa"/>
            <w:shd w:val="clear" w:color="auto" w:fill="FFFFFF" w:themeFill="background1"/>
            <w:vAlign w:val="center"/>
            <w:hideMark/>
          </w:tcPr>
          <w:p w14:paraId="6159E744"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86.9%</w:t>
            </w:r>
          </w:p>
        </w:tc>
        <w:tc>
          <w:tcPr>
            <w:tcW w:w="763" w:type="dxa"/>
            <w:shd w:val="clear" w:color="auto" w:fill="FFFFFF" w:themeFill="background1"/>
            <w:vAlign w:val="center"/>
            <w:hideMark/>
          </w:tcPr>
          <w:p w14:paraId="5109F864"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-37.1</w:t>
            </w:r>
          </w:p>
        </w:tc>
        <w:tc>
          <w:tcPr>
            <w:tcW w:w="1037" w:type="dxa"/>
            <w:shd w:val="clear" w:color="auto" w:fill="FFFFFF" w:themeFill="background1"/>
            <w:vAlign w:val="center"/>
            <w:hideMark/>
          </w:tcPr>
          <w:p w14:paraId="068AE242"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86.8%</w:t>
            </w:r>
          </w:p>
        </w:tc>
      </w:tr>
      <w:tr w:rsidR="003D0784" w:rsidRPr="00B7675F" w14:paraId="5FCA0632" w14:textId="77777777" w:rsidTr="00B27804">
        <w:trPr>
          <w:trHeight w:val="292"/>
        </w:trPr>
        <w:tc>
          <w:tcPr>
            <w:tcW w:w="1718" w:type="dxa"/>
            <w:shd w:val="clear" w:color="auto" w:fill="FFFFFF" w:themeFill="background1"/>
            <w:vAlign w:val="bottom"/>
            <w:hideMark/>
          </w:tcPr>
          <w:p w14:paraId="16188706"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Prestații</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b/>
                <w:bCs/>
                <w:color w:val="000000"/>
                <w:sz w:val="18"/>
                <w:szCs w:val="18"/>
                <w:lang w:val="ro-MD"/>
              </w:rPr>
              <w:t>sociale</w:t>
            </w:r>
          </w:p>
        </w:tc>
        <w:tc>
          <w:tcPr>
            <w:tcW w:w="745" w:type="dxa"/>
            <w:shd w:val="clear" w:color="auto" w:fill="FFFFFF" w:themeFill="background1"/>
            <w:vAlign w:val="center"/>
            <w:hideMark/>
          </w:tcPr>
          <w:p w14:paraId="4600AA33"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27</w:t>
            </w:r>
          </w:p>
        </w:tc>
        <w:tc>
          <w:tcPr>
            <w:tcW w:w="809" w:type="dxa"/>
            <w:shd w:val="clear" w:color="auto" w:fill="FFFFFF" w:themeFill="background1"/>
            <w:vAlign w:val="center"/>
            <w:hideMark/>
          </w:tcPr>
          <w:p w14:paraId="228E492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30683.9</w:t>
            </w:r>
          </w:p>
        </w:tc>
        <w:tc>
          <w:tcPr>
            <w:tcW w:w="809" w:type="dxa"/>
            <w:shd w:val="clear" w:color="auto" w:fill="FFFFFF" w:themeFill="background1"/>
            <w:vAlign w:val="center"/>
            <w:hideMark/>
          </w:tcPr>
          <w:p w14:paraId="479878B0"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33706.1</w:t>
            </w:r>
          </w:p>
        </w:tc>
        <w:tc>
          <w:tcPr>
            <w:tcW w:w="844" w:type="dxa"/>
            <w:shd w:val="clear" w:color="auto" w:fill="FFFFFF" w:themeFill="background1"/>
            <w:vAlign w:val="center"/>
            <w:hideMark/>
          </w:tcPr>
          <w:p w14:paraId="3F5AE1E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33294.2</w:t>
            </w:r>
          </w:p>
        </w:tc>
        <w:tc>
          <w:tcPr>
            <w:tcW w:w="809" w:type="dxa"/>
            <w:shd w:val="clear" w:color="auto" w:fill="FFFFFF" w:themeFill="background1"/>
            <w:vAlign w:val="center"/>
            <w:hideMark/>
          </w:tcPr>
          <w:p w14:paraId="1C98952A"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33322.6</w:t>
            </w:r>
          </w:p>
        </w:tc>
        <w:tc>
          <w:tcPr>
            <w:tcW w:w="914" w:type="dxa"/>
            <w:shd w:val="clear" w:color="auto" w:fill="FFFFFF" w:themeFill="background1"/>
            <w:vAlign w:val="center"/>
            <w:hideMark/>
          </w:tcPr>
          <w:p w14:paraId="249F1B9D"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98.71%</w:t>
            </w:r>
          </w:p>
        </w:tc>
        <w:tc>
          <w:tcPr>
            <w:tcW w:w="763" w:type="dxa"/>
            <w:shd w:val="clear" w:color="auto" w:fill="FFFFFF" w:themeFill="background1"/>
            <w:vAlign w:val="center"/>
            <w:hideMark/>
          </w:tcPr>
          <w:p w14:paraId="06F32816"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-411.9</w:t>
            </w:r>
          </w:p>
        </w:tc>
        <w:tc>
          <w:tcPr>
            <w:tcW w:w="768" w:type="dxa"/>
            <w:shd w:val="clear" w:color="auto" w:fill="FFFFFF" w:themeFill="background1"/>
            <w:vAlign w:val="center"/>
            <w:hideMark/>
          </w:tcPr>
          <w:p w14:paraId="3955837F"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98.8%</w:t>
            </w:r>
          </w:p>
        </w:tc>
        <w:tc>
          <w:tcPr>
            <w:tcW w:w="763" w:type="dxa"/>
            <w:shd w:val="clear" w:color="auto" w:fill="FFFFFF" w:themeFill="background1"/>
            <w:vAlign w:val="center"/>
            <w:hideMark/>
          </w:tcPr>
          <w:p w14:paraId="20A27F1F"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-383.5</w:t>
            </w:r>
          </w:p>
        </w:tc>
        <w:tc>
          <w:tcPr>
            <w:tcW w:w="1037" w:type="dxa"/>
            <w:shd w:val="clear" w:color="auto" w:fill="FFFFFF" w:themeFill="background1"/>
            <w:vAlign w:val="center"/>
            <w:hideMark/>
          </w:tcPr>
          <w:p w14:paraId="14F395E4"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98.9%</w:t>
            </w:r>
          </w:p>
        </w:tc>
      </w:tr>
      <w:tr w:rsidR="003D0784" w:rsidRPr="00B7675F" w14:paraId="29D1F466" w14:textId="77777777" w:rsidTr="00B27804">
        <w:trPr>
          <w:trHeight w:val="292"/>
        </w:trPr>
        <w:tc>
          <w:tcPr>
            <w:tcW w:w="1718" w:type="dxa"/>
            <w:shd w:val="clear" w:color="auto" w:fill="FFFFFF" w:themeFill="background1"/>
            <w:vAlign w:val="bottom"/>
            <w:hideMark/>
          </w:tcPr>
          <w:p w14:paraId="645C991C"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Alte</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b/>
                <w:bCs/>
                <w:color w:val="000000"/>
                <w:sz w:val="18"/>
                <w:szCs w:val="18"/>
                <w:lang w:val="ro-MD"/>
              </w:rPr>
              <w:t>cheltuieli</w:t>
            </w:r>
          </w:p>
        </w:tc>
        <w:tc>
          <w:tcPr>
            <w:tcW w:w="745" w:type="dxa"/>
            <w:shd w:val="clear" w:color="auto" w:fill="FFFFFF" w:themeFill="background1"/>
            <w:vAlign w:val="center"/>
            <w:hideMark/>
          </w:tcPr>
          <w:p w14:paraId="4F6AA50E"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28</w:t>
            </w:r>
          </w:p>
        </w:tc>
        <w:tc>
          <w:tcPr>
            <w:tcW w:w="809" w:type="dxa"/>
            <w:shd w:val="clear" w:color="auto" w:fill="FFFFFF" w:themeFill="background1"/>
            <w:vAlign w:val="center"/>
            <w:hideMark/>
          </w:tcPr>
          <w:p w14:paraId="494AFAC7"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5.2</w:t>
            </w:r>
          </w:p>
        </w:tc>
        <w:tc>
          <w:tcPr>
            <w:tcW w:w="809" w:type="dxa"/>
            <w:shd w:val="clear" w:color="auto" w:fill="FFFFFF" w:themeFill="background1"/>
            <w:vAlign w:val="center"/>
            <w:hideMark/>
          </w:tcPr>
          <w:p w14:paraId="5C83855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5.8</w:t>
            </w:r>
          </w:p>
        </w:tc>
        <w:tc>
          <w:tcPr>
            <w:tcW w:w="844" w:type="dxa"/>
            <w:shd w:val="clear" w:color="auto" w:fill="FFFFFF" w:themeFill="background1"/>
            <w:vAlign w:val="center"/>
            <w:hideMark/>
          </w:tcPr>
          <w:p w14:paraId="3C9EA39C"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5</w:t>
            </w:r>
          </w:p>
        </w:tc>
        <w:tc>
          <w:tcPr>
            <w:tcW w:w="809" w:type="dxa"/>
            <w:shd w:val="clear" w:color="auto" w:fill="FFFFFF" w:themeFill="background1"/>
            <w:vAlign w:val="center"/>
            <w:hideMark/>
          </w:tcPr>
          <w:p w14:paraId="2CF7651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5</w:t>
            </w:r>
          </w:p>
        </w:tc>
        <w:tc>
          <w:tcPr>
            <w:tcW w:w="914" w:type="dxa"/>
            <w:shd w:val="clear" w:color="auto" w:fill="FFFFFF" w:themeFill="background1"/>
            <w:vAlign w:val="center"/>
            <w:hideMark/>
          </w:tcPr>
          <w:p w14:paraId="29ED55BB"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0.02%</w:t>
            </w:r>
          </w:p>
        </w:tc>
        <w:tc>
          <w:tcPr>
            <w:tcW w:w="763" w:type="dxa"/>
            <w:shd w:val="clear" w:color="auto" w:fill="FFFFFF" w:themeFill="background1"/>
            <w:vAlign w:val="center"/>
            <w:hideMark/>
          </w:tcPr>
          <w:p w14:paraId="10FEB9E2"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-0.8</w:t>
            </w:r>
          </w:p>
        </w:tc>
        <w:tc>
          <w:tcPr>
            <w:tcW w:w="768" w:type="dxa"/>
            <w:shd w:val="clear" w:color="auto" w:fill="FFFFFF" w:themeFill="background1"/>
            <w:vAlign w:val="center"/>
            <w:hideMark/>
          </w:tcPr>
          <w:p w14:paraId="172DC981"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86.2%</w:t>
            </w:r>
          </w:p>
        </w:tc>
        <w:tc>
          <w:tcPr>
            <w:tcW w:w="763" w:type="dxa"/>
            <w:shd w:val="clear" w:color="auto" w:fill="FFFFFF" w:themeFill="background1"/>
            <w:vAlign w:val="center"/>
            <w:hideMark/>
          </w:tcPr>
          <w:p w14:paraId="52980865"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-0.8</w:t>
            </w:r>
          </w:p>
        </w:tc>
        <w:tc>
          <w:tcPr>
            <w:tcW w:w="1037" w:type="dxa"/>
            <w:shd w:val="clear" w:color="auto" w:fill="FFFFFF" w:themeFill="background1"/>
            <w:vAlign w:val="center"/>
            <w:hideMark/>
          </w:tcPr>
          <w:p w14:paraId="2D86DCD0"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86.2%</w:t>
            </w:r>
          </w:p>
        </w:tc>
      </w:tr>
      <w:tr w:rsidR="003D0784" w:rsidRPr="00B7675F" w14:paraId="697D617D" w14:textId="77777777" w:rsidTr="00B27804">
        <w:trPr>
          <w:trHeight w:val="292"/>
        </w:trPr>
        <w:tc>
          <w:tcPr>
            <w:tcW w:w="1718" w:type="dxa"/>
            <w:shd w:val="clear" w:color="auto" w:fill="FFFFFF" w:themeFill="background1"/>
            <w:vAlign w:val="bottom"/>
            <w:hideMark/>
          </w:tcPr>
          <w:p w14:paraId="7699C8EA" w14:textId="77777777" w:rsidR="003D0784" w:rsidRPr="00736448" w:rsidRDefault="003D0784" w:rsidP="005F6348">
            <w:pPr>
              <w:spacing w:after="0" w:line="240" w:lineRule="auto"/>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Active</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i/>
                <w:iCs/>
                <w:color w:val="000000"/>
                <w:sz w:val="18"/>
                <w:szCs w:val="18"/>
                <w:lang w:val="ro-MD"/>
              </w:rPr>
              <w:t>nefinanciare</w:t>
            </w:r>
          </w:p>
        </w:tc>
        <w:tc>
          <w:tcPr>
            <w:tcW w:w="745" w:type="dxa"/>
            <w:shd w:val="clear" w:color="auto" w:fill="FFFFFF" w:themeFill="background1"/>
            <w:vAlign w:val="center"/>
            <w:hideMark/>
          </w:tcPr>
          <w:p w14:paraId="04BDAD60"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3</w:t>
            </w:r>
          </w:p>
        </w:tc>
        <w:tc>
          <w:tcPr>
            <w:tcW w:w="809" w:type="dxa"/>
            <w:shd w:val="clear" w:color="auto" w:fill="FFFFFF" w:themeFill="background1"/>
            <w:vAlign w:val="center"/>
            <w:hideMark/>
          </w:tcPr>
          <w:p w14:paraId="7BB0F2CB"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21.1</w:t>
            </w:r>
          </w:p>
        </w:tc>
        <w:tc>
          <w:tcPr>
            <w:tcW w:w="809" w:type="dxa"/>
            <w:shd w:val="clear" w:color="auto" w:fill="FFFFFF" w:themeFill="background1"/>
            <w:vAlign w:val="center"/>
            <w:hideMark/>
          </w:tcPr>
          <w:p w14:paraId="4E5F5B6B"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19.9</w:t>
            </w:r>
          </w:p>
        </w:tc>
        <w:tc>
          <w:tcPr>
            <w:tcW w:w="844" w:type="dxa"/>
            <w:shd w:val="clear" w:color="auto" w:fill="FFFFFF" w:themeFill="background1"/>
            <w:vAlign w:val="center"/>
            <w:hideMark/>
          </w:tcPr>
          <w:p w14:paraId="3B42F382"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17</w:t>
            </w:r>
          </w:p>
        </w:tc>
        <w:tc>
          <w:tcPr>
            <w:tcW w:w="809" w:type="dxa"/>
            <w:shd w:val="clear" w:color="auto" w:fill="FFFFFF" w:themeFill="background1"/>
            <w:vAlign w:val="center"/>
            <w:hideMark/>
          </w:tcPr>
          <w:p w14:paraId="1284A1B0"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16.2</w:t>
            </w:r>
          </w:p>
        </w:tc>
        <w:tc>
          <w:tcPr>
            <w:tcW w:w="914" w:type="dxa"/>
            <w:shd w:val="clear" w:color="auto" w:fill="FFFFFF" w:themeFill="background1"/>
            <w:vAlign w:val="center"/>
            <w:hideMark/>
          </w:tcPr>
          <w:p w14:paraId="053BA027"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0.05%</w:t>
            </w:r>
          </w:p>
        </w:tc>
        <w:tc>
          <w:tcPr>
            <w:tcW w:w="763" w:type="dxa"/>
            <w:shd w:val="clear" w:color="auto" w:fill="FFFFFF" w:themeFill="background1"/>
            <w:vAlign w:val="center"/>
            <w:hideMark/>
          </w:tcPr>
          <w:p w14:paraId="5B7BA905"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-2.9</w:t>
            </w:r>
          </w:p>
        </w:tc>
        <w:tc>
          <w:tcPr>
            <w:tcW w:w="768" w:type="dxa"/>
            <w:shd w:val="clear" w:color="auto" w:fill="FFFFFF" w:themeFill="background1"/>
            <w:vAlign w:val="center"/>
            <w:hideMark/>
          </w:tcPr>
          <w:p w14:paraId="32100F24"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85.4%</w:t>
            </w:r>
          </w:p>
        </w:tc>
        <w:tc>
          <w:tcPr>
            <w:tcW w:w="763" w:type="dxa"/>
            <w:shd w:val="clear" w:color="auto" w:fill="FFFFFF" w:themeFill="background1"/>
            <w:vAlign w:val="center"/>
            <w:hideMark/>
          </w:tcPr>
          <w:p w14:paraId="2D21A841"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-3.7</w:t>
            </w:r>
          </w:p>
        </w:tc>
        <w:tc>
          <w:tcPr>
            <w:tcW w:w="1037" w:type="dxa"/>
            <w:shd w:val="clear" w:color="auto" w:fill="FFFFFF" w:themeFill="background1"/>
            <w:vAlign w:val="center"/>
            <w:hideMark/>
          </w:tcPr>
          <w:p w14:paraId="7F4086B9"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81.4%</w:t>
            </w:r>
          </w:p>
        </w:tc>
      </w:tr>
      <w:tr w:rsidR="003D0784" w:rsidRPr="00B7675F" w14:paraId="25655CA2" w14:textId="77777777" w:rsidTr="00B27804">
        <w:trPr>
          <w:trHeight w:val="292"/>
        </w:trPr>
        <w:tc>
          <w:tcPr>
            <w:tcW w:w="1718" w:type="dxa"/>
            <w:shd w:val="clear" w:color="auto" w:fill="FFFFFF" w:themeFill="background1"/>
            <w:vAlign w:val="bottom"/>
            <w:hideMark/>
          </w:tcPr>
          <w:p w14:paraId="0A11E309"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Mijloace</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b/>
                <w:bCs/>
                <w:color w:val="000000"/>
                <w:sz w:val="18"/>
                <w:szCs w:val="18"/>
                <w:lang w:val="ro-MD"/>
              </w:rPr>
              <w:t>fixe</w:t>
            </w:r>
          </w:p>
        </w:tc>
        <w:tc>
          <w:tcPr>
            <w:tcW w:w="745" w:type="dxa"/>
            <w:shd w:val="clear" w:color="auto" w:fill="FFFFFF" w:themeFill="background1"/>
            <w:vAlign w:val="center"/>
            <w:hideMark/>
          </w:tcPr>
          <w:p w14:paraId="6B3F95F3"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31</w:t>
            </w:r>
          </w:p>
        </w:tc>
        <w:tc>
          <w:tcPr>
            <w:tcW w:w="809" w:type="dxa"/>
            <w:shd w:val="clear" w:color="auto" w:fill="FFFFFF" w:themeFill="background1"/>
            <w:vAlign w:val="center"/>
            <w:hideMark/>
          </w:tcPr>
          <w:p w14:paraId="016888A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15.6</w:t>
            </w:r>
          </w:p>
        </w:tc>
        <w:tc>
          <w:tcPr>
            <w:tcW w:w="809" w:type="dxa"/>
            <w:shd w:val="clear" w:color="auto" w:fill="FFFFFF" w:themeFill="background1"/>
            <w:vAlign w:val="center"/>
            <w:hideMark/>
          </w:tcPr>
          <w:p w14:paraId="224E8459"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14.4</w:t>
            </w:r>
          </w:p>
        </w:tc>
        <w:tc>
          <w:tcPr>
            <w:tcW w:w="844" w:type="dxa"/>
            <w:shd w:val="clear" w:color="auto" w:fill="FFFFFF" w:themeFill="background1"/>
            <w:vAlign w:val="center"/>
            <w:hideMark/>
          </w:tcPr>
          <w:p w14:paraId="3938077A"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13</w:t>
            </w:r>
          </w:p>
        </w:tc>
        <w:tc>
          <w:tcPr>
            <w:tcW w:w="809" w:type="dxa"/>
            <w:shd w:val="clear" w:color="auto" w:fill="FFFFFF" w:themeFill="background1"/>
            <w:vAlign w:val="center"/>
            <w:hideMark/>
          </w:tcPr>
          <w:p w14:paraId="35839AB1"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12.9</w:t>
            </w:r>
          </w:p>
        </w:tc>
        <w:tc>
          <w:tcPr>
            <w:tcW w:w="914" w:type="dxa"/>
            <w:shd w:val="clear" w:color="auto" w:fill="FFFFFF" w:themeFill="background1"/>
            <w:vAlign w:val="center"/>
            <w:hideMark/>
          </w:tcPr>
          <w:p w14:paraId="14D23F7C"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79.63%</w:t>
            </w:r>
          </w:p>
        </w:tc>
        <w:tc>
          <w:tcPr>
            <w:tcW w:w="763" w:type="dxa"/>
            <w:shd w:val="clear" w:color="auto" w:fill="FFFFFF" w:themeFill="background1"/>
            <w:vAlign w:val="center"/>
            <w:hideMark/>
          </w:tcPr>
          <w:p w14:paraId="60DA40F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-1.4</w:t>
            </w:r>
          </w:p>
        </w:tc>
        <w:tc>
          <w:tcPr>
            <w:tcW w:w="768" w:type="dxa"/>
            <w:shd w:val="clear" w:color="auto" w:fill="FFFFFF" w:themeFill="background1"/>
            <w:vAlign w:val="center"/>
            <w:hideMark/>
          </w:tcPr>
          <w:p w14:paraId="2FFAA05E"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90.3%</w:t>
            </w:r>
          </w:p>
        </w:tc>
        <w:tc>
          <w:tcPr>
            <w:tcW w:w="763" w:type="dxa"/>
            <w:shd w:val="clear" w:color="auto" w:fill="FFFFFF" w:themeFill="background1"/>
            <w:vAlign w:val="center"/>
            <w:hideMark/>
          </w:tcPr>
          <w:p w14:paraId="3CE6F3D1"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-1.5</w:t>
            </w:r>
          </w:p>
        </w:tc>
        <w:tc>
          <w:tcPr>
            <w:tcW w:w="1037" w:type="dxa"/>
            <w:shd w:val="clear" w:color="auto" w:fill="FFFFFF" w:themeFill="background1"/>
            <w:vAlign w:val="center"/>
            <w:hideMark/>
          </w:tcPr>
          <w:p w14:paraId="03245F36"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89.6%</w:t>
            </w:r>
          </w:p>
        </w:tc>
      </w:tr>
      <w:tr w:rsidR="003D0784" w:rsidRPr="00B7675F" w14:paraId="78F3B780" w14:textId="77777777" w:rsidTr="00B27804">
        <w:trPr>
          <w:trHeight w:val="526"/>
        </w:trPr>
        <w:tc>
          <w:tcPr>
            <w:tcW w:w="1718" w:type="dxa"/>
            <w:shd w:val="clear" w:color="auto" w:fill="FFFFFF" w:themeFill="background1"/>
            <w:vAlign w:val="bottom"/>
            <w:hideMark/>
          </w:tcPr>
          <w:p w14:paraId="3C9F674E"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Stocuri de</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b/>
                <w:bCs/>
                <w:color w:val="000000"/>
                <w:sz w:val="18"/>
                <w:szCs w:val="18"/>
                <w:lang w:val="ro-MD"/>
              </w:rPr>
              <w:t>materiale</w:t>
            </w:r>
            <w:r w:rsidRPr="00736448">
              <w:rPr>
                <w:rFonts w:asciiTheme="majorHAnsi" w:eastAsia="Times New Roman" w:hAnsiTheme="majorHAnsi" w:cstheme="majorHAnsi"/>
                <w:color w:val="000000"/>
                <w:sz w:val="18"/>
                <w:szCs w:val="18"/>
                <w:lang w:val="ro-MD"/>
              </w:rPr>
              <w:t xml:space="preserve"> </w:t>
            </w:r>
            <w:r w:rsidRPr="00736448">
              <w:rPr>
                <w:rFonts w:asciiTheme="majorHAnsi" w:eastAsia="Times New Roman" w:hAnsiTheme="majorHAnsi" w:cstheme="majorHAnsi"/>
                <w:b/>
                <w:bCs/>
                <w:color w:val="000000"/>
                <w:sz w:val="18"/>
                <w:szCs w:val="18"/>
                <w:lang w:val="ro-MD"/>
              </w:rPr>
              <w:t>circulante</w:t>
            </w:r>
          </w:p>
        </w:tc>
        <w:tc>
          <w:tcPr>
            <w:tcW w:w="745" w:type="dxa"/>
            <w:shd w:val="clear" w:color="auto" w:fill="FFFFFF" w:themeFill="background1"/>
            <w:vAlign w:val="center"/>
            <w:hideMark/>
          </w:tcPr>
          <w:p w14:paraId="4A4AEB82"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33</w:t>
            </w:r>
          </w:p>
        </w:tc>
        <w:tc>
          <w:tcPr>
            <w:tcW w:w="809" w:type="dxa"/>
            <w:shd w:val="clear" w:color="auto" w:fill="FFFFFF" w:themeFill="background1"/>
            <w:vAlign w:val="center"/>
            <w:hideMark/>
          </w:tcPr>
          <w:p w14:paraId="3739C1B4"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4.2</w:t>
            </w:r>
          </w:p>
        </w:tc>
        <w:tc>
          <w:tcPr>
            <w:tcW w:w="809" w:type="dxa"/>
            <w:shd w:val="clear" w:color="auto" w:fill="FFFFFF" w:themeFill="background1"/>
            <w:vAlign w:val="center"/>
            <w:hideMark/>
          </w:tcPr>
          <w:p w14:paraId="3DC8EA50"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4.2</w:t>
            </w:r>
          </w:p>
        </w:tc>
        <w:tc>
          <w:tcPr>
            <w:tcW w:w="844" w:type="dxa"/>
            <w:shd w:val="clear" w:color="auto" w:fill="FFFFFF" w:themeFill="background1"/>
            <w:vAlign w:val="center"/>
            <w:hideMark/>
          </w:tcPr>
          <w:p w14:paraId="5FD1C352"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3.1</w:t>
            </w:r>
          </w:p>
        </w:tc>
        <w:tc>
          <w:tcPr>
            <w:tcW w:w="809" w:type="dxa"/>
            <w:shd w:val="clear" w:color="auto" w:fill="FFFFFF" w:themeFill="background1"/>
            <w:vAlign w:val="center"/>
            <w:hideMark/>
          </w:tcPr>
          <w:p w14:paraId="0D3F0CD7"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2.4</w:t>
            </w:r>
          </w:p>
        </w:tc>
        <w:tc>
          <w:tcPr>
            <w:tcW w:w="914" w:type="dxa"/>
            <w:shd w:val="clear" w:color="auto" w:fill="FFFFFF" w:themeFill="background1"/>
            <w:vAlign w:val="center"/>
            <w:hideMark/>
          </w:tcPr>
          <w:p w14:paraId="46DC44BC"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18.60%</w:t>
            </w:r>
          </w:p>
        </w:tc>
        <w:tc>
          <w:tcPr>
            <w:tcW w:w="763" w:type="dxa"/>
            <w:shd w:val="clear" w:color="auto" w:fill="FFFFFF" w:themeFill="background1"/>
            <w:vAlign w:val="center"/>
            <w:hideMark/>
          </w:tcPr>
          <w:p w14:paraId="0B45B5B8"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-1.1</w:t>
            </w:r>
          </w:p>
        </w:tc>
        <w:tc>
          <w:tcPr>
            <w:tcW w:w="768" w:type="dxa"/>
            <w:shd w:val="clear" w:color="auto" w:fill="FFFFFF" w:themeFill="background1"/>
            <w:vAlign w:val="center"/>
            <w:hideMark/>
          </w:tcPr>
          <w:p w14:paraId="0C590A05"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73.8%</w:t>
            </w:r>
          </w:p>
        </w:tc>
        <w:tc>
          <w:tcPr>
            <w:tcW w:w="763" w:type="dxa"/>
            <w:shd w:val="clear" w:color="auto" w:fill="FFFFFF" w:themeFill="background1"/>
            <w:vAlign w:val="center"/>
            <w:hideMark/>
          </w:tcPr>
          <w:p w14:paraId="4EE221CE"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-1.8</w:t>
            </w:r>
          </w:p>
        </w:tc>
        <w:tc>
          <w:tcPr>
            <w:tcW w:w="1037" w:type="dxa"/>
            <w:shd w:val="clear" w:color="auto" w:fill="FFFFFF" w:themeFill="background1"/>
            <w:vAlign w:val="center"/>
            <w:hideMark/>
          </w:tcPr>
          <w:p w14:paraId="5437BA52"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57.1%</w:t>
            </w:r>
          </w:p>
        </w:tc>
      </w:tr>
      <w:tr w:rsidR="003D0784" w:rsidRPr="00B7675F" w14:paraId="45AF8A3B" w14:textId="77777777" w:rsidTr="00B27804">
        <w:trPr>
          <w:trHeight w:val="292"/>
        </w:trPr>
        <w:tc>
          <w:tcPr>
            <w:tcW w:w="1718" w:type="dxa"/>
            <w:shd w:val="clear" w:color="auto" w:fill="FFFFFF" w:themeFill="background1"/>
            <w:hideMark/>
          </w:tcPr>
          <w:p w14:paraId="38D38FEE" w14:textId="77777777" w:rsidR="003D0784" w:rsidRPr="00736448" w:rsidRDefault="003D0784" w:rsidP="005F6348">
            <w:pPr>
              <w:spacing w:after="0" w:line="240" w:lineRule="auto"/>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Mărfuri</w:t>
            </w:r>
          </w:p>
        </w:tc>
        <w:tc>
          <w:tcPr>
            <w:tcW w:w="745" w:type="dxa"/>
            <w:shd w:val="clear" w:color="auto" w:fill="FFFFFF" w:themeFill="background1"/>
            <w:vAlign w:val="center"/>
            <w:hideMark/>
          </w:tcPr>
          <w:p w14:paraId="27455CA1" w14:textId="77777777" w:rsidR="003D0784" w:rsidRPr="00736448" w:rsidRDefault="003D0784" w:rsidP="005F6348">
            <w:pPr>
              <w:spacing w:after="0" w:line="240" w:lineRule="auto"/>
              <w:jc w:val="center"/>
              <w:rPr>
                <w:rFonts w:asciiTheme="majorHAnsi" w:eastAsia="Times New Roman" w:hAnsiTheme="majorHAnsi" w:cstheme="majorHAnsi"/>
                <w:i/>
                <w:iCs/>
                <w:color w:val="000000"/>
                <w:sz w:val="18"/>
                <w:szCs w:val="18"/>
                <w:lang w:val="ro-MD"/>
              </w:rPr>
            </w:pPr>
            <w:r w:rsidRPr="00736448">
              <w:rPr>
                <w:rFonts w:asciiTheme="majorHAnsi" w:eastAsia="Times New Roman" w:hAnsiTheme="majorHAnsi" w:cstheme="majorHAnsi"/>
                <w:i/>
                <w:iCs/>
                <w:color w:val="000000"/>
                <w:sz w:val="18"/>
                <w:szCs w:val="18"/>
                <w:lang w:val="ro-MD"/>
              </w:rPr>
              <w:t>35</w:t>
            </w:r>
          </w:p>
        </w:tc>
        <w:tc>
          <w:tcPr>
            <w:tcW w:w="809" w:type="dxa"/>
            <w:shd w:val="clear" w:color="auto" w:fill="FFFFFF" w:themeFill="background1"/>
            <w:vAlign w:val="center"/>
            <w:hideMark/>
          </w:tcPr>
          <w:p w14:paraId="2AFF44B0"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1.2</w:t>
            </w:r>
          </w:p>
        </w:tc>
        <w:tc>
          <w:tcPr>
            <w:tcW w:w="809" w:type="dxa"/>
            <w:shd w:val="clear" w:color="auto" w:fill="FFFFFF" w:themeFill="background1"/>
            <w:vAlign w:val="center"/>
            <w:hideMark/>
          </w:tcPr>
          <w:p w14:paraId="1DFAD042"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1.2</w:t>
            </w:r>
          </w:p>
        </w:tc>
        <w:tc>
          <w:tcPr>
            <w:tcW w:w="844" w:type="dxa"/>
            <w:shd w:val="clear" w:color="auto" w:fill="FFFFFF" w:themeFill="background1"/>
            <w:vAlign w:val="center"/>
            <w:hideMark/>
          </w:tcPr>
          <w:p w14:paraId="3A142FEB"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0.8</w:t>
            </w:r>
          </w:p>
        </w:tc>
        <w:tc>
          <w:tcPr>
            <w:tcW w:w="809" w:type="dxa"/>
            <w:shd w:val="clear" w:color="auto" w:fill="FFFFFF" w:themeFill="background1"/>
            <w:vAlign w:val="center"/>
            <w:hideMark/>
          </w:tcPr>
          <w:p w14:paraId="337F3033"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0.8</w:t>
            </w:r>
          </w:p>
        </w:tc>
        <w:tc>
          <w:tcPr>
            <w:tcW w:w="914" w:type="dxa"/>
            <w:shd w:val="clear" w:color="auto" w:fill="FFFFFF" w:themeFill="background1"/>
            <w:vAlign w:val="center"/>
            <w:hideMark/>
          </w:tcPr>
          <w:p w14:paraId="3168E899"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4.94%</w:t>
            </w:r>
          </w:p>
        </w:tc>
        <w:tc>
          <w:tcPr>
            <w:tcW w:w="763" w:type="dxa"/>
            <w:shd w:val="clear" w:color="auto" w:fill="FFFFFF" w:themeFill="background1"/>
            <w:vAlign w:val="center"/>
            <w:hideMark/>
          </w:tcPr>
          <w:p w14:paraId="20B007C8"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-0.4</w:t>
            </w:r>
          </w:p>
        </w:tc>
        <w:tc>
          <w:tcPr>
            <w:tcW w:w="768" w:type="dxa"/>
            <w:shd w:val="clear" w:color="auto" w:fill="FFFFFF" w:themeFill="background1"/>
            <w:vAlign w:val="center"/>
            <w:hideMark/>
          </w:tcPr>
          <w:p w14:paraId="1C27411A" w14:textId="77777777" w:rsidR="003D0784" w:rsidRPr="00736448" w:rsidRDefault="003D0784" w:rsidP="005F6348">
            <w:pPr>
              <w:spacing w:after="0" w:line="240" w:lineRule="auto"/>
              <w:jc w:val="right"/>
              <w:rPr>
                <w:rFonts w:asciiTheme="majorHAnsi" w:eastAsia="Times New Roman" w:hAnsiTheme="majorHAnsi" w:cstheme="majorHAnsi"/>
                <w:b/>
                <w:bCs/>
                <w:color w:val="000000"/>
                <w:sz w:val="18"/>
                <w:szCs w:val="18"/>
                <w:lang w:val="ro-MD"/>
              </w:rPr>
            </w:pPr>
            <w:r w:rsidRPr="00736448">
              <w:rPr>
                <w:rFonts w:asciiTheme="majorHAnsi" w:eastAsia="Times New Roman" w:hAnsiTheme="majorHAnsi" w:cstheme="majorHAnsi"/>
                <w:b/>
                <w:bCs/>
                <w:color w:val="000000"/>
                <w:sz w:val="18"/>
                <w:szCs w:val="18"/>
                <w:lang w:val="ro-MD"/>
              </w:rPr>
              <w:t>66.7%</w:t>
            </w:r>
          </w:p>
        </w:tc>
        <w:tc>
          <w:tcPr>
            <w:tcW w:w="763" w:type="dxa"/>
            <w:shd w:val="clear" w:color="auto" w:fill="FFFFFF" w:themeFill="background1"/>
            <w:vAlign w:val="center"/>
            <w:hideMark/>
          </w:tcPr>
          <w:p w14:paraId="28F933D3"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-0.4</w:t>
            </w:r>
          </w:p>
        </w:tc>
        <w:tc>
          <w:tcPr>
            <w:tcW w:w="1037" w:type="dxa"/>
            <w:shd w:val="clear" w:color="auto" w:fill="FFFFFF" w:themeFill="background1"/>
            <w:vAlign w:val="center"/>
            <w:hideMark/>
          </w:tcPr>
          <w:p w14:paraId="7B45F406" w14:textId="77777777" w:rsidR="003D0784" w:rsidRPr="00736448" w:rsidRDefault="003D0784" w:rsidP="005F6348">
            <w:pPr>
              <w:spacing w:after="0" w:line="240" w:lineRule="auto"/>
              <w:jc w:val="right"/>
              <w:rPr>
                <w:rFonts w:asciiTheme="majorHAnsi" w:eastAsia="Times New Roman" w:hAnsiTheme="majorHAnsi" w:cstheme="majorHAnsi"/>
                <w:color w:val="000000"/>
                <w:sz w:val="18"/>
                <w:szCs w:val="18"/>
                <w:lang w:val="ro-MD"/>
              </w:rPr>
            </w:pPr>
            <w:r w:rsidRPr="00736448">
              <w:rPr>
                <w:rFonts w:asciiTheme="majorHAnsi" w:eastAsia="Times New Roman" w:hAnsiTheme="majorHAnsi" w:cstheme="majorHAnsi"/>
                <w:color w:val="000000"/>
                <w:sz w:val="18"/>
                <w:szCs w:val="18"/>
                <w:lang w:val="ro-MD"/>
              </w:rPr>
              <w:t>66.7%</w:t>
            </w:r>
          </w:p>
        </w:tc>
      </w:tr>
    </w:tbl>
    <w:p w14:paraId="7A56E39B" w14:textId="20413979" w:rsidR="003D0784" w:rsidRPr="00736448" w:rsidRDefault="003D0784" w:rsidP="003D0784">
      <w:pPr>
        <w:rPr>
          <w:rFonts w:asciiTheme="majorHAnsi" w:hAnsiTheme="majorHAnsi" w:cstheme="majorHAnsi"/>
          <w:sz w:val="18"/>
          <w:szCs w:val="18"/>
          <w:lang w:val="ro-MD"/>
        </w:rPr>
      </w:pPr>
      <w:r w:rsidRPr="00736448">
        <w:rPr>
          <w:rFonts w:asciiTheme="majorHAnsi" w:hAnsiTheme="majorHAnsi" w:cstheme="majorHAnsi"/>
          <w:sz w:val="18"/>
          <w:szCs w:val="18"/>
          <w:lang w:val="ro-MD"/>
        </w:rPr>
        <w:t>Sursa: Raportul privind executarea bugetului asigurărilor sociale de stat pentru anul 2022</w:t>
      </w:r>
      <w:r w:rsidR="00AA6D17">
        <w:rPr>
          <w:rFonts w:asciiTheme="majorHAnsi" w:hAnsiTheme="majorHAnsi" w:cstheme="majorHAnsi"/>
          <w:sz w:val="18"/>
          <w:szCs w:val="18"/>
          <w:lang w:val="ro-MD"/>
        </w:rPr>
        <w:t>.</w:t>
      </w:r>
    </w:p>
    <w:p w14:paraId="726699E8" w14:textId="77777777" w:rsidR="003D0784" w:rsidRPr="00736448" w:rsidRDefault="003D0784" w:rsidP="00F84A00">
      <w:pPr>
        <w:rPr>
          <w:rFonts w:ascii="Calibri Light" w:eastAsia="Times New Roman" w:hAnsi="Calibri Light" w:cs="Calibri Light"/>
          <w:b/>
          <w:sz w:val="24"/>
          <w:szCs w:val="24"/>
          <w:lang w:val="ro-MD"/>
        </w:rPr>
      </w:pPr>
    </w:p>
    <w:p w14:paraId="652B48FF" w14:textId="52404ACC" w:rsidR="003D0784" w:rsidRPr="00736448" w:rsidRDefault="003D0784" w:rsidP="003D0784">
      <w:pPr>
        <w:tabs>
          <w:tab w:val="left" w:pos="162"/>
        </w:tabs>
        <w:spacing w:after="0" w:line="276" w:lineRule="auto"/>
        <w:jc w:val="right"/>
        <w:outlineLvl w:val="1"/>
        <w:rPr>
          <w:rFonts w:ascii="Calibri Light" w:eastAsia="Times New Roman" w:hAnsi="Calibri Light" w:cs="Calibri Light"/>
          <w:b/>
          <w:sz w:val="24"/>
          <w:szCs w:val="24"/>
          <w:lang w:val="ro-MD"/>
        </w:rPr>
      </w:pPr>
      <w:r w:rsidRPr="00736448">
        <w:rPr>
          <w:rFonts w:ascii="Calibri Light" w:eastAsia="Times New Roman" w:hAnsi="Calibri Light" w:cs="Calibri Light"/>
          <w:b/>
          <w:sz w:val="24"/>
          <w:szCs w:val="24"/>
          <w:lang w:val="ro-MD"/>
        </w:rPr>
        <w:t xml:space="preserve">Anexa nr. </w:t>
      </w:r>
      <w:r w:rsidR="008B5EDB" w:rsidRPr="00736448">
        <w:rPr>
          <w:rFonts w:ascii="Calibri Light" w:eastAsia="Times New Roman" w:hAnsi="Calibri Light" w:cs="Calibri Light"/>
          <w:b/>
          <w:sz w:val="24"/>
          <w:szCs w:val="24"/>
          <w:lang w:val="ro-MD"/>
        </w:rPr>
        <w:t>18</w:t>
      </w:r>
    </w:p>
    <w:p w14:paraId="489C583F" w14:textId="77777777" w:rsidR="003D0784" w:rsidRPr="00736448" w:rsidRDefault="003D0784" w:rsidP="003D0784">
      <w:pPr>
        <w:tabs>
          <w:tab w:val="left" w:pos="162"/>
        </w:tabs>
        <w:spacing w:after="0" w:line="276" w:lineRule="auto"/>
        <w:jc w:val="center"/>
        <w:rPr>
          <w:rFonts w:ascii="Calibri Light" w:eastAsia="Calibri" w:hAnsi="Calibri Light" w:cs="Calibri Light"/>
          <w:b/>
          <w:bCs/>
          <w:sz w:val="24"/>
          <w:szCs w:val="24"/>
          <w:lang w:val="ro-MD"/>
        </w:rPr>
      </w:pPr>
      <w:r w:rsidRPr="00736448">
        <w:rPr>
          <w:rFonts w:ascii="Calibri Light" w:eastAsia="Calibri" w:hAnsi="Calibri Light" w:cs="Calibri Light"/>
          <w:b/>
          <w:bCs/>
          <w:sz w:val="24"/>
          <w:szCs w:val="24"/>
          <w:lang w:val="ro-MD"/>
        </w:rPr>
        <w:t>Dinamica cheltuielilor efective ale bugetului asigurărilor sociale de stat în anii 2018-2022</w:t>
      </w:r>
    </w:p>
    <w:p w14:paraId="30F23B29" w14:textId="77777777" w:rsidR="003D0784" w:rsidRPr="00736448" w:rsidRDefault="003D0784" w:rsidP="003D0784">
      <w:pPr>
        <w:widowControl w:val="0"/>
        <w:spacing w:after="0" w:line="276" w:lineRule="auto"/>
        <w:jc w:val="right"/>
        <w:rPr>
          <w:rFonts w:ascii="Calibri Light" w:eastAsia="Times New Roman" w:hAnsi="Calibri Light" w:cs="Calibri Light"/>
          <w:b/>
          <w:szCs w:val="24"/>
          <w:lang w:val="ro-MD"/>
        </w:rPr>
      </w:pPr>
      <w:r w:rsidRPr="00736448">
        <w:rPr>
          <w:rFonts w:ascii="Calibri Light" w:eastAsia="Times New Roman" w:hAnsi="Calibri Light" w:cs="Calibri Light"/>
          <w:b/>
          <w:sz w:val="20"/>
          <w:szCs w:val="20"/>
          <w:lang w:val="ro-MD"/>
        </w:rPr>
        <w:t>(mil. lei)</w:t>
      </w:r>
    </w:p>
    <w:p w14:paraId="57D4584E" w14:textId="77777777" w:rsidR="003D0784" w:rsidRPr="00736448" w:rsidRDefault="003D0784" w:rsidP="003D0784">
      <w:pPr>
        <w:tabs>
          <w:tab w:val="left" w:pos="162"/>
        </w:tabs>
        <w:spacing w:after="0" w:line="276" w:lineRule="auto"/>
        <w:jc w:val="both"/>
        <w:rPr>
          <w:rFonts w:ascii="Times New Roman" w:eastAsia="Times New Roman" w:hAnsi="Times New Roman" w:cs="Times New Roman"/>
          <w:noProof/>
          <w:sz w:val="24"/>
          <w:szCs w:val="24"/>
          <w:lang w:val="ro-MD"/>
        </w:rPr>
      </w:pPr>
      <w:r w:rsidRPr="00653E85">
        <w:rPr>
          <w:rFonts w:asciiTheme="majorHAnsi" w:eastAsia="Times New Roman" w:hAnsiTheme="majorHAnsi" w:cstheme="majorHAnsi"/>
          <w:noProof/>
          <w:sz w:val="24"/>
          <w:szCs w:val="24"/>
          <w:lang w:val="ru-RU" w:eastAsia="ru-RU"/>
        </w:rPr>
        <w:drawing>
          <wp:inline distT="0" distB="0" distL="0" distR="0" wp14:anchorId="5B0731E3" wp14:editId="6CA1967E">
            <wp:extent cx="6309360" cy="2857500"/>
            <wp:effectExtent l="0" t="0" r="1524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084C7BF6" w14:textId="217FB594" w:rsidR="003D0784" w:rsidRPr="00736448" w:rsidRDefault="003D0784" w:rsidP="003D0784">
      <w:pPr>
        <w:tabs>
          <w:tab w:val="left" w:pos="6504"/>
        </w:tabs>
        <w:rPr>
          <w:rFonts w:ascii="Times New Roman" w:eastAsia="Times New Roman" w:hAnsi="Times New Roman" w:cs="Times New Roman"/>
          <w:noProof/>
          <w:sz w:val="24"/>
          <w:szCs w:val="24"/>
          <w:lang w:val="ro-MD"/>
        </w:rPr>
      </w:pPr>
      <w:r w:rsidRPr="00736448">
        <w:rPr>
          <w:rFonts w:ascii="Calibri Light" w:eastAsia="Calibri" w:hAnsi="Calibri Light" w:cs="Calibri Light"/>
          <w:b/>
          <w:bCs/>
          <w:i/>
          <w:sz w:val="20"/>
          <w:szCs w:val="20"/>
          <w:lang w:val="ro-MD"/>
        </w:rPr>
        <w:t>Sursă:</w:t>
      </w:r>
      <w:r w:rsidRPr="00736448">
        <w:rPr>
          <w:rFonts w:ascii="Calibri Light" w:eastAsia="Calibri" w:hAnsi="Calibri Light" w:cs="Calibri Light"/>
          <w:i/>
          <w:sz w:val="20"/>
          <w:szCs w:val="20"/>
          <w:lang w:val="ro-MD"/>
        </w:rPr>
        <w:t xml:space="preserve"> Raportul privind executarea bugetului asigurărilor sociale de stat pentru anii 2018-2022</w:t>
      </w:r>
      <w:r w:rsidR="00AA6D17">
        <w:rPr>
          <w:rFonts w:ascii="Calibri Light" w:eastAsia="Calibri" w:hAnsi="Calibri Light" w:cs="Calibri Light"/>
          <w:i/>
          <w:sz w:val="20"/>
          <w:szCs w:val="20"/>
          <w:lang w:val="ro-MD"/>
        </w:rPr>
        <w:t>.</w:t>
      </w:r>
    </w:p>
    <w:p w14:paraId="793C34C0" w14:textId="77777777" w:rsidR="003D0784" w:rsidRPr="00736448" w:rsidRDefault="003D0784" w:rsidP="003D0784">
      <w:pPr>
        <w:rPr>
          <w:rFonts w:asciiTheme="majorHAnsi" w:hAnsiTheme="majorHAnsi" w:cstheme="majorHAnsi"/>
          <w:sz w:val="18"/>
          <w:szCs w:val="18"/>
          <w:lang w:val="ro-MD"/>
        </w:rPr>
      </w:pPr>
    </w:p>
    <w:p w14:paraId="15C0A649" w14:textId="7B543C03" w:rsidR="003D0784" w:rsidRPr="00736448" w:rsidRDefault="003D0784" w:rsidP="003D0784">
      <w:pPr>
        <w:keepNext/>
        <w:keepLines/>
        <w:spacing w:before="40" w:after="0" w:line="240" w:lineRule="auto"/>
        <w:jc w:val="right"/>
        <w:outlineLvl w:val="1"/>
        <w:rPr>
          <w:rFonts w:ascii="Calibri Light" w:eastAsia="Times New Roman" w:hAnsi="Calibri Light" w:cs="Calibri Light"/>
          <w:b/>
          <w:sz w:val="24"/>
          <w:szCs w:val="24"/>
          <w:lang w:val="ro-MD" w:eastAsia="ro-RO"/>
        </w:rPr>
      </w:pPr>
      <w:r w:rsidRPr="00736448">
        <w:rPr>
          <w:rFonts w:ascii="Calibri Light" w:eastAsia="Times New Roman" w:hAnsi="Calibri Light" w:cs="Calibri Light"/>
          <w:b/>
          <w:sz w:val="24"/>
          <w:szCs w:val="24"/>
          <w:lang w:val="ro-MD" w:eastAsia="ro-RO"/>
        </w:rPr>
        <w:t xml:space="preserve">Anexa nr. </w:t>
      </w:r>
      <w:r w:rsidR="008B5EDB" w:rsidRPr="00736448">
        <w:rPr>
          <w:rFonts w:ascii="Calibri Light" w:eastAsia="Times New Roman" w:hAnsi="Calibri Light" w:cs="Calibri Light"/>
          <w:b/>
          <w:sz w:val="24"/>
          <w:szCs w:val="24"/>
          <w:lang w:val="ro-MD" w:eastAsia="ro-RO"/>
        </w:rPr>
        <w:t>19</w:t>
      </w:r>
    </w:p>
    <w:p w14:paraId="1AB7EDCD" w14:textId="77777777" w:rsidR="003D0784" w:rsidRPr="00736448" w:rsidRDefault="003D0784" w:rsidP="003D0784">
      <w:pPr>
        <w:spacing w:after="0" w:line="276" w:lineRule="auto"/>
        <w:jc w:val="center"/>
        <w:rPr>
          <w:rFonts w:ascii="Calibri Light" w:eastAsia="Calibri" w:hAnsi="Calibri Light" w:cs="Calibri Light"/>
          <w:b/>
          <w:bCs/>
          <w:sz w:val="24"/>
          <w:szCs w:val="24"/>
          <w:lang w:val="ro-MD"/>
        </w:rPr>
      </w:pPr>
      <w:r w:rsidRPr="00736448">
        <w:rPr>
          <w:rFonts w:ascii="Calibri Light" w:eastAsia="Calibri" w:hAnsi="Calibri Light" w:cs="Calibri Light"/>
          <w:b/>
          <w:bCs/>
          <w:sz w:val="24"/>
          <w:szCs w:val="24"/>
          <w:lang w:val="ro-MD"/>
        </w:rPr>
        <w:t>Ponderea cheltuielilor pe programe în totalul cheltuielilor BASS, executate în anul 2022</w:t>
      </w:r>
    </w:p>
    <w:p w14:paraId="1D2A9C8E" w14:textId="77777777" w:rsidR="003D0784" w:rsidRPr="00736448" w:rsidRDefault="003D0784" w:rsidP="003D0784">
      <w:pPr>
        <w:spacing w:after="0" w:line="276" w:lineRule="auto"/>
        <w:jc w:val="center"/>
        <w:rPr>
          <w:rFonts w:ascii="Calibri Light" w:eastAsia="Calibri" w:hAnsi="Calibri Light" w:cs="Calibri Light"/>
          <w:b/>
          <w:bCs/>
          <w:sz w:val="24"/>
          <w:szCs w:val="24"/>
          <w:lang w:val="ro-MD"/>
        </w:rPr>
      </w:pPr>
      <w:r w:rsidRPr="00653E85">
        <w:rPr>
          <w:rFonts w:ascii="Calibri Light" w:eastAsia="Calibri" w:hAnsi="Calibri Light" w:cs="Calibri Light"/>
          <w:b/>
          <w:bCs/>
          <w:noProof/>
          <w:sz w:val="24"/>
          <w:szCs w:val="24"/>
          <w:lang w:val="ru-RU" w:eastAsia="ru-RU"/>
        </w:rPr>
        <w:drawing>
          <wp:inline distT="0" distB="0" distL="0" distR="0" wp14:anchorId="4B3B2F16" wp14:editId="202B7481">
            <wp:extent cx="6507480" cy="3200400"/>
            <wp:effectExtent l="0" t="0" r="762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06C4A737" w14:textId="4E9DCDBD" w:rsidR="003D0784" w:rsidRPr="00736448" w:rsidRDefault="003D0784" w:rsidP="003D0784">
      <w:pPr>
        <w:tabs>
          <w:tab w:val="left" w:pos="6504"/>
        </w:tabs>
        <w:jc w:val="both"/>
        <w:rPr>
          <w:rFonts w:ascii="Calibri Light" w:eastAsia="Calibri" w:hAnsi="Calibri Light" w:cs="Calibri Light"/>
          <w:i/>
          <w:sz w:val="20"/>
          <w:szCs w:val="20"/>
          <w:lang w:val="ro-MD"/>
        </w:rPr>
      </w:pPr>
      <w:r w:rsidRPr="00736448">
        <w:rPr>
          <w:rFonts w:ascii="Calibri Light" w:eastAsia="Calibri" w:hAnsi="Calibri Light" w:cs="Calibri Light"/>
          <w:b/>
          <w:i/>
          <w:sz w:val="20"/>
          <w:szCs w:val="20"/>
          <w:lang w:val="ro-MD"/>
        </w:rPr>
        <w:t>Sursă:</w:t>
      </w:r>
      <w:r w:rsidRPr="00736448">
        <w:rPr>
          <w:rFonts w:ascii="Calibri Light" w:eastAsia="Calibri" w:hAnsi="Calibri Light" w:cs="Calibri Light"/>
          <w:i/>
          <w:sz w:val="20"/>
          <w:szCs w:val="20"/>
          <w:lang w:val="ro-MD"/>
        </w:rPr>
        <w:t xml:space="preserve"> Date calculate de audit în baza informațiilor din Raportul privind executarea bugetului asigurărilor sociale de stat pentru anul 2022 (Formularul nr.2 CNAS)</w:t>
      </w:r>
      <w:r w:rsidR="00AA6D17">
        <w:rPr>
          <w:rFonts w:ascii="Calibri Light" w:eastAsia="Calibri" w:hAnsi="Calibri Light" w:cs="Calibri Light"/>
          <w:i/>
          <w:sz w:val="20"/>
          <w:szCs w:val="20"/>
          <w:lang w:val="ro-MD"/>
        </w:rPr>
        <w:t>.</w:t>
      </w:r>
    </w:p>
    <w:p w14:paraId="414FA23A" w14:textId="77777777" w:rsidR="003D0784" w:rsidRPr="00736448" w:rsidRDefault="003D0784" w:rsidP="003D0784">
      <w:pPr>
        <w:tabs>
          <w:tab w:val="left" w:pos="6504"/>
        </w:tabs>
        <w:jc w:val="both"/>
        <w:rPr>
          <w:rFonts w:ascii="Calibri Light" w:eastAsia="Calibri" w:hAnsi="Calibri Light" w:cs="Calibri Light"/>
          <w:i/>
          <w:sz w:val="20"/>
          <w:szCs w:val="20"/>
          <w:lang w:val="ro-MD"/>
        </w:rPr>
      </w:pPr>
    </w:p>
    <w:p w14:paraId="270F5C38" w14:textId="19647356" w:rsidR="003D0784" w:rsidRPr="00736448" w:rsidRDefault="003D0784" w:rsidP="003D0784">
      <w:pPr>
        <w:keepNext/>
        <w:keepLines/>
        <w:spacing w:before="40" w:after="0" w:line="240" w:lineRule="auto"/>
        <w:jc w:val="right"/>
        <w:outlineLvl w:val="1"/>
        <w:rPr>
          <w:rFonts w:ascii="Calibri Light" w:eastAsia="Times New Roman" w:hAnsi="Calibri Light" w:cs="Calibri Light"/>
          <w:b/>
          <w:bCs/>
          <w:sz w:val="24"/>
          <w:szCs w:val="24"/>
          <w:lang w:val="ro-MD" w:eastAsia="ro-RO"/>
        </w:rPr>
      </w:pPr>
      <w:r w:rsidRPr="00736448">
        <w:rPr>
          <w:rFonts w:ascii="Calibri Light" w:eastAsia="Times New Roman" w:hAnsi="Calibri Light" w:cs="Calibri Light"/>
          <w:b/>
          <w:bCs/>
          <w:sz w:val="24"/>
          <w:szCs w:val="24"/>
          <w:lang w:val="ro-MD" w:eastAsia="ro-RO"/>
        </w:rPr>
        <w:t xml:space="preserve">Anexa nr. </w:t>
      </w:r>
      <w:r w:rsidR="008B5EDB" w:rsidRPr="00736448">
        <w:rPr>
          <w:rFonts w:ascii="Calibri Light" w:eastAsia="Times New Roman" w:hAnsi="Calibri Light" w:cs="Calibri Light"/>
          <w:b/>
          <w:bCs/>
          <w:sz w:val="24"/>
          <w:szCs w:val="24"/>
          <w:lang w:val="ro-MD" w:eastAsia="ro-RO"/>
        </w:rPr>
        <w:t>20</w:t>
      </w:r>
    </w:p>
    <w:p w14:paraId="13519F52" w14:textId="77777777" w:rsidR="003D0784" w:rsidRPr="00736448" w:rsidRDefault="003D0784" w:rsidP="003D0784">
      <w:pPr>
        <w:tabs>
          <w:tab w:val="left" w:pos="1080"/>
        </w:tabs>
        <w:spacing w:after="0" w:line="276" w:lineRule="auto"/>
        <w:contextualSpacing/>
        <w:jc w:val="center"/>
        <w:rPr>
          <w:rFonts w:ascii="Calibri Light" w:eastAsia="Calibri" w:hAnsi="Calibri Light" w:cs="Calibri Light"/>
          <w:sz w:val="18"/>
          <w:szCs w:val="18"/>
          <w:lang w:val="ro-MD"/>
        </w:rPr>
      </w:pPr>
      <w:r w:rsidRPr="00736448">
        <w:rPr>
          <w:rFonts w:ascii="Calibri Light" w:eastAsia="Calibri" w:hAnsi="Calibri Light" w:cs="Calibri Light"/>
          <w:b/>
          <w:sz w:val="24"/>
          <w:szCs w:val="24"/>
          <w:lang w:val="ro-MD"/>
        </w:rPr>
        <w:t>Structura cheltuielilor efective privind acordarea pensiilor de asigurări sociale</w:t>
      </w:r>
    </w:p>
    <w:p w14:paraId="3D59D180" w14:textId="77777777" w:rsidR="003D0784" w:rsidRPr="00736448" w:rsidRDefault="003D0784" w:rsidP="003D0784">
      <w:pPr>
        <w:tabs>
          <w:tab w:val="left" w:pos="6504"/>
        </w:tabs>
        <w:spacing w:after="0"/>
        <w:rPr>
          <w:rFonts w:ascii="Calibri" w:eastAsia="Calibri" w:hAnsi="Calibri" w:cs="Times New Roman"/>
          <w:lang w:val="ro-MD"/>
        </w:rPr>
      </w:pPr>
      <w:r w:rsidRPr="00653E85">
        <w:rPr>
          <w:rFonts w:asciiTheme="majorHAnsi" w:hAnsiTheme="majorHAnsi" w:cstheme="majorHAnsi"/>
          <w:noProof/>
          <w:sz w:val="24"/>
          <w:szCs w:val="24"/>
          <w:lang w:val="ru-RU" w:eastAsia="ru-RU"/>
        </w:rPr>
        <w:drawing>
          <wp:inline distT="0" distB="0" distL="0" distR="0" wp14:anchorId="2CB57265" wp14:editId="257765B9">
            <wp:extent cx="6156960" cy="2743200"/>
            <wp:effectExtent l="0" t="0" r="1524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39C6E4A1" w14:textId="77777777" w:rsidR="003D0784" w:rsidRPr="00736448" w:rsidRDefault="003D0784" w:rsidP="003D0784">
      <w:pPr>
        <w:tabs>
          <w:tab w:val="left" w:pos="6504"/>
        </w:tabs>
        <w:spacing w:after="0"/>
        <w:rPr>
          <w:rFonts w:ascii="Calibri Light" w:eastAsia="Calibri" w:hAnsi="Calibri Light" w:cs="Calibri Light"/>
          <w:i/>
          <w:sz w:val="20"/>
          <w:szCs w:val="20"/>
          <w:lang w:val="ro-MD"/>
        </w:rPr>
      </w:pPr>
      <w:r w:rsidRPr="00736448">
        <w:rPr>
          <w:rFonts w:ascii="Calibri Light" w:eastAsia="Calibri" w:hAnsi="Calibri Light" w:cs="Calibri Light"/>
          <w:b/>
          <w:i/>
          <w:sz w:val="20"/>
          <w:szCs w:val="20"/>
          <w:lang w:val="ro-MD"/>
        </w:rPr>
        <w:t>Sursă:</w:t>
      </w:r>
      <w:r w:rsidRPr="00736448">
        <w:rPr>
          <w:rFonts w:ascii="Calibri Light" w:eastAsia="Calibri" w:hAnsi="Calibri Light" w:cs="Calibri Light"/>
          <w:i/>
          <w:sz w:val="20"/>
          <w:szCs w:val="20"/>
          <w:lang w:val="ro-MD"/>
        </w:rPr>
        <w:t xml:space="preserve"> Date calculate de audit reieșind din informațiile Raportului privind executarea bugetului asigurărilor sociale de stat la partea de cheltuieli a prestațiilor sociale, la situația din 01 ianuarie 2023 (Formularul nr.7 CNAS).</w:t>
      </w:r>
    </w:p>
    <w:p w14:paraId="1E3DD91F" w14:textId="77777777" w:rsidR="003D0784" w:rsidRPr="00736448" w:rsidRDefault="003D0784" w:rsidP="003D0784">
      <w:pPr>
        <w:tabs>
          <w:tab w:val="left" w:pos="6504"/>
        </w:tabs>
        <w:jc w:val="both"/>
        <w:rPr>
          <w:rFonts w:ascii="Calibri Light" w:eastAsia="Calibri" w:hAnsi="Calibri Light" w:cs="Calibri Light"/>
          <w:i/>
          <w:sz w:val="20"/>
          <w:szCs w:val="20"/>
          <w:lang w:val="ro-MD"/>
        </w:rPr>
      </w:pPr>
    </w:p>
    <w:p w14:paraId="45BF2B91" w14:textId="77777777" w:rsidR="003D0784" w:rsidRPr="00736448" w:rsidRDefault="003D0784" w:rsidP="003D0784">
      <w:pPr>
        <w:rPr>
          <w:rFonts w:asciiTheme="majorHAnsi" w:hAnsiTheme="majorHAnsi" w:cstheme="majorHAnsi"/>
          <w:sz w:val="18"/>
          <w:szCs w:val="18"/>
          <w:lang w:val="ro-MD"/>
        </w:rPr>
        <w:sectPr w:rsidR="003D0784" w:rsidRPr="00736448" w:rsidSect="005F6348">
          <w:pgSz w:w="12240" w:h="15840"/>
          <w:pgMar w:top="1134" w:right="850" w:bottom="1134" w:left="1620" w:header="720" w:footer="720" w:gutter="0"/>
          <w:cols w:space="720"/>
          <w:docGrid w:linePitch="360"/>
        </w:sectPr>
      </w:pPr>
    </w:p>
    <w:p w14:paraId="51F72115" w14:textId="61FECB47" w:rsidR="003D0784" w:rsidRPr="00736448" w:rsidRDefault="003D0784" w:rsidP="003D0784">
      <w:pPr>
        <w:keepNext/>
        <w:keepLines/>
        <w:spacing w:before="40" w:after="0" w:line="240" w:lineRule="auto"/>
        <w:jc w:val="right"/>
        <w:outlineLvl w:val="1"/>
        <w:rPr>
          <w:rFonts w:ascii="Calibri Light" w:eastAsia="Times New Roman" w:hAnsi="Calibri Light" w:cs="Calibri Light"/>
          <w:b/>
          <w:bCs/>
          <w:sz w:val="24"/>
          <w:szCs w:val="24"/>
          <w:lang w:val="ro-MD" w:eastAsia="ro-RO"/>
        </w:rPr>
      </w:pPr>
      <w:r w:rsidRPr="00736448">
        <w:rPr>
          <w:rFonts w:ascii="Calibri Light" w:eastAsia="Times New Roman" w:hAnsi="Calibri Light" w:cs="Calibri Light"/>
          <w:b/>
          <w:bCs/>
          <w:sz w:val="24"/>
          <w:szCs w:val="24"/>
          <w:lang w:val="ro-MD" w:eastAsia="ro-RO"/>
        </w:rPr>
        <w:t xml:space="preserve">Anexa nr. </w:t>
      </w:r>
      <w:r w:rsidR="008B5EDB" w:rsidRPr="00736448">
        <w:rPr>
          <w:rFonts w:ascii="Calibri Light" w:eastAsia="Times New Roman" w:hAnsi="Calibri Light" w:cs="Calibri Light"/>
          <w:b/>
          <w:bCs/>
          <w:sz w:val="24"/>
          <w:szCs w:val="24"/>
          <w:lang w:val="ro-MD" w:eastAsia="ro-RO"/>
        </w:rPr>
        <w:t>21</w:t>
      </w:r>
    </w:p>
    <w:p w14:paraId="10BD0071" w14:textId="77777777" w:rsidR="003D0784" w:rsidRPr="00736448" w:rsidRDefault="003D0784" w:rsidP="003D0784">
      <w:pPr>
        <w:tabs>
          <w:tab w:val="left" w:pos="6504"/>
        </w:tabs>
        <w:jc w:val="center"/>
        <w:rPr>
          <w:rFonts w:ascii="Calibri Light" w:eastAsia="Calibri" w:hAnsi="Calibri Light" w:cs="Calibri Light"/>
          <w:b/>
          <w:sz w:val="24"/>
          <w:szCs w:val="24"/>
          <w:lang w:val="ro-MD"/>
        </w:rPr>
      </w:pPr>
      <w:r w:rsidRPr="00736448">
        <w:rPr>
          <w:rFonts w:ascii="Calibri Light" w:eastAsia="Calibri" w:hAnsi="Calibri Light" w:cs="Calibri Light"/>
          <w:b/>
          <w:sz w:val="24"/>
          <w:szCs w:val="24"/>
          <w:lang w:val="ro-MD"/>
        </w:rPr>
        <w:t>Numărul real de beneficiari cărora li se calculează plățile sociale, pentru anii 2019 -2022</w:t>
      </w:r>
    </w:p>
    <w:tbl>
      <w:tblPr>
        <w:tblW w:w="14055"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261"/>
        <w:gridCol w:w="1080"/>
        <w:gridCol w:w="1170"/>
        <w:gridCol w:w="1170"/>
        <w:gridCol w:w="1170"/>
        <w:gridCol w:w="1080"/>
        <w:gridCol w:w="810"/>
        <w:gridCol w:w="990"/>
        <w:gridCol w:w="810"/>
        <w:gridCol w:w="891"/>
        <w:gridCol w:w="616"/>
        <w:gridCol w:w="7"/>
      </w:tblGrid>
      <w:tr w:rsidR="003D0784" w:rsidRPr="00B7675F" w14:paraId="5D9FBDAE" w14:textId="77777777" w:rsidTr="00B27804">
        <w:trPr>
          <w:trHeight w:val="20"/>
        </w:trPr>
        <w:tc>
          <w:tcPr>
            <w:tcW w:w="4261" w:type="dxa"/>
            <w:vMerge w:val="restart"/>
            <w:shd w:val="clear" w:color="auto" w:fill="FFFFFF" w:themeFill="background1"/>
            <w:vAlign w:val="center"/>
            <w:hideMark/>
          </w:tcPr>
          <w:p w14:paraId="3DC6B269"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Tipul plății</w:t>
            </w:r>
          </w:p>
        </w:tc>
        <w:tc>
          <w:tcPr>
            <w:tcW w:w="1080" w:type="dxa"/>
            <w:vMerge w:val="restart"/>
            <w:shd w:val="clear" w:color="auto" w:fill="FFFFFF" w:themeFill="background1"/>
            <w:vAlign w:val="center"/>
            <w:hideMark/>
          </w:tcPr>
          <w:p w14:paraId="0AB74B4D"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La data de</w:t>
            </w:r>
          </w:p>
          <w:p w14:paraId="34D084B1"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31.12.2019</w:t>
            </w:r>
          </w:p>
        </w:tc>
        <w:tc>
          <w:tcPr>
            <w:tcW w:w="1170" w:type="dxa"/>
            <w:vMerge w:val="restart"/>
            <w:shd w:val="clear" w:color="auto" w:fill="FFFFFF" w:themeFill="background1"/>
            <w:vAlign w:val="center"/>
            <w:hideMark/>
          </w:tcPr>
          <w:p w14:paraId="3E7F4B39"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La data de</w:t>
            </w:r>
          </w:p>
          <w:p w14:paraId="3475AA24"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31.12.2020</w:t>
            </w:r>
          </w:p>
        </w:tc>
        <w:tc>
          <w:tcPr>
            <w:tcW w:w="1170" w:type="dxa"/>
            <w:vMerge w:val="restart"/>
            <w:shd w:val="clear" w:color="auto" w:fill="FFFFFF" w:themeFill="background1"/>
            <w:vAlign w:val="center"/>
            <w:hideMark/>
          </w:tcPr>
          <w:p w14:paraId="210CF827"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La data de</w:t>
            </w:r>
          </w:p>
          <w:p w14:paraId="0998B82D"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31.12.2021</w:t>
            </w:r>
          </w:p>
        </w:tc>
        <w:tc>
          <w:tcPr>
            <w:tcW w:w="1170" w:type="dxa"/>
            <w:vMerge w:val="restart"/>
            <w:shd w:val="clear" w:color="auto" w:fill="FFFFFF" w:themeFill="background1"/>
            <w:vAlign w:val="center"/>
            <w:hideMark/>
          </w:tcPr>
          <w:p w14:paraId="42DE5F2E"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La data de</w:t>
            </w:r>
          </w:p>
          <w:p w14:paraId="67F63077"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31.12.2022</w:t>
            </w:r>
          </w:p>
        </w:tc>
        <w:tc>
          <w:tcPr>
            <w:tcW w:w="1890" w:type="dxa"/>
            <w:gridSpan w:val="2"/>
            <w:shd w:val="clear" w:color="auto" w:fill="FFFFFF" w:themeFill="background1"/>
            <w:vAlign w:val="center"/>
            <w:hideMark/>
          </w:tcPr>
          <w:p w14:paraId="6AAE2D61"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Devieri 2022/2021</w:t>
            </w:r>
          </w:p>
        </w:tc>
        <w:tc>
          <w:tcPr>
            <w:tcW w:w="1800" w:type="dxa"/>
            <w:gridSpan w:val="2"/>
            <w:shd w:val="clear" w:color="auto" w:fill="FFFFFF" w:themeFill="background1"/>
            <w:vAlign w:val="center"/>
            <w:hideMark/>
          </w:tcPr>
          <w:p w14:paraId="370FCE83"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Devieri 2021/2020</w:t>
            </w:r>
          </w:p>
        </w:tc>
        <w:tc>
          <w:tcPr>
            <w:tcW w:w="1514" w:type="dxa"/>
            <w:gridSpan w:val="3"/>
            <w:shd w:val="clear" w:color="auto" w:fill="FFFFFF" w:themeFill="background1"/>
            <w:vAlign w:val="center"/>
            <w:hideMark/>
          </w:tcPr>
          <w:p w14:paraId="74723D1F"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Devieri 2020/2019</w:t>
            </w:r>
          </w:p>
        </w:tc>
      </w:tr>
      <w:tr w:rsidR="003D0784" w:rsidRPr="00B7675F" w14:paraId="420A2ECD" w14:textId="77777777" w:rsidTr="00B27804">
        <w:trPr>
          <w:gridAfter w:val="1"/>
          <w:wAfter w:w="7" w:type="dxa"/>
          <w:trHeight w:val="20"/>
        </w:trPr>
        <w:tc>
          <w:tcPr>
            <w:tcW w:w="4261" w:type="dxa"/>
            <w:vMerge/>
            <w:shd w:val="clear" w:color="auto" w:fill="FFFFFF" w:themeFill="background1"/>
            <w:vAlign w:val="center"/>
            <w:hideMark/>
          </w:tcPr>
          <w:p w14:paraId="543C99F2" w14:textId="77777777" w:rsidR="003D0784" w:rsidRPr="00736448" w:rsidRDefault="003D0784" w:rsidP="005F6348">
            <w:pPr>
              <w:spacing w:after="0"/>
              <w:rPr>
                <w:rFonts w:asciiTheme="majorHAnsi" w:hAnsiTheme="majorHAnsi" w:cstheme="majorHAnsi"/>
                <w:b/>
                <w:bCs/>
                <w:color w:val="000000"/>
                <w:sz w:val="18"/>
                <w:szCs w:val="18"/>
                <w:lang w:val="ro-MD"/>
              </w:rPr>
            </w:pPr>
          </w:p>
        </w:tc>
        <w:tc>
          <w:tcPr>
            <w:tcW w:w="1080" w:type="dxa"/>
            <w:vMerge/>
            <w:shd w:val="clear" w:color="auto" w:fill="FFFFFF" w:themeFill="background1"/>
            <w:vAlign w:val="center"/>
            <w:hideMark/>
          </w:tcPr>
          <w:p w14:paraId="33EABBAC" w14:textId="77777777" w:rsidR="003D0784" w:rsidRPr="00736448" w:rsidRDefault="003D0784" w:rsidP="005F6348">
            <w:pPr>
              <w:spacing w:after="0"/>
              <w:jc w:val="center"/>
              <w:rPr>
                <w:rFonts w:asciiTheme="majorHAnsi" w:hAnsiTheme="majorHAnsi" w:cstheme="majorHAnsi"/>
                <w:b/>
                <w:bCs/>
                <w:color w:val="000000"/>
                <w:sz w:val="18"/>
                <w:szCs w:val="18"/>
                <w:lang w:val="ro-MD"/>
              </w:rPr>
            </w:pPr>
          </w:p>
        </w:tc>
        <w:tc>
          <w:tcPr>
            <w:tcW w:w="1170" w:type="dxa"/>
            <w:vMerge/>
            <w:shd w:val="clear" w:color="auto" w:fill="FFFFFF" w:themeFill="background1"/>
            <w:vAlign w:val="center"/>
            <w:hideMark/>
          </w:tcPr>
          <w:p w14:paraId="4F2E7865" w14:textId="77777777" w:rsidR="003D0784" w:rsidRPr="00736448" w:rsidRDefault="003D0784" w:rsidP="005F6348">
            <w:pPr>
              <w:spacing w:after="0"/>
              <w:jc w:val="center"/>
              <w:rPr>
                <w:rFonts w:asciiTheme="majorHAnsi" w:hAnsiTheme="majorHAnsi" w:cstheme="majorHAnsi"/>
                <w:b/>
                <w:bCs/>
                <w:color w:val="000000"/>
                <w:sz w:val="18"/>
                <w:szCs w:val="18"/>
                <w:lang w:val="ro-MD"/>
              </w:rPr>
            </w:pPr>
          </w:p>
        </w:tc>
        <w:tc>
          <w:tcPr>
            <w:tcW w:w="1170" w:type="dxa"/>
            <w:vMerge/>
            <w:shd w:val="clear" w:color="auto" w:fill="FFFFFF" w:themeFill="background1"/>
            <w:vAlign w:val="center"/>
            <w:hideMark/>
          </w:tcPr>
          <w:p w14:paraId="44CD9C66" w14:textId="77777777" w:rsidR="003D0784" w:rsidRPr="00736448" w:rsidRDefault="003D0784" w:rsidP="005F6348">
            <w:pPr>
              <w:spacing w:after="0"/>
              <w:jc w:val="center"/>
              <w:rPr>
                <w:rFonts w:asciiTheme="majorHAnsi" w:hAnsiTheme="majorHAnsi" w:cstheme="majorHAnsi"/>
                <w:b/>
                <w:bCs/>
                <w:color w:val="000000"/>
                <w:sz w:val="18"/>
                <w:szCs w:val="18"/>
                <w:lang w:val="ro-MD"/>
              </w:rPr>
            </w:pPr>
          </w:p>
        </w:tc>
        <w:tc>
          <w:tcPr>
            <w:tcW w:w="1170" w:type="dxa"/>
            <w:vMerge/>
            <w:shd w:val="clear" w:color="auto" w:fill="FFFFFF" w:themeFill="background1"/>
            <w:vAlign w:val="center"/>
            <w:hideMark/>
          </w:tcPr>
          <w:p w14:paraId="1EF5C980" w14:textId="77777777" w:rsidR="003D0784" w:rsidRPr="00736448" w:rsidRDefault="003D0784" w:rsidP="005F6348">
            <w:pPr>
              <w:spacing w:after="0"/>
              <w:jc w:val="center"/>
              <w:rPr>
                <w:rFonts w:asciiTheme="majorHAnsi" w:hAnsiTheme="majorHAnsi" w:cstheme="majorHAnsi"/>
                <w:b/>
                <w:bCs/>
                <w:color w:val="000000"/>
                <w:sz w:val="18"/>
                <w:szCs w:val="18"/>
                <w:lang w:val="ro-MD"/>
              </w:rPr>
            </w:pPr>
          </w:p>
        </w:tc>
        <w:tc>
          <w:tcPr>
            <w:tcW w:w="1080" w:type="dxa"/>
            <w:shd w:val="clear" w:color="auto" w:fill="FFFFFF" w:themeFill="background1"/>
            <w:vAlign w:val="center"/>
            <w:hideMark/>
          </w:tcPr>
          <w:p w14:paraId="5640022C"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w:t>
            </w:r>
          </w:p>
        </w:tc>
        <w:tc>
          <w:tcPr>
            <w:tcW w:w="810" w:type="dxa"/>
            <w:shd w:val="clear" w:color="auto" w:fill="FFFFFF" w:themeFill="background1"/>
            <w:vAlign w:val="center"/>
            <w:hideMark/>
          </w:tcPr>
          <w:p w14:paraId="70A0478B"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w:t>
            </w:r>
          </w:p>
        </w:tc>
        <w:tc>
          <w:tcPr>
            <w:tcW w:w="990" w:type="dxa"/>
            <w:shd w:val="clear" w:color="auto" w:fill="FFFFFF" w:themeFill="background1"/>
            <w:vAlign w:val="center"/>
            <w:hideMark/>
          </w:tcPr>
          <w:p w14:paraId="4FE59F79"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w:t>
            </w:r>
          </w:p>
        </w:tc>
        <w:tc>
          <w:tcPr>
            <w:tcW w:w="810" w:type="dxa"/>
            <w:shd w:val="clear" w:color="auto" w:fill="FFFFFF" w:themeFill="background1"/>
            <w:vAlign w:val="center"/>
            <w:hideMark/>
          </w:tcPr>
          <w:p w14:paraId="3723C817"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w:t>
            </w:r>
          </w:p>
        </w:tc>
        <w:tc>
          <w:tcPr>
            <w:tcW w:w="891" w:type="dxa"/>
            <w:shd w:val="clear" w:color="auto" w:fill="FFFFFF" w:themeFill="background1"/>
            <w:vAlign w:val="center"/>
            <w:hideMark/>
          </w:tcPr>
          <w:p w14:paraId="72BFD9BE"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w:t>
            </w:r>
          </w:p>
        </w:tc>
        <w:tc>
          <w:tcPr>
            <w:tcW w:w="616" w:type="dxa"/>
            <w:shd w:val="clear" w:color="auto" w:fill="FFFFFF" w:themeFill="background1"/>
            <w:vAlign w:val="center"/>
            <w:hideMark/>
          </w:tcPr>
          <w:p w14:paraId="4511417D"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w:t>
            </w:r>
          </w:p>
        </w:tc>
      </w:tr>
      <w:tr w:rsidR="003D0784" w:rsidRPr="00B7675F" w14:paraId="69FEAA07" w14:textId="77777777" w:rsidTr="00B27804">
        <w:trPr>
          <w:gridAfter w:val="1"/>
          <w:wAfter w:w="7" w:type="dxa"/>
          <w:trHeight w:val="20"/>
        </w:trPr>
        <w:tc>
          <w:tcPr>
            <w:tcW w:w="4261" w:type="dxa"/>
            <w:shd w:val="clear" w:color="auto" w:fill="FFFFFF" w:themeFill="background1"/>
            <w:vAlign w:val="center"/>
            <w:hideMark/>
          </w:tcPr>
          <w:p w14:paraId="1BB258E0" w14:textId="77777777" w:rsidR="003D0784" w:rsidRPr="00736448" w:rsidRDefault="003D0784" w:rsidP="005F6348">
            <w:pPr>
              <w:spacing w:after="0"/>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persoanelor în etate, pensie (pentru limită de vârstă, pensie pentru deputați, pensie pentru procurori)</w:t>
            </w:r>
          </w:p>
        </w:tc>
        <w:tc>
          <w:tcPr>
            <w:tcW w:w="1080" w:type="dxa"/>
            <w:shd w:val="clear" w:color="auto" w:fill="FFFFFF" w:themeFill="background1"/>
            <w:vAlign w:val="center"/>
            <w:hideMark/>
          </w:tcPr>
          <w:p w14:paraId="24083A2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538519</w:t>
            </w:r>
          </w:p>
        </w:tc>
        <w:tc>
          <w:tcPr>
            <w:tcW w:w="1170" w:type="dxa"/>
            <w:shd w:val="clear" w:color="auto" w:fill="FFFFFF" w:themeFill="background1"/>
            <w:vAlign w:val="center"/>
            <w:hideMark/>
          </w:tcPr>
          <w:p w14:paraId="6AABCD8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532979</w:t>
            </w:r>
          </w:p>
        </w:tc>
        <w:tc>
          <w:tcPr>
            <w:tcW w:w="1170" w:type="dxa"/>
            <w:shd w:val="clear" w:color="auto" w:fill="FFFFFF" w:themeFill="background1"/>
            <w:vAlign w:val="center"/>
            <w:hideMark/>
          </w:tcPr>
          <w:p w14:paraId="5BF861F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529359</w:t>
            </w:r>
          </w:p>
        </w:tc>
        <w:tc>
          <w:tcPr>
            <w:tcW w:w="1170" w:type="dxa"/>
            <w:shd w:val="clear" w:color="auto" w:fill="FFFFFF" w:themeFill="background1"/>
            <w:vAlign w:val="center"/>
            <w:hideMark/>
          </w:tcPr>
          <w:p w14:paraId="62D3748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538300</w:t>
            </w:r>
          </w:p>
        </w:tc>
        <w:tc>
          <w:tcPr>
            <w:tcW w:w="1080" w:type="dxa"/>
            <w:shd w:val="clear" w:color="auto" w:fill="FFFFFF" w:themeFill="background1"/>
            <w:vAlign w:val="center"/>
            <w:hideMark/>
          </w:tcPr>
          <w:p w14:paraId="652B696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8941</w:t>
            </w:r>
          </w:p>
        </w:tc>
        <w:tc>
          <w:tcPr>
            <w:tcW w:w="810" w:type="dxa"/>
            <w:shd w:val="clear" w:color="auto" w:fill="FFFFFF" w:themeFill="background1"/>
            <w:vAlign w:val="center"/>
            <w:hideMark/>
          </w:tcPr>
          <w:p w14:paraId="4D76FA3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101.7</w:t>
            </w:r>
          </w:p>
        </w:tc>
        <w:tc>
          <w:tcPr>
            <w:tcW w:w="990" w:type="dxa"/>
            <w:shd w:val="clear" w:color="auto" w:fill="FFFFFF" w:themeFill="background1"/>
            <w:vAlign w:val="center"/>
            <w:hideMark/>
          </w:tcPr>
          <w:p w14:paraId="686913F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-3620</w:t>
            </w:r>
          </w:p>
        </w:tc>
        <w:tc>
          <w:tcPr>
            <w:tcW w:w="810" w:type="dxa"/>
            <w:shd w:val="clear" w:color="auto" w:fill="FFFFFF" w:themeFill="background1"/>
            <w:vAlign w:val="center"/>
            <w:hideMark/>
          </w:tcPr>
          <w:p w14:paraId="2230200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99.3</w:t>
            </w:r>
          </w:p>
        </w:tc>
        <w:tc>
          <w:tcPr>
            <w:tcW w:w="891" w:type="dxa"/>
            <w:shd w:val="clear" w:color="auto" w:fill="FFFFFF" w:themeFill="background1"/>
            <w:vAlign w:val="center"/>
            <w:hideMark/>
          </w:tcPr>
          <w:p w14:paraId="2B4AA8C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-5540</w:t>
            </w:r>
          </w:p>
        </w:tc>
        <w:tc>
          <w:tcPr>
            <w:tcW w:w="616" w:type="dxa"/>
            <w:shd w:val="clear" w:color="auto" w:fill="FFFFFF" w:themeFill="background1"/>
            <w:vAlign w:val="center"/>
            <w:hideMark/>
          </w:tcPr>
          <w:p w14:paraId="6A3ABA0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99</w:t>
            </w:r>
          </w:p>
        </w:tc>
      </w:tr>
      <w:tr w:rsidR="003D0784" w:rsidRPr="00B7675F" w14:paraId="0AEC1494" w14:textId="77777777" w:rsidTr="00B27804">
        <w:trPr>
          <w:gridAfter w:val="1"/>
          <w:wAfter w:w="7" w:type="dxa"/>
          <w:trHeight w:val="20"/>
        </w:trPr>
        <w:tc>
          <w:tcPr>
            <w:tcW w:w="4261" w:type="dxa"/>
            <w:shd w:val="clear" w:color="auto" w:fill="FFFFFF" w:themeFill="background1"/>
            <w:vAlign w:val="center"/>
            <w:hideMark/>
          </w:tcPr>
          <w:p w14:paraId="69CDBD6F" w14:textId="77777777" w:rsidR="003D0784" w:rsidRPr="00736448" w:rsidRDefault="003D0784" w:rsidP="005F6348">
            <w:pPr>
              <w:spacing w:after="0"/>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Protecție în legătură cu pierderea întreținătorului (pensie de urmaș etc.)</w:t>
            </w:r>
          </w:p>
        </w:tc>
        <w:tc>
          <w:tcPr>
            <w:tcW w:w="1080" w:type="dxa"/>
            <w:shd w:val="clear" w:color="auto" w:fill="FFFFFF" w:themeFill="background1"/>
            <w:vAlign w:val="center"/>
            <w:hideMark/>
          </w:tcPr>
          <w:p w14:paraId="14E944F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43091</w:t>
            </w:r>
          </w:p>
        </w:tc>
        <w:tc>
          <w:tcPr>
            <w:tcW w:w="1170" w:type="dxa"/>
            <w:shd w:val="clear" w:color="auto" w:fill="FFFFFF" w:themeFill="background1"/>
            <w:vAlign w:val="center"/>
            <w:hideMark/>
          </w:tcPr>
          <w:p w14:paraId="5406571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45798</w:t>
            </w:r>
          </w:p>
        </w:tc>
        <w:tc>
          <w:tcPr>
            <w:tcW w:w="1170" w:type="dxa"/>
            <w:shd w:val="clear" w:color="auto" w:fill="FFFFFF" w:themeFill="background1"/>
            <w:vAlign w:val="center"/>
            <w:hideMark/>
          </w:tcPr>
          <w:p w14:paraId="12481E7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52386</w:t>
            </w:r>
          </w:p>
        </w:tc>
        <w:tc>
          <w:tcPr>
            <w:tcW w:w="1170" w:type="dxa"/>
            <w:shd w:val="clear" w:color="auto" w:fill="FFFFFF" w:themeFill="background1"/>
            <w:vAlign w:val="center"/>
            <w:hideMark/>
          </w:tcPr>
          <w:p w14:paraId="73C69B6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44843</w:t>
            </w:r>
          </w:p>
        </w:tc>
        <w:tc>
          <w:tcPr>
            <w:tcW w:w="1080" w:type="dxa"/>
            <w:shd w:val="clear" w:color="auto" w:fill="FFFFFF" w:themeFill="background1"/>
            <w:vAlign w:val="center"/>
            <w:hideMark/>
          </w:tcPr>
          <w:p w14:paraId="2544407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-7543</w:t>
            </w:r>
          </w:p>
        </w:tc>
        <w:tc>
          <w:tcPr>
            <w:tcW w:w="810" w:type="dxa"/>
            <w:shd w:val="clear" w:color="auto" w:fill="FFFFFF" w:themeFill="background1"/>
            <w:vAlign w:val="center"/>
            <w:hideMark/>
          </w:tcPr>
          <w:p w14:paraId="4669054B"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85.6</w:t>
            </w:r>
          </w:p>
        </w:tc>
        <w:tc>
          <w:tcPr>
            <w:tcW w:w="990" w:type="dxa"/>
            <w:shd w:val="clear" w:color="auto" w:fill="FFFFFF" w:themeFill="background1"/>
            <w:vAlign w:val="center"/>
            <w:hideMark/>
          </w:tcPr>
          <w:p w14:paraId="45FCEAB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6588</w:t>
            </w:r>
          </w:p>
        </w:tc>
        <w:tc>
          <w:tcPr>
            <w:tcW w:w="810" w:type="dxa"/>
            <w:shd w:val="clear" w:color="auto" w:fill="FFFFFF" w:themeFill="background1"/>
            <w:vAlign w:val="center"/>
            <w:hideMark/>
          </w:tcPr>
          <w:p w14:paraId="12C5012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114</w:t>
            </w:r>
          </w:p>
        </w:tc>
        <w:tc>
          <w:tcPr>
            <w:tcW w:w="891" w:type="dxa"/>
            <w:shd w:val="clear" w:color="auto" w:fill="FFFFFF" w:themeFill="background1"/>
            <w:vAlign w:val="center"/>
            <w:hideMark/>
          </w:tcPr>
          <w:p w14:paraId="2AC97E5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2707</w:t>
            </w:r>
          </w:p>
        </w:tc>
        <w:tc>
          <w:tcPr>
            <w:tcW w:w="616" w:type="dxa"/>
            <w:shd w:val="clear" w:color="auto" w:fill="FFFFFF" w:themeFill="background1"/>
            <w:vAlign w:val="center"/>
            <w:hideMark/>
          </w:tcPr>
          <w:p w14:paraId="0EFFEB2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106</w:t>
            </w:r>
          </w:p>
        </w:tc>
      </w:tr>
      <w:tr w:rsidR="003D0784" w:rsidRPr="00B7675F" w14:paraId="2F36CD63" w14:textId="77777777" w:rsidTr="00B27804">
        <w:trPr>
          <w:gridAfter w:val="1"/>
          <w:wAfter w:w="7" w:type="dxa"/>
          <w:trHeight w:val="20"/>
        </w:trPr>
        <w:tc>
          <w:tcPr>
            <w:tcW w:w="4261" w:type="dxa"/>
            <w:shd w:val="clear" w:color="auto" w:fill="FFFFFF" w:themeFill="background1"/>
            <w:vAlign w:val="center"/>
            <w:hideMark/>
          </w:tcPr>
          <w:p w14:paraId="1DDE1F1A"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persoanelor cu dizabilități</w:t>
            </w:r>
          </w:p>
        </w:tc>
        <w:tc>
          <w:tcPr>
            <w:tcW w:w="1080" w:type="dxa"/>
            <w:shd w:val="clear" w:color="auto" w:fill="FFFFFF" w:themeFill="background1"/>
            <w:vAlign w:val="center"/>
            <w:hideMark/>
          </w:tcPr>
          <w:p w14:paraId="6D5BD7C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123276</w:t>
            </w:r>
          </w:p>
        </w:tc>
        <w:tc>
          <w:tcPr>
            <w:tcW w:w="1170" w:type="dxa"/>
            <w:shd w:val="clear" w:color="auto" w:fill="FFFFFF" w:themeFill="background1"/>
            <w:vAlign w:val="center"/>
            <w:hideMark/>
          </w:tcPr>
          <w:p w14:paraId="7772A58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119389</w:t>
            </w:r>
          </w:p>
        </w:tc>
        <w:tc>
          <w:tcPr>
            <w:tcW w:w="1170" w:type="dxa"/>
            <w:shd w:val="clear" w:color="auto" w:fill="FFFFFF" w:themeFill="background1"/>
            <w:vAlign w:val="center"/>
            <w:hideMark/>
          </w:tcPr>
          <w:p w14:paraId="0444B54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111224</w:t>
            </w:r>
          </w:p>
        </w:tc>
        <w:tc>
          <w:tcPr>
            <w:tcW w:w="1170" w:type="dxa"/>
            <w:shd w:val="clear" w:color="auto" w:fill="FFFFFF" w:themeFill="background1"/>
            <w:vAlign w:val="center"/>
            <w:hideMark/>
          </w:tcPr>
          <w:p w14:paraId="5AEA8C0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102643</w:t>
            </w:r>
          </w:p>
        </w:tc>
        <w:tc>
          <w:tcPr>
            <w:tcW w:w="1080" w:type="dxa"/>
            <w:shd w:val="clear" w:color="auto" w:fill="FFFFFF" w:themeFill="background1"/>
            <w:vAlign w:val="center"/>
            <w:hideMark/>
          </w:tcPr>
          <w:p w14:paraId="7309D2D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-8581</w:t>
            </w:r>
          </w:p>
        </w:tc>
        <w:tc>
          <w:tcPr>
            <w:tcW w:w="810" w:type="dxa"/>
            <w:shd w:val="clear" w:color="auto" w:fill="FFFFFF" w:themeFill="background1"/>
            <w:vAlign w:val="center"/>
            <w:hideMark/>
          </w:tcPr>
          <w:p w14:paraId="5AEA38BA"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92.28</w:t>
            </w:r>
          </w:p>
        </w:tc>
        <w:tc>
          <w:tcPr>
            <w:tcW w:w="990" w:type="dxa"/>
            <w:shd w:val="clear" w:color="auto" w:fill="FFFFFF" w:themeFill="background1"/>
            <w:vAlign w:val="center"/>
            <w:hideMark/>
          </w:tcPr>
          <w:p w14:paraId="668F217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-8165</w:t>
            </w:r>
          </w:p>
        </w:tc>
        <w:tc>
          <w:tcPr>
            <w:tcW w:w="810" w:type="dxa"/>
            <w:shd w:val="clear" w:color="auto" w:fill="FFFFFF" w:themeFill="background1"/>
            <w:vAlign w:val="center"/>
            <w:hideMark/>
          </w:tcPr>
          <w:p w14:paraId="1C02DF2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93.2</w:t>
            </w:r>
          </w:p>
        </w:tc>
        <w:tc>
          <w:tcPr>
            <w:tcW w:w="891" w:type="dxa"/>
            <w:shd w:val="clear" w:color="auto" w:fill="FFFFFF" w:themeFill="background1"/>
            <w:vAlign w:val="center"/>
            <w:hideMark/>
          </w:tcPr>
          <w:p w14:paraId="353741EB"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-3887</w:t>
            </w:r>
          </w:p>
        </w:tc>
        <w:tc>
          <w:tcPr>
            <w:tcW w:w="616" w:type="dxa"/>
            <w:shd w:val="clear" w:color="auto" w:fill="FFFFFF" w:themeFill="background1"/>
            <w:vAlign w:val="center"/>
            <w:hideMark/>
          </w:tcPr>
          <w:p w14:paraId="23E8A60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96.8</w:t>
            </w:r>
          </w:p>
        </w:tc>
      </w:tr>
      <w:tr w:rsidR="003D0784" w:rsidRPr="00B7675F" w14:paraId="138A26F3" w14:textId="77777777" w:rsidTr="00B27804">
        <w:trPr>
          <w:gridAfter w:val="1"/>
          <w:wAfter w:w="7" w:type="dxa"/>
          <w:trHeight w:val="20"/>
        </w:trPr>
        <w:tc>
          <w:tcPr>
            <w:tcW w:w="4261" w:type="dxa"/>
            <w:shd w:val="clear" w:color="auto" w:fill="FFFFFF" w:themeFill="background1"/>
            <w:vAlign w:val="center"/>
            <w:hideMark/>
          </w:tcPr>
          <w:p w14:paraId="64721D30"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Protecție în caz de incapacitate temporară de muncă</w:t>
            </w:r>
          </w:p>
        </w:tc>
        <w:tc>
          <w:tcPr>
            <w:tcW w:w="1080" w:type="dxa"/>
            <w:shd w:val="clear" w:color="auto" w:fill="FFFFFF" w:themeFill="background1"/>
            <w:vAlign w:val="center"/>
            <w:hideMark/>
          </w:tcPr>
          <w:p w14:paraId="08D6AC8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217997</w:t>
            </w:r>
          </w:p>
        </w:tc>
        <w:tc>
          <w:tcPr>
            <w:tcW w:w="1170" w:type="dxa"/>
            <w:shd w:val="clear" w:color="auto" w:fill="FFFFFF" w:themeFill="background1"/>
            <w:vAlign w:val="center"/>
            <w:hideMark/>
          </w:tcPr>
          <w:p w14:paraId="2EA68F9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221525</w:t>
            </w:r>
          </w:p>
        </w:tc>
        <w:tc>
          <w:tcPr>
            <w:tcW w:w="1170" w:type="dxa"/>
            <w:shd w:val="clear" w:color="auto" w:fill="FFFFFF" w:themeFill="background1"/>
            <w:vAlign w:val="center"/>
            <w:hideMark/>
          </w:tcPr>
          <w:p w14:paraId="46DE683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253979</w:t>
            </w:r>
          </w:p>
        </w:tc>
        <w:tc>
          <w:tcPr>
            <w:tcW w:w="1170" w:type="dxa"/>
            <w:shd w:val="clear" w:color="auto" w:fill="FFFFFF" w:themeFill="background1"/>
            <w:vAlign w:val="center"/>
            <w:hideMark/>
          </w:tcPr>
          <w:p w14:paraId="5D501AA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209811</w:t>
            </w:r>
          </w:p>
        </w:tc>
        <w:tc>
          <w:tcPr>
            <w:tcW w:w="1080" w:type="dxa"/>
            <w:shd w:val="clear" w:color="auto" w:fill="FFFFFF" w:themeFill="background1"/>
            <w:vAlign w:val="center"/>
            <w:hideMark/>
          </w:tcPr>
          <w:p w14:paraId="651C813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-44168</w:t>
            </w:r>
          </w:p>
        </w:tc>
        <w:tc>
          <w:tcPr>
            <w:tcW w:w="810" w:type="dxa"/>
            <w:shd w:val="clear" w:color="auto" w:fill="FFFFFF" w:themeFill="background1"/>
            <w:vAlign w:val="center"/>
            <w:hideMark/>
          </w:tcPr>
          <w:p w14:paraId="11960C6D"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82.61</w:t>
            </w:r>
          </w:p>
        </w:tc>
        <w:tc>
          <w:tcPr>
            <w:tcW w:w="990" w:type="dxa"/>
            <w:shd w:val="clear" w:color="auto" w:fill="FFFFFF" w:themeFill="background1"/>
            <w:vAlign w:val="center"/>
            <w:hideMark/>
          </w:tcPr>
          <w:p w14:paraId="4467653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32454</w:t>
            </w:r>
          </w:p>
        </w:tc>
        <w:tc>
          <w:tcPr>
            <w:tcW w:w="810" w:type="dxa"/>
            <w:shd w:val="clear" w:color="auto" w:fill="FFFFFF" w:themeFill="background1"/>
            <w:vAlign w:val="center"/>
            <w:hideMark/>
          </w:tcPr>
          <w:p w14:paraId="4DA31B5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115</w:t>
            </w:r>
          </w:p>
        </w:tc>
        <w:tc>
          <w:tcPr>
            <w:tcW w:w="891" w:type="dxa"/>
            <w:shd w:val="clear" w:color="auto" w:fill="FFFFFF" w:themeFill="background1"/>
            <w:vAlign w:val="center"/>
            <w:hideMark/>
          </w:tcPr>
          <w:p w14:paraId="055BC39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3528</w:t>
            </w:r>
          </w:p>
        </w:tc>
        <w:tc>
          <w:tcPr>
            <w:tcW w:w="616" w:type="dxa"/>
            <w:shd w:val="clear" w:color="auto" w:fill="FFFFFF" w:themeFill="background1"/>
            <w:vAlign w:val="center"/>
            <w:hideMark/>
          </w:tcPr>
          <w:p w14:paraId="2C6AAD6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102</w:t>
            </w:r>
          </w:p>
        </w:tc>
      </w:tr>
      <w:tr w:rsidR="003D0784" w:rsidRPr="00B7675F" w14:paraId="3603E167" w14:textId="77777777" w:rsidTr="00B27804">
        <w:trPr>
          <w:gridAfter w:val="1"/>
          <w:wAfter w:w="7" w:type="dxa"/>
          <w:trHeight w:val="20"/>
        </w:trPr>
        <w:tc>
          <w:tcPr>
            <w:tcW w:w="4261" w:type="dxa"/>
            <w:shd w:val="clear" w:color="auto" w:fill="FFFFFF" w:themeFill="background1"/>
            <w:vAlign w:val="center"/>
            <w:hideMark/>
          </w:tcPr>
          <w:p w14:paraId="36050169"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familiei și copilului (indemnizație de maternitate, de îngrijire a copilului până la vârsta de 3 ani etc.)</w:t>
            </w:r>
          </w:p>
        </w:tc>
        <w:tc>
          <w:tcPr>
            <w:tcW w:w="1080" w:type="dxa"/>
            <w:shd w:val="clear" w:color="auto" w:fill="FFFFFF" w:themeFill="background1"/>
            <w:vAlign w:val="center"/>
            <w:hideMark/>
          </w:tcPr>
          <w:p w14:paraId="7913D76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72856</w:t>
            </w:r>
          </w:p>
        </w:tc>
        <w:tc>
          <w:tcPr>
            <w:tcW w:w="1170" w:type="dxa"/>
            <w:shd w:val="clear" w:color="auto" w:fill="FFFFFF" w:themeFill="background1"/>
            <w:vAlign w:val="center"/>
            <w:hideMark/>
          </w:tcPr>
          <w:p w14:paraId="093BAED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73863</w:t>
            </w:r>
          </w:p>
        </w:tc>
        <w:tc>
          <w:tcPr>
            <w:tcW w:w="1170" w:type="dxa"/>
            <w:shd w:val="clear" w:color="auto" w:fill="FFFFFF" w:themeFill="background1"/>
            <w:vAlign w:val="center"/>
            <w:hideMark/>
          </w:tcPr>
          <w:p w14:paraId="51AE291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73482</w:t>
            </w:r>
          </w:p>
        </w:tc>
        <w:tc>
          <w:tcPr>
            <w:tcW w:w="1170" w:type="dxa"/>
            <w:shd w:val="clear" w:color="auto" w:fill="FFFFFF" w:themeFill="background1"/>
            <w:vAlign w:val="center"/>
            <w:hideMark/>
          </w:tcPr>
          <w:p w14:paraId="216C4FA6"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110150</w:t>
            </w:r>
          </w:p>
        </w:tc>
        <w:tc>
          <w:tcPr>
            <w:tcW w:w="1080" w:type="dxa"/>
            <w:shd w:val="clear" w:color="auto" w:fill="FFFFFF" w:themeFill="background1"/>
            <w:vAlign w:val="center"/>
            <w:hideMark/>
          </w:tcPr>
          <w:p w14:paraId="53384E6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36668</w:t>
            </w:r>
          </w:p>
        </w:tc>
        <w:tc>
          <w:tcPr>
            <w:tcW w:w="810" w:type="dxa"/>
            <w:shd w:val="clear" w:color="auto" w:fill="FFFFFF" w:themeFill="background1"/>
            <w:vAlign w:val="center"/>
            <w:hideMark/>
          </w:tcPr>
          <w:p w14:paraId="32256B2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149.9</w:t>
            </w:r>
          </w:p>
        </w:tc>
        <w:tc>
          <w:tcPr>
            <w:tcW w:w="990" w:type="dxa"/>
            <w:shd w:val="clear" w:color="auto" w:fill="FFFFFF" w:themeFill="background1"/>
            <w:vAlign w:val="center"/>
            <w:hideMark/>
          </w:tcPr>
          <w:p w14:paraId="608BF8C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-381</w:t>
            </w:r>
          </w:p>
        </w:tc>
        <w:tc>
          <w:tcPr>
            <w:tcW w:w="810" w:type="dxa"/>
            <w:shd w:val="clear" w:color="auto" w:fill="FFFFFF" w:themeFill="background1"/>
            <w:vAlign w:val="center"/>
            <w:hideMark/>
          </w:tcPr>
          <w:p w14:paraId="74D2D23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99.5</w:t>
            </w:r>
          </w:p>
        </w:tc>
        <w:tc>
          <w:tcPr>
            <w:tcW w:w="891" w:type="dxa"/>
            <w:shd w:val="clear" w:color="auto" w:fill="FFFFFF" w:themeFill="background1"/>
            <w:vAlign w:val="center"/>
            <w:hideMark/>
          </w:tcPr>
          <w:p w14:paraId="56D65F9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1007</w:t>
            </w:r>
          </w:p>
        </w:tc>
        <w:tc>
          <w:tcPr>
            <w:tcW w:w="616" w:type="dxa"/>
            <w:shd w:val="clear" w:color="auto" w:fill="FFFFFF" w:themeFill="background1"/>
            <w:vAlign w:val="center"/>
            <w:hideMark/>
          </w:tcPr>
          <w:p w14:paraId="791F04B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101</w:t>
            </w:r>
          </w:p>
        </w:tc>
      </w:tr>
      <w:tr w:rsidR="003D0784" w:rsidRPr="00B7675F" w14:paraId="0DB756D1" w14:textId="77777777" w:rsidTr="00B27804">
        <w:trPr>
          <w:gridAfter w:val="1"/>
          <w:wAfter w:w="7" w:type="dxa"/>
          <w:trHeight w:val="20"/>
        </w:trPr>
        <w:tc>
          <w:tcPr>
            <w:tcW w:w="4261" w:type="dxa"/>
            <w:shd w:val="clear" w:color="auto" w:fill="FFFFFF" w:themeFill="background1"/>
            <w:vAlign w:val="center"/>
            <w:hideMark/>
          </w:tcPr>
          <w:p w14:paraId="4DEB03DC"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 xml:space="preserve">Protecția șomerilor </w:t>
            </w:r>
          </w:p>
        </w:tc>
        <w:tc>
          <w:tcPr>
            <w:tcW w:w="1080" w:type="dxa"/>
            <w:shd w:val="clear" w:color="auto" w:fill="FFFFFF" w:themeFill="background1"/>
            <w:vAlign w:val="center"/>
            <w:hideMark/>
          </w:tcPr>
          <w:p w14:paraId="4BFFE7C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2654</w:t>
            </w:r>
          </w:p>
        </w:tc>
        <w:tc>
          <w:tcPr>
            <w:tcW w:w="1170" w:type="dxa"/>
            <w:shd w:val="clear" w:color="auto" w:fill="FFFFFF" w:themeFill="background1"/>
            <w:vAlign w:val="center"/>
            <w:hideMark/>
          </w:tcPr>
          <w:p w14:paraId="336BF43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3010</w:t>
            </w:r>
          </w:p>
        </w:tc>
        <w:tc>
          <w:tcPr>
            <w:tcW w:w="1170" w:type="dxa"/>
            <w:shd w:val="clear" w:color="auto" w:fill="FFFFFF" w:themeFill="background1"/>
            <w:vAlign w:val="center"/>
            <w:hideMark/>
          </w:tcPr>
          <w:p w14:paraId="4F83E466"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1945</w:t>
            </w:r>
          </w:p>
        </w:tc>
        <w:tc>
          <w:tcPr>
            <w:tcW w:w="1170" w:type="dxa"/>
            <w:shd w:val="clear" w:color="auto" w:fill="FFFFFF" w:themeFill="background1"/>
            <w:vAlign w:val="center"/>
            <w:hideMark/>
          </w:tcPr>
          <w:p w14:paraId="11DE0CC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2062</w:t>
            </w:r>
          </w:p>
        </w:tc>
        <w:tc>
          <w:tcPr>
            <w:tcW w:w="1080" w:type="dxa"/>
            <w:shd w:val="clear" w:color="auto" w:fill="FFFFFF" w:themeFill="background1"/>
            <w:vAlign w:val="center"/>
            <w:hideMark/>
          </w:tcPr>
          <w:p w14:paraId="0E9CDB1A"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117</w:t>
            </w:r>
          </w:p>
        </w:tc>
        <w:tc>
          <w:tcPr>
            <w:tcW w:w="810" w:type="dxa"/>
            <w:shd w:val="clear" w:color="auto" w:fill="FFFFFF" w:themeFill="background1"/>
            <w:vAlign w:val="center"/>
            <w:hideMark/>
          </w:tcPr>
          <w:p w14:paraId="328E3FC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106</w:t>
            </w:r>
          </w:p>
        </w:tc>
        <w:tc>
          <w:tcPr>
            <w:tcW w:w="990" w:type="dxa"/>
            <w:shd w:val="clear" w:color="auto" w:fill="FFFFFF" w:themeFill="background1"/>
            <w:vAlign w:val="center"/>
            <w:hideMark/>
          </w:tcPr>
          <w:p w14:paraId="1630714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-1065</w:t>
            </w:r>
          </w:p>
        </w:tc>
        <w:tc>
          <w:tcPr>
            <w:tcW w:w="810" w:type="dxa"/>
            <w:shd w:val="clear" w:color="auto" w:fill="FFFFFF" w:themeFill="background1"/>
            <w:vAlign w:val="center"/>
            <w:hideMark/>
          </w:tcPr>
          <w:p w14:paraId="5B76AA66"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64.6</w:t>
            </w:r>
          </w:p>
        </w:tc>
        <w:tc>
          <w:tcPr>
            <w:tcW w:w="891" w:type="dxa"/>
            <w:shd w:val="clear" w:color="auto" w:fill="FFFFFF" w:themeFill="background1"/>
            <w:vAlign w:val="center"/>
            <w:hideMark/>
          </w:tcPr>
          <w:p w14:paraId="727403B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356</w:t>
            </w:r>
          </w:p>
        </w:tc>
        <w:tc>
          <w:tcPr>
            <w:tcW w:w="616" w:type="dxa"/>
            <w:shd w:val="clear" w:color="auto" w:fill="FFFFFF" w:themeFill="background1"/>
            <w:vAlign w:val="center"/>
            <w:hideMark/>
          </w:tcPr>
          <w:p w14:paraId="67BE61B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113</w:t>
            </w:r>
          </w:p>
        </w:tc>
      </w:tr>
      <w:tr w:rsidR="003D0784" w:rsidRPr="00B7675F" w14:paraId="7DF41A74" w14:textId="77777777" w:rsidTr="00B27804">
        <w:trPr>
          <w:gridAfter w:val="1"/>
          <w:wAfter w:w="7" w:type="dxa"/>
          <w:trHeight w:val="20"/>
        </w:trPr>
        <w:tc>
          <w:tcPr>
            <w:tcW w:w="4261" w:type="dxa"/>
            <w:shd w:val="clear" w:color="auto" w:fill="FFFFFF" w:themeFill="background1"/>
            <w:vAlign w:val="center"/>
            <w:hideMark/>
          </w:tcPr>
          <w:p w14:paraId="4D8A3F48"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socială a unor categorii de cetățeni (tratament balneo-sanatorial)</w:t>
            </w:r>
          </w:p>
        </w:tc>
        <w:tc>
          <w:tcPr>
            <w:tcW w:w="1080" w:type="dxa"/>
            <w:shd w:val="clear" w:color="auto" w:fill="FFFFFF" w:themeFill="background1"/>
            <w:vAlign w:val="center"/>
            <w:hideMark/>
          </w:tcPr>
          <w:p w14:paraId="4BAA7F3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7092</w:t>
            </w:r>
          </w:p>
        </w:tc>
        <w:tc>
          <w:tcPr>
            <w:tcW w:w="1170" w:type="dxa"/>
            <w:shd w:val="clear" w:color="auto" w:fill="FFFFFF" w:themeFill="background1"/>
            <w:vAlign w:val="center"/>
            <w:hideMark/>
          </w:tcPr>
          <w:p w14:paraId="66DEC3C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1725</w:t>
            </w:r>
          </w:p>
        </w:tc>
        <w:tc>
          <w:tcPr>
            <w:tcW w:w="1170" w:type="dxa"/>
            <w:shd w:val="clear" w:color="auto" w:fill="FFFFFF" w:themeFill="background1"/>
            <w:vAlign w:val="center"/>
            <w:hideMark/>
          </w:tcPr>
          <w:p w14:paraId="0B08C97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4202</w:t>
            </w:r>
          </w:p>
        </w:tc>
        <w:tc>
          <w:tcPr>
            <w:tcW w:w="1170" w:type="dxa"/>
            <w:shd w:val="clear" w:color="auto" w:fill="FFFFFF" w:themeFill="background1"/>
            <w:vAlign w:val="center"/>
            <w:hideMark/>
          </w:tcPr>
          <w:p w14:paraId="6B25817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3999</w:t>
            </w:r>
          </w:p>
        </w:tc>
        <w:tc>
          <w:tcPr>
            <w:tcW w:w="1080" w:type="dxa"/>
            <w:shd w:val="clear" w:color="auto" w:fill="FFFFFF" w:themeFill="background1"/>
            <w:vAlign w:val="center"/>
            <w:hideMark/>
          </w:tcPr>
          <w:p w14:paraId="18E59F8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-203</w:t>
            </w:r>
          </w:p>
        </w:tc>
        <w:tc>
          <w:tcPr>
            <w:tcW w:w="810" w:type="dxa"/>
            <w:shd w:val="clear" w:color="auto" w:fill="FFFFFF" w:themeFill="background1"/>
            <w:vAlign w:val="center"/>
            <w:hideMark/>
          </w:tcPr>
          <w:p w14:paraId="3C2504E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95.17</w:t>
            </w:r>
          </w:p>
        </w:tc>
        <w:tc>
          <w:tcPr>
            <w:tcW w:w="990" w:type="dxa"/>
            <w:shd w:val="clear" w:color="auto" w:fill="FFFFFF" w:themeFill="background1"/>
            <w:vAlign w:val="center"/>
            <w:hideMark/>
          </w:tcPr>
          <w:p w14:paraId="733936F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2477</w:t>
            </w:r>
          </w:p>
        </w:tc>
        <w:tc>
          <w:tcPr>
            <w:tcW w:w="810" w:type="dxa"/>
            <w:shd w:val="clear" w:color="auto" w:fill="FFFFFF" w:themeFill="background1"/>
            <w:vAlign w:val="center"/>
            <w:hideMark/>
          </w:tcPr>
          <w:p w14:paraId="74FE1B3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244</w:t>
            </w:r>
          </w:p>
        </w:tc>
        <w:tc>
          <w:tcPr>
            <w:tcW w:w="891" w:type="dxa"/>
            <w:shd w:val="clear" w:color="auto" w:fill="FFFFFF" w:themeFill="background1"/>
            <w:vAlign w:val="center"/>
            <w:hideMark/>
          </w:tcPr>
          <w:p w14:paraId="5366C81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-5367</w:t>
            </w:r>
          </w:p>
        </w:tc>
        <w:tc>
          <w:tcPr>
            <w:tcW w:w="616" w:type="dxa"/>
            <w:shd w:val="clear" w:color="auto" w:fill="FFFFFF" w:themeFill="background1"/>
            <w:vAlign w:val="center"/>
            <w:hideMark/>
          </w:tcPr>
          <w:p w14:paraId="29174D1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24.3</w:t>
            </w:r>
          </w:p>
        </w:tc>
      </w:tr>
      <w:tr w:rsidR="003D0784" w:rsidRPr="00B7675F" w14:paraId="77EA0668" w14:textId="77777777" w:rsidTr="00B27804">
        <w:trPr>
          <w:gridAfter w:val="1"/>
          <w:wAfter w:w="7" w:type="dxa"/>
          <w:trHeight w:val="20"/>
        </w:trPr>
        <w:tc>
          <w:tcPr>
            <w:tcW w:w="4261" w:type="dxa"/>
            <w:shd w:val="clear" w:color="auto" w:fill="FFFFFF" w:themeFill="background1"/>
            <w:vAlign w:val="center"/>
            <w:hideMark/>
          </w:tcPr>
          <w:p w14:paraId="18A7C476"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Protecție în legătură cu pierderea întreținătorului (susținere financiară a persoanelor decedate neasigurate, pensie de urmaș a pensionarilor din rândul militarilor etc.)</w:t>
            </w:r>
          </w:p>
        </w:tc>
        <w:tc>
          <w:tcPr>
            <w:tcW w:w="1080" w:type="dxa"/>
            <w:shd w:val="clear" w:color="auto" w:fill="FFFFFF" w:themeFill="background1"/>
            <w:vAlign w:val="center"/>
            <w:hideMark/>
          </w:tcPr>
          <w:p w14:paraId="7728A12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5810</w:t>
            </w:r>
          </w:p>
        </w:tc>
        <w:tc>
          <w:tcPr>
            <w:tcW w:w="1170" w:type="dxa"/>
            <w:shd w:val="clear" w:color="auto" w:fill="FFFFFF" w:themeFill="background1"/>
            <w:vAlign w:val="center"/>
            <w:hideMark/>
          </w:tcPr>
          <w:p w14:paraId="6CBA6D0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5525</w:t>
            </w:r>
          </w:p>
        </w:tc>
        <w:tc>
          <w:tcPr>
            <w:tcW w:w="1170" w:type="dxa"/>
            <w:shd w:val="clear" w:color="auto" w:fill="FFFFFF" w:themeFill="background1"/>
            <w:vAlign w:val="center"/>
            <w:hideMark/>
          </w:tcPr>
          <w:p w14:paraId="46F5205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6321</w:t>
            </w:r>
          </w:p>
        </w:tc>
        <w:tc>
          <w:tcPr>
            <w:tcW w:w="1170" w:type="dxa"/>
            <w:shd w:val="clear" w:color="auto" w:fill="FFFFFF" w:themeFill="background1"/>
            <w:vAlign w:val="center"/>
            <w:hideMark/>
          </w:tcPr>
          <w:p w14:paraId="44E7C85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5698</w:t>
            </w:r>
          </w:p>
        </w:tc>
        <w:tc>
          <w:tcPr>
            <w:tcW w:w="1080" w:type="dxa"/>
            <w:shd w:val="clear" w:color="auto" w:fill="FFFFFF" w:themeFill="background1"/>
            <w:vAlign w:val="center"/>
            <w:hideMark/>
          </w:tcPr>
          <w:p w14:paraId="0AFD4D5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-623</w:t>
            </w:r>
          </w:p>
        </w:tc>
        <w:tc>
          <w:tcPr>
            <w:tcW w:w="810" w:type="dxa"/>
            <w:shd w:val="clear" w:color="auto" w:fill="FFFFFF" w:themeFill="background1"/>
            <w:vAlign w:val="center"/>
            <w:hideMark/>
          </w:tcPr>
          <w:p w14:paraId="328C714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90.14</w:t>
            </w:r>
          </w:p>
        </w:tc>
        <w:tc>
          <w:tcPr>
            <w:tcW w:w="990" w:type="dxa"/>
            <w:shd w:val="clear" w:color="auto" w:fill="FFFFFF" w:themeFill="background1"/>
            <w:vAlign w:val="center"/>
            <w:hideMark/>
          </w:tcPr>
          <w:p w14:paraId="50E34C0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796</w:t>
            </w:r>
          </w:p>
        </w:tc>
        <w:tc>
          <w:tcPr>
            <w:tcW w:w="810" w:type="dxa"/>
            <w:shd w:val="clear" w:color="auto" w:fill="FFFFFF" w:themeFill="background1"/>
            <w:vAlign w:val="center"/>
            <w:hideMark/>
          </w:tcPr>
          <w:p w14:paraId="3AE84CB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114</w:t>
            </w:r>
          </w:p>
        </w:tc>
        <w:tc>
          <w:tcPr>
            <w:tcW w:w="891" w:type="dxa"/>
            <w:shd w:val="clear" w:color="auto" w:fill="FFFFFF" w:themeFill="background1"/>
            <w:vAlign w:val="center"/>
            <w:hideMark/>
          </w:tcPr>
          <w:p w14:paraId="7CD497D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-285</w:t>
            </w:r>
          </w:p>
        </w:tc>
        <w:tc>
          <w:tcPr>
            <w:tcW w:w="616" w:type="dxa"/>
            <w:shd w:val="clear" w:color="auto" w:fill="FFFFFF" w:themeFill="background1"/>
            <w:vAlign w:val="center"/>
            <w:hideMark/>
          </w:tcPr>
          <w:p w14:paraId="02D31C1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95.1</w:t>
            </w:r>
          </w:p>
        </w:tc>
      </w:tr>
      <w:tr w:rsidR="003D0784" w:rsidRPr="00B7675F" w14:paraId="7921781A" w14:textId="77777777" w:rsidTr="00B27804">
        <w:trPr>
          <w:gridAfter w:val="1"/>
          <w:wAfter w:w="7" w:type="dxa"/>
          <w:trHeight w:val="20"/>
        </w:trPr>
        <w:tc>
          <w:tcPr>
            <w:tcW w:w="4261" w:type="dxa"/>
            <w:shd w:val="clear" w:color="auto" w:fill="FFFFFF" w:themeFill="background1"/>
            <w:vAlign w:val="center"/>
            <w:hideMark/>
          </w:tcPr>
          <w:p w14:paraId="6804B260" w14:textId="5AC4975D" w:rsidR="003D0784" w:rsidRPr="00736448" w:rsidRDefault="003D0784" w:rsidP="00AA6D17">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familiei și copilului (organizarea odihnei de vară, susținerea financiară a familiei la nașterea copilului etc.)</w:t>
            </w:r>
          </w:p>
        </w:tc>
        <w:tc>
          <w:tcPr>
            <w:tcW w:w="1080" w:type="dxa"/>
            <w:shd w:val="clear" w:color="auto" w:fill="FFFFFF" w:themeFill="background1"/>
            <w:vAlign w:val="center"/>
            <w:hideMark/>
          </w:tcPr>
          <w:p w14:paraId="173C01B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83265</w:t>
            </w:r>
          </w:p>
        </w:tc>
        <w:tc>
          <w:tcPr>
            <w:tcW w:w="1170" w:type="dxa"/>
            <w:shd w:val="clear" w:color="auto" w:fill="FFFFFF" w:themeFill="background1"/>
            <w:vAlign w:val="center"/>
            <w:hideMark/>
          </w:tcPr>
          <w:p w14:paraId="74199D9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70089</w:t>
            </w:r>
          </w:p>
        </w:tc>
        <w:tc>
          <w:tcPr>
            <w:tcW w:w="1170" w:type="dxa"/>
            <w:shd w:val="clear" w:color="auto" w:fill="FFFFFF" w:themeFill="background1"/>
            <w:vAlign w:val="center"/>
            <w:hideMark/>
          </w:tcPr>
          <w:p w14:paraId="15BFB63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71113</w:t>
            </w:r>
          </w:p>
        </w:tc>
        <w:tc>
          <w:tcPr>
            <w:tcW w:w="1170" w:type="dxa"/>
            <w:shd w:val="clear" w:color="auto" w:fill="FFFFFF" w:themeFill="background1"/>
            <w:vAlign w:val="center"/>
            <w:hideMark/>
          </w:tcPr>
          <w:p w14:paraId="76BD7E3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104444</w:t>
            </w:r>
          </w:p>
        </w:tc>
        <w:tc>
          <w:tcPr>
            <w:tcW w:w="1080" w:type="dxa"/>
            <w:shd w:val="clear" w:color="auto" w:fill="FFFFFF" w:themeFill="background1"/>
            <w:vAlign w:val="center"/>
            <w:hideMark/>
          </w:tcPr>
          <w:p w14:paraId="5EA107C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33331</w:t>
            </w:r>
          </w:p>
        </w:tc>
        <w:tc>
          <w:tcPr>
            <w:tcW w:w="810" w:type="dxa"/>
            <w:shd w:val="clear" w:color="auto" w:fill="FFFFFF" w:themeFill="background1"/>
            <w:vAlign w:val="center"/>
            <w:hideMark/>
          </w:tcPr>
          <w:p w14:paraId="62B570A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146.9</w:t>
            </w:r>
          </w:p>
        </w:tc>
        <w:tc>
          <w:tcPr>
            <w:tcW w:w="990" w:type="dxa"/>
            <w:shd w:val="clear" w:color="auto" w:fill="FFFFFF" w:themeFill="background1"/>
            <w:vAlign w:val="center"/>
            <w:hideMark/>
          </w:tcPr>
          <w:p w14:paraId="65AEC7E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1024</w:t>
            </w:r>
          </w:p>
        </w:tc>
        <w:tc>
          <w:tcPr>
            <w:tcW w:w="810" w:type="dxa"/>
            <w:shd w:val="clear" w:color="auto" w:fill="FFFFFF" w:themeFill="background1"/>
            <w:vAlign w:val="center"/>
            <w:hideMark/>
          </w:tcPr>
          <w:p w14:paraId="7D38971A"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102</w:t>
            </w:r>
          </w:p>
        </w:tc>
        <w:tc>
          <w:tcPr>
            <w:tcW w:w="891" w:type="dxa"/>
            <w:shd w:val="clear" w:color="auto" w:fill="FFFFFF" w:themeFill="background1"/>
            <w:vAlign w:val="center"/>
            <w:hideMark/>
          </w:tcPr>
          <w:p w14:paraId="7F09AFA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-13176</w:t>
            </w:r>
          </w:p>
        </w:tc>
        <w:tc>
          <w:tcPr>
            <w:tcW w:w="616" w:type="dxa"/>
            <w:shd w:val="clear" w:color="auto" w:fill="FFFFFF" w:themeFill="background1"/>
            <w:vAlign w:val="center"/>
            <w:hideMark/>
          </w:tcPr>
          <w:p w14:paraId="31A3EF56"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84.2</w:t>
            </w:r>
          </w:p>
        </w:tc>
      </w:tr>
      <w:tr w:rsidR="003D0784" w:rsidRPr="00B7675F" w14:paraId="57D0AF5F" w14:textId="77777777" w:rsidTr="00B27804">
        <w:trPr>
          <w:gridAfter w:val="1"/>
          <w:wAfter w:w="7" w:type="dxa"/>
          <w:trHeight w:val="20"/>
        </w:trPr>
        <w:tc>
          <w:tcPr>
            <w:tcW w:w="4261" w:type="dxa"/>
            <w:shd w:val="clear" w:color="auto" w:fill="FFFFFF" w:themeFill="background1"/>
            <w:vAlign w:val="center"/>
            <w:hideMark/>
          </w:tcPr>
          <w:p w14:paraId="140970B0"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șomerilor (alocație pentru integrare profesională cu statut de șomer etc.)</w:t>
            </w:r>
          </w:p>
        </w:tc>
        <w:tc>
          <w:tcPr>
            <w:tcW w:w="1080" w:type="dxa"/>
            <w:shd w:val="clear" w:color="auto" w:fill="FFFFFF" w:themeFill="background1"/>
            <w:vAlign w:val="center"/>
            <w:hideMark/>
          </w:tcPr>
          <w:p w14:paraId="4934D18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w:t>
            </w:r>
          </w:p>
        </w:tc>
        <w:tc>
          <w:tcPr>
            <w:tcW w:w="1170" w:type="dxa"/>
            <w:shd w:val="clear" w:color="auto" w:fill="FFFFFF" w:themeFill="background1"/>
            <w:vAlign w:val="center"/>
            <w:hideMark/>
          </w:tcPr>
          <w:p w14:paraId="0A55F2D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16</w:t>
            </w:r>
          </w:p>
        </w:tc>
        <w:tc>
          <w:tcPr>
            <w:tcW w:w="1170" w:type="dxa"/>
            <w:shd w:val="clear" w:color="auto" w:fill="FFFFFF" w:themeFill="background1"/>
            <w:vAlign w:val="center"/>
            <w:hideMark/>
          </w:tcPr>
          <w:p w14:paraId="1E53008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244</w:t>
            </w:r>
          </w:p>
        </w:tc>
        <w:tc>
          <w:tcPr>
            <w:tcW w:w="1170" w:type="dxa"/>
            <w:shd w:val="clear" w:color="auto" w:fill="FFFFFF" w:themeFill="background1"/>
            <w:vAlign w:val="center"/>
            <w:hideMark/>
          </w:tcPr>
          <w:p w14:paraId="7148C2CA"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1378</w:t>
            </w:r>
          </w:p>
        </w:tc>
        <w:tc>
          <w:tcPr>
            <w:tcW w:w="1080" w:type="dxa"/>
            <w:shd w:val="clear" w:color="auto" w:fill="FFFFFF" w:themeFill="background1"/>
            <w:vAlign w:val="center"/>
            <w:hideMark/>
          </w:tcPr>
          <w:p w14:paraId="0F65A79D"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1134</w:t>
            </w:r>
          </w:p>
        </w:tc>
        <w:tc>
          <w:tcPr>
            <w:tcW w:w="810" w:type="dxa"/>
            <w:shd w:val="clear" w:color="auto" w:fill="FFFFFF" w:themeFill="background1"/>
            <w:vAlign w:val="center"/>
            <w:hideMark/>
          </w:tcPr>
          <w:p w14:paraId="49DBD89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564.8</w:t>
            </w:r>
          </w:p>
        </w:tc>
        <w:tc>
          <w:tcPr>
            <w:tcW w:w="990" w:type="dxa"/>
            <w:shd w:val="clear" w:color="auto" w:fill="FFFFFF" w:themeFill="background1"/>
            <w:vAlign w:val="center"/>
            <w:hideMark/>
          </w:tcPr>
          <w:p w14:paraId="12123A8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228</w:t>
            </w:r>
          </w:p>
        </w:tc>
        <w:tc>
          <w:tcPr>
            <w:tcW w:w="810" w:type="dxa"/>
            <w:shd w:val="clear" w:color="auto" w:fill="FFFFFF" w:themeFill="background1"/>
            <w:vAlign w:val="center"/>
            <w:hideMark/>
          </w:tcPr>
          <w:p w14:paraId="605B528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1525</w:t>
            </w:r>
          </w:p>
        </w:tc>
        <w:tc>
          <w:tcPr>
            <w:tcW w:w="891" w:type="dxa"/>
            <w:shd w:val="clear" w:color="auto" w:fill="FFFFFF" w:themeFill="background1"/>
            <w:vAlign w:val="center"/>
            <w:hideMark/>
          </w:tcPr>
          <w:p w14:paraId="2A7A2C4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w:t>
            </w:r>
          </w:p>
        </w:tc>
        <w:tc>
          <w:tcPr>
            <w:tcW w:w="616" w:type="dxa"/>
            <w:shd w:val="clear" w:color="auto" w:fill="FFFFFF" w:themeFill="background1"/>
            <w:vAlign w:val="center"/>
            <w:hideMark/>
          </w:tcPr>
          <w:p w14:paraId="2C01B02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200</w:t>
            </w:r>
          </w:p>
        </w:tc>
      </w:tr>
      <w:tr w:rsidR="003D0784" w:rsidRPr="00B7675F" w14:paraId="06058CE7" w14:textId="77777777" w:rsidTr="00B27804">
        <w:trPr>
          <w:gridAfter w:val="1"/>
          <w:wAfter w:w="7" w:type="dxa"/>
          <w:trHeight w:val="20"/>
        </w:trPr>
        <w:tc>
          <w:tcPr>
            <w:tcW w:w="4261" w:type="dxa"/>
            <w:shd w:val="clear" w:color="auto" w:fill="FFFFFF" w:themeFill="background1"/>
            <w:vAlign w:val="center"/>
            <w:hideMark/>
          </w:tcPr>
          <w:p w14:paraId="7BE4C778"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persoanelor cu dizabilități (îngrijirea persoanelor cu dizabilitate, susținerea persoanelor în caz de dizabilitate sau deces survenit în urma accidentelor de muncă etc.)</w:t>
            </w:r>
          </w:p>
        </w:tc>
        <w:tc>
          <w:tcPr>
            <w:tcW w:w="1080" w:type="dxa"/>
            <w:shd w:val="clear" w:color="auto" w:fill="FFFFFF" w:themeFill="background1"/>
            <w:vAlign w:val="center"/>
            <w:hideMark/>
          </w:tcPr>
          <w:p w14:paraId="12C53F6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84639</w:t>
            </w:r>
          </w:p>
        </w:tc>
        <w:tc>
          <w:tcPr>
            <w:tcW w:w="1170" w:type="dxa"/>
            <w:shd w:val="clear" w:color="auto" w:fill="FFFFFF" w:themeFill="background1"/>
            <w:vAlign w:val="center"/>
            <w:hideMark/>
          </w:tcPr>
          <w:p w14:paraId="341D3E96"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86009</w:t>
            </w:r>
          </w:p>
        </w:tc>
        <w:tc>
          <w:tcPr>
            <w:tcW w:w="1170" w:type="dxa"/>
            <w:shd w:val="clear" w:color="auto" w:fill="FFFFFF" w:themeFill="background1"/>
            <w:vAlign w:val="center"/>
            <w:hideMark/>
          </w:tcPr>
          <w:p w14:paraId="60F6CBD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90128</w:t>
            </w:r>
          </w:p>
        </w:tc>
        <w:tc>
          <w:tcPr>
            <w:tcW w:w="1170" w:type="dxa"/>
            <w:shd w:val="clear" w:color="auto" w:fill="FFFFFF" w:themeFill="background1"/>
            <w:vAlign w:val="center"/>
            <w:hideMark/>
          </w:tcPr>
          <w:p w14:paraId="76F7F98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96551</w:t>
            </w:r>
          </w:p>
        </w:tc>
        <w:tc>
          <w:tcPr>
            <w:tcW w:w="1080" w:type="dxa"/>
            <w:shd w:val="clear" w:color="auto" w:fill="FFFFFF" w:themeFill="background1"/>
            <w:vAlign w:val="center"/>
            <w:hideMark/>
          </w:tcPr>
          <w:p w14:paraId="222BE5B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6423</w:t>
            </w:r>
          </w:p>
        </w:tc>
        <w:tc>
          <w:tcPr>
            <w:tcW w:w="810" w:type="dxa"/>
            <w:shd w:val="clear" w:color="auto" w:fill="FFFFFF" w:themeFill="background1"/>
            <w:vAlign w:val="center"/>
            <w:hideMark/>
          </w:tcPr>
          <w:p w14:paraId="0918702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107.1</w:t>
            </w:r>
          </w:p>
        </w:tc>
        <w:tc>
          <w:tcPr>
            <w:tcW w:w="990" w:type="dxa"/>
            <w:shd w:val="clear" w:color="auto" w:fill="FFFFFF" w:themeFill="background1"/>
            <w:vAlign w:val="center"/>
            <w:hideMark/>
          </w:tcPr>
          <w:p w14:paraId="099262E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4119</w:t>
            </w:r>
          </w:p>
        </w:tc>
        <w:tc>
          <w:tcPr>
            <w:tcW w:w="810" w:type="dxa"/>
            <w:shd w:val="clear" w:color="auto" w:fill="FFFFFF" w:themeFill="background1"/>
            <w:vAlign w:val="center"/>
            <w:hideMark/>
          </w:tcPr>
          <w:p w14:paraId="4FE810C1"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105</w:t>
            </w:r>
          </w:p>
        </w:tc>
        <w:tc>
          <w:tcPr>
            <w:tcW w:w="891" w:type="dxa"/>
            <w:shd w:val="clear" w:color="auto" w:fill="FFFFFF" w:themeFill="background1"/>
            <w:vAlign w:val="center"/>
            <w:hideMark/>
          </w:tcPr>
          <w:p w14:paraId="14D78CBD"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1370</w:t>
            </w:r>
          </w:p>
        </w:tc>
        <w:tc>
          <w:tcPr>
            <w:tcW w:w="616" w:type="dxa"/>
            <w:shd w:val="clear" w:color="auto" w:fill="FFFFFF" w:themeFill="background1"/>
            <w:vAlign w:val="center"/>
            <w:hideMark/>
          </w:tcPr>
          <w:p w14:paraId="2C3EF33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102</w:t>
            </w:r>
          </w:p>
        </w:tc>
      </w:tr>
      <w:tr w:rsidR="003D0784" w:rsidRPr="00B7675F" w14:paraId="3860C089" w14:textId="77777777" w:rsidTr="00B27804">
        <w:trPr>
          <w:gridAfter w:val="1"/>
          <w:wAfter w:w="7" w:type="dxa"/>
          <w:trHeight w:val="20"/>
        </w:trPr>
        <w:tc>
          <w:tcPr>
            <w:tcW w:w="4261" w:type="dxa"/>
            <w:shd w:val="clear" w:color="auto" w:fill="FFFFFF" w:themeFill="background1"/>
            <w:vAlign w:val="center"/>
            <w:hideMark/>
          </w:tcPr>
          <w:p w14:paraId="1DFB406E"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Susținerea suplimentară a unor categorii de populație (beneficiari de asigurări sociale, alocații sociale etc.)</w:t>
            </w:r>
          </w:p>
        </w:tc>
        <w:tc>
          <w:tcPr>
            <w:tcW w:w="1080" w:type="dxa"/>
            <w:shd w:val="clear" w:color="auto" w:fill="FFFFFF" w:themeFill="background1"/>
            <w:vAlign w:val="center"/>
            <w:hideMark/>
          </w:tcPr>
          <w:p w14:paraId="4AE36C8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1070615</w:t>
            </w:r>
          </w:p>
        </w:tc>
        <w:tc>
          <w:tcPr>
            <w:tcW w:w="1170" w:type="dxa"/>
            <w:shd w:val="clear" w:color="auto" w:fill="FFFFFF" w:themeFill="background1"/>
            <w:vAlign w:val="center"/>
            <w:hideMark/>
          </w:tcPr>
          <w:p w14:paraId="11C6D26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1601128</w:t>
            </w:r>
          </w:p>
        </w:tc>
        <w:tc>
          <w:tcPr>
            <w:tcW w:w="1170" w:type="dxa"/>
            <w:shd w:val="clear" w:color="auto" w:fill="FFFFFF" w:themeFill="background1"/>
            <w:vAlign w:val="center"/>
            <w:hideMark/>
          </w:tcPr>
          <w:p w14:paraId="13829A1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864351</w:t>
            </w:r>
          </w:p>
        </w:tc>
        <w:tc>
          <w:tcPr>
            <w:tcW w:w="1170" w:type="dxa"/>
            <w:shd w:val="clear" w:color="auto" w:fill="FFFFFF" w:themeFill="background1"/>
            <w:vAlign w:val="center"/>
            <w:hideMark/>
          </w:tcPr>
          <w:p w14:paraId="145DB0E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780155</w:t>
            </w:r>
          </w:p>
        </w:tc>
        <w:tc>
          <w:tcPr>
            <w:tcW w:w="1080" w:type="dxa"/>
            <w:shd w:val="clear" w:color="auto" w:fill="FFFFFF" w:themeFill="background1"/>
            <w:vAlign w:val="center"/>
            <w:hideMark/>
          </w:tcPr>
          <w:p w14:paraId="695789BE"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-84196</w:t>
            </w:r>
          </w:p>
        </w:tc>
        <w:tc>
          <w:tcPr>
            <w:tcW w:w="810" w:type="dxa"/>
            <w:shd w:val="clear" w:color="auto" w:fill="FFFFFF" w:themeFill="background1"/>
            <w:vAlign w:val="center"/>
            <w:hideMark/>
          </w:tcPr>
          <w:p w14:paraId="5E4C2E5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90.26</w:t>
            </w:r>
          </w:p>
        </w:tc>
        <w:tc>
          <w:tcPr>
            <w:tcW w:w="990" w:type="dxa"/>
            <w:shd w:val="clear" w:color="auto" w:fill="FFFFFF" w:themeFill="background1"/>
            <w:vAlign w:val="center"/>
            <w:hideMark/>
          </w:tcPr>
          <w:p w14:paraId="2B9AA42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-736777</w:t>
            </w:r>
          </w:p>
        </w:tc>
        <w:tc>
          <w:tcPr>
            <w:tcW w:w="810" w:type="dxa"/>
            <w:shd w:val="clear" w:color="auto" w:fill="FFFFFF" w:themeFill="background1"/>
            <w:vAlign w:val="center"/>
            <w:hideMark/>
          </w:tcPr>
          <w:p w14:paraId="6698899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54</w:t>
            </w:r>
          </w:p>
        </w:tc>
        <w:tc>
          <w:tcPr>
            <w:tcW w:w="891" w:type="dxa"/>
            <w:shd w:val="clear" w:color="auto" w:fill="FFFFFF" w:themeFill="background1"/>
            <w:vAlign w:val="center"/>
            <w:hideMark/>
          </w:tcPr>
          <w:p w14:paraId="04E357C0"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530513</w:t>
            </w:r>
          </w:p>
        </w:tc>
        <w:tc>
          <w:tcPr>
            <w:tcW w:w="616" w:type="dxa"/>
            <w:shd w:val="clear" w:color="auto" w:fill="FFFFFF" w:themeFill="background1"/>
            <w:vAlign w:val="center"/>
            <w:hideMark/>
          </w:tcPr>
          <w:p w14:paraId="20AA17D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150</w:t>
            </w:r>
          </w:p>
        </w:tc>
      </w:tr>
      <w:tr w:rsidR="003D0784" w:rsidRPr="00B7675F" w14:paraId="465188FB" w14:textId="77777777" w:rsidTr="00B27804">
        <w:trPr>
          <w:gridAfter w:val="1"/>
          <w:wAfter w:w="7" w:type="dxa"/>
          <w:trHeight w:val="20"/>
        </w:trPr>
        <w:tc>
          <w:tcPr>
            <w:tcW w:w="4261" w:type="dxa"/>
            <w:shd w:val="clear" w:color="auto" w:fill="FFFFFF" w:themeFill="background1"/>
            <w:vAlign w:val="center"/>
            <w:hideMark/>
          </w:tcPr>
          <w:p w14:paraId="72C71B29" w14:textId="42EFA7EC" w:rsidR="003D0784" w:rsidRPr="00736448" w:rsidRDefault="003D0784" w:rsidP="00AA6D17">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w:t>
            </w:r>
            <w:r w:rsidR="00AA6D17">
              <w:rPr>
                <w:rFonts w:asciiTheme="majorHAnsi" w:hAnsiTheme="majorHAnsi" w:cstheme="majorHAnsi"/>
                <w:color w:val="000000"/>
                <w:sz w:val="18"/>
                <w:szCs w:val="18"/>
                <w:lang w:val="ro-MD"/>
              </w:rPr>
              <w:t>a</w:t>
            </w:r>
            <w:r w:rsidRPr="00736448">
              <w:rPr>
                <w:rFonts w:asciiTheme="majorHAnsi" w:hAnsiTheme="majorHAnsi" w:cstheme="majorHAnsi"/>
                <w:color w:val="000000"/>
                <w:sz w:val="18"/>
                <w:szCs w:val="18"/>
                <w:lang w:val="ro-MD"/>
              </w:rPr>
              <w:t xml:space="preserve"> socială în cazuri excepționale (ajutor social, ajutor pentru perioada rece a anului)</w:t>
            </w:r>
          </w:p>
        </w:tc>
        <w:tc>
          <w:tcPr>
            <w:tcW w:w="1080" w:type="dxa"/>
            <w:shd w:val="clear" w:color="auto" w:fill="FFFFFF" w:themeFill="background1"/>
            <w:vAlign w:val="center"/>
            <w:hideMark/>
          </w:tcPr>
          <w:p w14:paraId="5B69FA7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227886</w:t>
            </w:r>
          </w:p>
        </w:tc>
        <w:tc>
          <w:tcPr>
            <w:tcW w:w="1170" w:type="dxa"/>
            <w:shd w:val="clear" w:color="auto" w:fill="FFFFFF" w:themeFill="background1"/>
            <w:vAlign w:val="center"/>
            <w:hideMark/>
          </w:tcPr>
          <w:p w14:paraId="0BBA89C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260933</w:t>
            </w:r>
          </w:p>
        </w:tc>
        <w:tc>
          <w:tcPr>
            <w:tcW w:w="1170" w:type="dxa"/>
            <w:shd w:val="clear" w:color="auto" w:fill="FFFFFF" w:themeFill="background1"/>
            <w:vAlign w:val="center"/>
            <w:hideMark/>
          </w:tcPr>
          <w:p w14:paraId="0E43D236"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246268</w:t>
            </w:r>
          </w:p>
        </w:tc>
        <w:tc>
          <w:tcPr>
            <w:tcW w:w="1170" w:type="dxa"/>
            <w:shd w:val="clear" w:color="auto" w:fill="FFFFFF" w:themeFill="background1"/>
            <w:vAlign w:val="center"/>
            <w:hideMark/>
          </w:tcPr>
          <w:p w14:paraId="5AE4295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217273</w:t>
            </w:r>
          </w:p>
        </w:tc>
        <w:tc>
          <w:tcPr>
            <w:tcW w:w="1080" w:type="dxa"/>
            <w:shd w:val="clear" w:color="auto" w:fill="FFFFFF" w:themeFill="background1"/>
            <w:vAlign w:val="center"/>
            <w:hideMark/>
          </w:tcPr>
          <w:p w14:paraId="7E12287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-28995</w:t>
            </w:r>
          </w:p>
        </w:tc>
        <w:tc>
          <w:tcPr>
            <w:tcW w:w="810" w:type="dxa"/>
            <w:shd w:val="clear" w:color="auto" w:fill="FFFFFF" w:themeFill="background1"/>
            <w:vAlign w:val="center"/>
            <w:hideMark/>
          </w:tcPr>
          <w:p w14:paraId="19A78333"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88.23</w:t>
            </w:r>
          </w:p>
        </w:tc>
        <w:tc>
          <w:tcPr>
            <w:tcW w:w="990" w:type="dxa"/>
            <w:shd w:val="clear" w:color="auto" w:fill="FFFFFF" w:themeFill="background1"/>
            <w:vAlign w:val="center"/>
            <w:hideMark/>
          </w:tcPr>
          <w:p w14:paraId="4A60FBE4"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-14665</w:t>
            </w:r>
          </w:p>
        </w:tc>
        <w:tc>
          <w:tcPr>
            <w:tcW w:w="810" w:type="dxa"/>
            <w:shd w:val="clear" w:color="auto" w:fill="FFFFFF" w:themeFill="background1"/>
            <w:vAlign w:val="center"/>
            <w:hideMark/>
          </w:tcPr>
          <w:p w14:paraId="05AC34C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94.4</w:t>
            </w:r>
          </w:p>
        </w:tc>
        <w:tc>
          <w:tcPr>
            <w:tcW w:w="891" w:type="dxa"/>
            <w:shd w:val="clear" w:color="auto" w:fill="FFFFFF" w:themeFill="background1"/>
            <w:vAlign w:val="center"/>
            <w:hideMark/>
          </w:tcPr>
          <w:p w14:paraId="3A7216DB"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33047</w:t>
            </w:r>
          </w:p>
        </w:tc>
        <w:tc>
          <w:tcPr>
            <w:tcW w:w="616" w:type="dxa"/>
            <w:shd w:val="clear" w:color="auto" w:fill="FFFFFF" w:themeFill="background1"/>
            <w:vAlign w:val="center"/>
            <w:hideMark/>
          </w:tcPr>
          <w:p w14:paraId="45E3917F"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115</w:t>
            </w:r>
          </w:p>
        </w:tc>
      </w:tr>
      <w:tr w:rsidR="003D0784" w:rsidRPr="00B7675F" w14:paraId="2DD52AB4" w14:textId="77777777" w:rsidTr="00B27804">
        <w:trPr>
          <w:gridAfter w:val="1"/>
          <w:wAfter w:w="7" w:type="dxa"/>
          <w:trHeight w:val="20"/>
        </w:trPr>
        <w:tc>
          <w:tcPr>
            <w:tcW w:w="4261" w:type="dxa"/>
            <w:shd w:val="clear" w:color="auto" w:fill="FFFFFF" w:themeFill="background1"/>
            <w:vAlign w:val="center"/>
            <w:hideMark/>
          </w:tcPr>
          <w:p w14:paraId="4100E8D7" w14:textId="77777777" w:rsidR="003D0784" w:rsidRPr="00736448" w:rsidRDefault="003D0784" w:rsidP="005F6348">
            <w:pPr>
              <w:spacing w:after="0"/>
              <w:jc w:val="both"/>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Protecția socială a unor categorii de cetățeni (indemnizație viageră sportivilor de performanță, care s-au retras din activitatea de sport, asigurarea la tratament balneo-sanatorial etc.)</w:t>
            </w:r>
          </w:p>
        </w:tc>
        <w:tc>
          <w:tcPr>
            <w:tcW w:w="1080" w:type="dxa"/>
            <w:shd w:val="clear" w:color="auto" w:fill="FFFFFF" w:themeFill="background1"/>
            <w:vAlign w:val="center"/>
            <w:hideMark/>
          </w:tcPr>
          <w:p w14:paraId="5AF149E9"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74546</w:t>
            </w:r>
          </w:p>
        </w:tc>
        <w:tc>
          <w:tcPr>
            <w:tcW w:w="1170" w:type="dxa"/>
            <w:shd w:val="clear" w:color="auto" w:fill="FFFFFF" w:themeFill="background1"/>
            <w:vAlign w:val="center"/>
            <w:hideMark/>
          </w:tcPr>
          <w:p w14:paraId="75AD464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67448</w:t>
            </w:r>
          </w:p>
        </w:tc>
        <w:tc>
          <w:tcPr>
            <w:tcW w:w="1170" w:type="dxa"/>
            <w:shd w:val="clear" w:color="auto" w:fill="FFFFFF" w:themeFill="background1"/>
            <w:vAlign w:val="center"/>
            <w:hideMark/>
          </w:tcPr>
          <w:p w14:paraId="136D5148"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71183</w:t>
            </w:r>
          </w:p>
        </w:tc>
        <w:tc>
          <w:tcPr>
            <w:tcW w:w="1170" w:type="dxa"/>
            <w:shd w:val="clear" w:color="auto" w:fill="FFFFFF" w:themeFill="background1"/>
            <w:vAlign w:val="center"/>
            <w:hideMark/>
          </w:tcPr>
          <w:p w14:paraId="63D4020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92719</w:t>
            </w:r>
          </w:p>
        </w:tc>
        <w:tc>
          <w:tcPr>
            <w:tcW w:w="1080" w:type="dxa"/>
            <w:shd w:val="clear" w:color="auto" w:fill="FFFFFF" w:themeFill="background1"/>
            <w:vAlign w:val="center"/>
            <w:hideMark/>
          </w:tcPr>
          <w:p w14:paraId="575DF22C"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21536</w:t>
            </w:r>
          </w:p>
        </w:tc>
        <w:tc>
          <w:tcPr>
            <w:tcW w:w="810" w:type="dxa"/>
            <w:shd w:val="clear" w:color="auto" w:fill="FFFFFF" w:themeFill="background1"/>
            <w:vAlign w:val="center"/>
            <w:hideMark/>
          </w:tcPr>
          <w:p w14:paraId="4A206DF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130.3</w:t>
            </w:r>
          </w:p>
        </w:tc>
        <w:tc>
          <w:tcPr>
            <w:tcW w:w="990" w:type="dxa"/>
            <w:shd w:val="clear" w:color="auto" w:fill="FFFFFF" w:themeFill="background1"/>
            <w:vAlign w:val="center"/>
            <w:hideMark/>
          </w:tcPr>
          <w:p w14:paraId="59272007"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3735</w:t>
            </w:r>
          </w:p>
        </w:tc>
        <w:tc>
          <w:tcPr>
            <w:tcW w:w="810" w:type="dxa"/>
            <w:shd w:val="clear" w:color="auto" w:fill="FFFFFF" w:themeFill="background1"/>
            <w:vAlign w:val="center"/>
            <w:hideMark/>
          </w:tcPr>
          <w:p w14:paraId="4D048615"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106</w:t>
            </w:r>
          </w:p>
        </w:tc>
        <w:tc>
          <w:tcPr>
            <w:tcW w:w="891" w:type="dxa"/>
            <w:shd w:val="clear" w:color="auto" w:fill="FFFFFF" w:themeFill="background1"/>
            <w:vAlign w:val="center"/>
            <w:hideMark/>
          </w:tcPr>
          <w:p w14:paraId="4198AFCA"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-7399</w:t>
            </w:r>
          </w:p>
        </w:tc>
        <w:tc>
          <w:tcPr>
            <w:tcW w:w="616" w:type="dxa"/>
            <w:shd w:val="clear" w:color="auto" w:fill="FFFFFF" w:themeFill="background1"/>
            <w:vAlign w:val="center"/>
            <w:hideMark/>
          </w:tcPr>
          <w:p w14:paraId="199CC242" w14:textId="77777777" w:rsidR="003D0784" w:rsidRPr="00736448" w:rsidRDefault="003D0784" w:rsidP="005F6348">
            <w:pPr>
              <w:spacing w:after="0"/>
              <w:jc w:val="center"/>
              <w:rPr>
                <w:rFonts w:asciiTheme="majorHAnsi" w:hAnsiTheme="majorHAnsi" w:cstheme="majorHAnsi"/>
                <w:color w:val="000000"/>
                <w:sz w:val="18"/>
                <w:szCs w:val="18"/>
                <w:lang w:val="ro-MD"/>
              </w:rPr>
            </w:pPr>
            <w:r w:rsidRPr="00736448">
              <w:rPr>
                <w:rFonts w:asciiTheme="majorHAnsi" w:hAnsiTheme="majorHAnsi" w:cstheme="majorHAnsi"/>
                <w:color w:val="000000"/>
                <w:sz w:val="18"/>
                <w:szCs w:val="18"/>
                <w:lang w:val="ro-MD"/>
              </w:rPr>
              <w:t>90.1</w:t>
            </w:r>
          </w:p>
        </w:tc>
      </w:tr>
      <w:tr w:rsidR="003D0784" w:rsidRPr="00B7675F" w14:paraId="786D559E" w14:textId="77777777" w:rsidTr="00B27804">
        <w:trPr>
          <w:gridAfter w:val="1"/>
          <w:wAfter w:w="7" w:type="dxa"/>
          <w:trHeight w:val="20"/>
        </w:trPr>
        <w:tc>
          <w:tcPr>
            <w:tcW w:w="4261" w:type="dxa"/>
            <w:shd w:val="clear" w:color="auto" w:fill="FFFFFF" w:themeFill="background1"/>
            <w:vAlign w:val="center"/>
            <w:hideMark/>
          </w:tcPr>
          <w:p w14:paraId="65D4153A" w14:textId="77777777" w:rsidR="003D0784" w:rsidRPr="00736448" w:rsidRDefault="003D0784" w:rsidP="005F6348">
            <w:pPr>
              <w:spacing w:after="0"/>
              <w:jc w:val="both"/>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TOTAL</w:t>
            </w:r>
          </w:p>
        </w:tc>
        <w:tc>
          <w:tcPr>
            <w:tcW w:w="1080" w:type="dxa"/>
            <w:shd w:val="clear" w:color="auto" w:fill="FFFFFF" w:themeFill="background1"/>
            <w:vAlign w:val="center"/>
            <w:hideMark/>
          </w:tcPr>
          <w:p w14:paraId="143F4A1C"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2552254</w:t>
            </w:r>
          </w:p>
        </w:tc>
        <w:tc>
          <w:tcPr>
            <w:tcW w:w="1170" w:type="dxa"/>
            <w:shd w:val="clear" w:color="auto" w:fill="FFFFFF" w:themeFill="background1"/>
            <w:vAlign w:val="center"/>
            <w:hideMark/>
          </w:tcPr>
          <w:p w14:paraId="5B0AC732"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3089437</w:t>
            </w:r>
          </w:p>
        </w:tc>
        <w:tc>
          <w:tcPr>
            <w:tcW w:w="1170" w:type="dxa"/>
            <w:shd w:val="clear" w:color="auto" w:fill="FFFFFF" w:themeFill="background1"/>
            <w:vAlign w:val="center"/>
            <w:hideMark/>
          </w:tcPr>
          <w:p w14:paraId="4788BDC1"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2376185</w:t>
            </w:r>
          </w:p>
        </w:tc>
        <w:tc>
          <w:tcPr>
            <w:tcW w:w="1170" w:type="dxa"/>
            <w:shd w:val="clear" w:color="auto" w:fill="FFFFFF" w:themeFill="background1"/>
            <w:vAlign w:val="center"/>
            <w:hideMark/>
          </w:tcPr>
          <w:p w14:paraId="63E460DD"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2310026</w:t>
            </w:r>
          </w:p>
        </w:tc>
        <w:tc>
          <w:tcPr>
            <w:tcW w:w="1080" w:type="dxa"/>
            <w:shd w:val="clear" w:color="auto" w:fill="FFFFFF" w:themeFill="background1"/>
            <w:vAlign w:val="center"/>
            <w:hideMark/>
          </w:tcPr>
          <w:p w14:paraId="4B64F0A0"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-66159</w:t>
            </w:r>
          </w:p>
        </w:tc>
        <w:tc>
          <w:tcPr>
            <w:tcW w:w="810" w:type="dxa"/>
            <w:shd w:val="clear" w:color="auto" w:fill="FFFFFF" w:themeFill="background1"/>
            <w:vAlign w:val="center"/>
            <w:hideMark/>
          </w:tcPr>
          <w:p w14:paraId="7A700B01"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97.22</w:t>
            </w:r>
          </w:p>
        </w:tc>
        <w:tc>
          <w:tcPr>
            <w:tcW w:w="990" w:type="dxa"/>
            <w:shd w:val="clear" w:color="auto" w:fill="FFFFFF" w:themeFill="background1"/>
            <w:vAlign w:val="center"/>
            <w:hideMark/>
          </w:tcPr>
          <w:p w14:paraId="3763203F"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-713252</w:t>
            </w:r>
          </w:p>
        </w:tc>
        <w:tc>
          <w:tcPr>
            <w:tcW w:w="810" w:type="dxa"/>
            <w:shd w:val="clear" w:color="auto" w:fill="FFFFFF" w:themeFill="background1"/>
            <w:vAlign w:val="center"/>
            <w:hideMark/>
          </w:tcPr>
          <w:p w14:paraId="70D8E687"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77</w:t>
            </w:r>
          </w:p>
        </w:tc>
        <w:tc>
          <w:tcPr>
            <w:tcW w:w="891" w:type="dxa"/>
            <w:shd w:val="clear" w:color="auto" w:fill="FFFFFF" w:themeFill="background1"/>
            <w:vAlign w:val="center"/>
            <w:hideMark/>
          </w:tcPr>
          <w:p w14:paraId="4C10BA7C"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537183</w:t>
            </w:r>
          </w:p>
        </w:tc>
        <w:tc>
          <w:tcPr>
            <w:tcW w:w="616" w:type="dxa"/>
            <w:shd w:val="clear" w:color="auto" w:fill="FFFFFF" w:themeFill="background1"/>
            <w:vAlign w:val="center"/>
            <w:hideMark/>
          </w:tcPr>
          <w:p w14:paraId="38CF0130" w14:textId="77777777" w:rsidR="003D0784" w:rsidRPr="00736448" w:rsidRDefault="003D0784" w:rsidP="005F6348">
            <w:pPr>
              <w:spacing w:after="0"/>
              <w:jc w:val="center"/>
              <w:rPr>
                <w:rFonts w:asciiTheme="majorHAnsi" w:hAnsiTheme="majorHAnsi" w:cstheme="majorHAnsi"/>
                <w:b/>
                <w:bCs/>
                <w:color w:val="000000"/>
                <w:sz w:val="18"/>
                <w:szCs w:val="18"/>
                <w:lang w:val="ro-MD"/>
              </w:rPr>
            </w:pPr>
            <w:r w:rsidRPr="00736448">
              <w:rPr>
                <w:rFonts w:asciiTheme="majorHAnsi" w:hAnsiTheme="majorHAnsi" w:cstheme="majorHAnsi"/>
                <w:b/>
                <w:bCs/>
                <w:color w:val="000000"/>
                <w:sz w:val="18"/>
                <w:szCs w:val="18"/>
                <w:lang w:val="ro-MD"/>
              </w:rPr>
              <w:t>121</w:t>
            </w:r>
          </w:p>
        </w:tc>
      </w:tr>
    </w:tbl>
    <w:p w14:paraId="157A7DAB" w14:textId="77777777" w:rsidR="003D0784" w:rsidRPr="00736448" w:rsidRDefault="003D0784" w:rsidP="003D0784">
      <w:pPr>
        <w:spacing w:after="0" w:line="276" w:lineRule="auto"/>
        <w:jc w:val="both"/>
        <w:rPr>
          <w:rFonts w:ascii="Calibri" w:eastAsia="Calibri" w:hAnsi="Calibri" w:cs="Times New Roman"/>
          <w:lang w:val="ro-MD"/>
        </w:rPr>
      </w:pPr>
      <w:r w:rsidRPr="00736448">
        <w:rPr>
          <w:rFonts w:ascii="Calibri Light" w:eastAsia="Calibri" w:hAnsi="Calibri Light" w:cs="Calibri Light"/>
          <w:b/>
          <w:bCs/>
          <w:i/>
          <w:sz w:val="20"/>
          <w:szCs w:val="20"/>
          <w:lang w:val="ro-MD"/>
        </w:rPr>
        <w:t>Sursă:</w:t>
      </w:r>
      <w:r w:rsidRPr="00736448">
        <w:rPr>
          <w:rFonts w:ascii="Calibri Light" w:eastAsia="Calibri" w:hAnsi="Calibri Light" w:cs="Calibri Light"/>
          <w:i/>
          <w:sz w:val="20"/>
          <w:szCs w:val="20"/>
          <w:lang w:val="ro-MD"/>
        </w:rPr>
        <w:t xml:space="preserve"> Raportul privind îndeplinirea planului de contingente, beneficiarii plăților și mărimea acestora din bugetul asigurărilor sociale de stat (Formularul nr.5 CNAS pentru anii 2019, 2020, 2021 și 2022).</w:t>
      </w:r>
    </w:p>
    <w:p w14:paraId="4ECD0F92" w14:textId="768238FE" w:rsidR="00A25BFF" w:rsidRPr="00736448" w:rsidRDefault="00A25BFF" w:rsidP="00A25BFF">
      <w:pPr>
        <w:pStyle w:val="2"/>
        <w:spacing w:line="276" w:lineRule="auto"/>
        <w:jc w:val="right"/>
        <w:rPr>
          <w:rFonts w:cstheme="majorHAnsi"/>
          <w:b/>
          <w:color w:val="000000" w:themeColor="text1"/>
          <w:sz w:val="24"/>
          <w:szCs w:val="24"/>
          <w:lang w:val="ro-MD"/>
        </w:rPr>
      </w:pPr>
      <w:r w:rsidRPr="00736448">
        <w:rPr>
          <w:rFonts w:cstheme="majorHAnsi"/>
          <w:b/>
          <w:color w:val="000000" w:themeColor="text1"/>
          <w:sz w:val="24"/>
          <w:szCs w:val="24"/>
          <w:lang w:val="ro-MD"/>
        </w:rPr>
        <w:t xml:space="preserve">Anexa nr. </w:t>
      </w:r>
      <w:r w:rsidR="008B5EDB" w:rsidRPr="00736448">
        <w:rPr>
          <w:rFonts w:cstheme="majorHAnsi"/>
          <w:b/>
          <w:color w:val="000000" w:themeColor="text1"/>
          <w:sz w:val="24"/>
          <w:szCs w:val="24"/>
          <w:lang w:val="ro-MD"/>
        </w:rPr>
        <w:t>22</w:t>
      </w:r>
    </w:p>
    <w:p w14:paraId="2BDB250A" w14:textId="1352A9A9" w:rsidR="00A25BFF" w:rsidRPr="00736448" w:rsidRDefault="00A25BFF" w:rsidP="00A25BFF">
      <w:pPr>
        <w:spacing w:line="276" w:lineRule="auto"/>
        <w:jc w:val="center"/>
        <w:rPr>
          <w:rFonts w:asciiTheme="majorHAnsi" w:hAnsiTheme="majorHAnsi" w:cstheme="majorHAnsi"/>
          <w:b/>
          <w:sz w:val="24"/>
          <w:szCs w:val="24"/>
          <w:lang w:val="ro-MD"/>
        </w:rPr>
      </w:pPr>
      <w:r w:rsidRPr="00736448">
        <w:rPr>
          <w:rFonts w:asciiTheme="majorHAnsi" w:hAnsiTheme="majorHAnsi" w:cstheme="majorHAnsi"/>
          <w:b/>
          <w:sz w:val="24"/>
          <w:szCs w:val="24"/>
          <w:lang w:val="ro-MD"/>
        </w:rPr>
        <w:t>Analiza implementării recomandări</w:t>
      </w:r>
      <w:r w:rsidR="009C2D7D" w:rsidRPr="00736448">
        <w:rPr>
          <w:rFonts w:asciiTheme="majorHAnsi" w:hAnsiTheme="majorHAnsi" w:cstheme="majorHAnsi"/>
          <w:b/>
          <w:sz w:val="24"/>
          <w:szCs w:val="24"/>
          <w:lang w:val="ro-MD"/>
        </w:rPr>
        <w:t>lor</w:t>
      </w:r>
      <w:r w:rsidRPr="00736448">
        <w:rPr>
          <w:rFonts w:asciiTheme="majorHAnsi" w:hAnsiTheme="majorHAnsi" w:cstheme="majorHAnsi"/>
          <w:b/>
          <w:sz w:val="24"/>
          <w:szCs w:val="24"/>
          <w:lang w:val="ro-MD"/>
        </w:rPr>
        <w:t xml:space="preserve"> înaintate de Curtea de Conturi</w:t>
      </w:r>
    </w:p>
    <w:tbl>
      <w:tblPr>
        <w:tblW w:w="144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906"/>
        <w:gridCol w:w="8190"/>
        <w:gridCol w:w="810"/>
        <w:gridCol w:w="900"/>
        <w:gridCol w:w="990"/>
      </w:tblGrid>
      <w:tr w:rsidR="00A25BFF" w:rsidRPr="00B7675F" w14:paraId="5DC1D358" w14:textId="77777777" w:rsidTr="00860800">
        <w:trPr>
          <w:trHeight w:val="20"/>
        </w:trPr>
        <w:tc>
          <w:tcPr>
            <w:tcW w:w="604" w:type="dxa"/>
            <w:vMerge w:val="restart"/>
            <w:shd w:val="clear" w:color="auto" w:fill="FFFFFF" w:themeFill="background1"/>
            <w:noWrap/>
            <w:vAlign w:val="center"/>
            <w:hideMark/>
          </w:tcPr>
          <w:p w14:paraId="1128B1AC"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Nr.</w:t>
            </w:r>
          </w:p>
        </w:tc>
        <w:tc>
          <w:tcPr>
            <w:tcW w:w="2906" w:type="dxa"/>
            <w:vMerge w:val="restart"/>
            <w:shd w:val="clear" w:color="auto" w:fill="FFFFFF" w:themeFill="background1"/>
            <w:vAlign w:val="center"/>
            <w:hideMark/>
          </w:tcPr>
          <w:p w14:paraId="6134E06F" w14:textId="77777777" w:rsidR="00A25BFF" w:rsidRPr="00736448" w:rsidRDefault="00A25BFF" w:rsidP="00860800">
            <w:pPr>
              <w:spacing w:after="0" w:line="240" w:lineRule="auto"/>
              <w:jc w:val="center"/>
              <w:rPr>
                <w:rFonts w:asciiTheme="majorHAnsi" w:eastAsia="Times New Roman" w:hAnsiTheme="majorHAnsi" w:cstheme="majorHAnsi"/>
                <w:bCs/>
                <w:sz w:val="18"/>
                <w:szCs w:val="18"/>
                <w:lang w:val="ro-MD"/>
              </w:rPr>
            </w:pPr>
            <w:r w:rsidRPr="00736448">
              <w:rPr>
                <w:rFonts w:asciiTheme="majorHAnsi" w:eastAsia="Times New Roman" w:hAnsiTheme="majorHAnsi" w:cstheme="majorHAnsi"/>
                <w:bCs/>
                <w:sz w:val="18"/>
                <w:szCs w:val="18"/>
                <w:lang w:val="ro-MD"/>
              </w:rPr>
              <w:t>Recomandarea</w:t>
            </w:r>
          </w:p>
        </w:tc>
        <w:tc>
          <w:tcPr>
            <w:tcW w:w="8190" w:type="dxa"/>
            <w:vMerge w:val="restart"/>
            <w:shd w:val="clear" w:color="auto" w:fill="FFFFFF" w:themeFill="background1"/>
            <w:vAlign w:val="center"/>
            <w:hideMark/>
          </w:tcPr>
          <w:p w14:paraId="4492F111"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Măsurile întreprinse</w:t>
            </w:r>
          </w:p>
        </w:tc>
        <w:tc>
          <w:tcPr>
            <w:tcW w:w="2700" w:type="dxa"/>
            <w:gridSpan w:val="3"/>
            <w:shd w:val="clear" w:color="auto" w:fill="FFFFFF" w:themeFill="background1"/>
          </w:tcPr>
          <w:p w14:paraId="543704D9"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Statutul implementării recomandării</w:t>
            </w:r>
          </w:p>
        </w:tc>
      </w:tr>
      <w:tr w:rsidR="00A25BFF" w:rsidRPr="00B7675F" w14:paraId="732ED3F5" w14:textId="77777777" w:rsidTr="00860800">
        <w:trPr>
          <w:trHeight w:val="20"/>
        </w:trPr>
        <w:tc>
          <w:tcPr>
            <w:tcW w:w="604" w:type="dxa"/>
            <w:vMerge/>
            <w:shd w:val="clear" w:color="auto" w:fill="FFFFFF" w:themeFill="background1"/>
            <w:noWrap/>
            <w:vAlign w:val="center"/>
          </w:tcPr>
          <w:p w14:paraId="6FD5C0FD"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vMerge/>
            <w:shd w:val="clear" w:color="auto" w:fill="FFFFFF" w:themeFill="background1"/>
          </w:tcPr>
          <w:p w14:paraId="7659AAEF"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8190" w:type="dxa"/>
            <w:vMerge/>
            <w:shd w:val="clear" w:color="auto" w:fill="FFFFFF" w:themeFill="background1"/>
          </w:tcPr>
          <w:p w14:paraId="68FF8AEF"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810" w:type="dxa"/>
            <w:shd w:val="clear" w:color="auto" w:fill="FFFFFF" w:themeFill="background1"/>
          </w:tcPr>
          <w:p w14:paraId="2E81D342"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Realizat</w:t>
            </w:r>
          </w:p>
        </w:tc>
        <w:tc>
          <w:tcPr>
            <w:tcW w:w="900" w:type="dxa"/>
            <w:shd w:val="clear" w:color="auto" w:fill="FFFFFF" w:themeFill="background1"/>
          </w:tcPr>
          <w:p w14:paraId="45925C0D"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Parțial</w:t>
            </w:r>
          </w:p>
          <w:p w14:paraId="1AE226BB"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 xml:space="preserve"> realizat</w:t>
            </w:r>
          </w:p>
        </w:tc>
        <w:tc>
          <w:tcPr>
            <w:tcW w:w="990" w:type="dxa"/>
            <w:shd w:val="clear" w:color="auto" w:fill="FFFFFF" w:themeFill="background1"/>
          </w:tcPr>
          <w:p w14:paraId="70F49CC3"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Nerealizat</w:t>
            </w:r>
          </w:p>
        </w:tc>
      </w:tr>
      <w:tr w:rsidR="00A25BFF" w:rsidRPr="00B7675F" w14:paraId="48411263" w14:textId="77777777" w:rsidTr="00B27804">
        <w:trPr>
          <w:trHeight w:val="20"/>
        </w:trPr>
        <w:tc>
          <w:tcPr>
            <w:tcW w:w="14400" w:type="dxa"/>
            <w:gridSpan w:val="6"/>
            <w:shd w:val="clear" w:color="auto" w:fill="FFFFFF" w:themeFill="background1"/>
            <w:noWrap/>
          </w:tcPr>
          <w:p w14:paraId="6686463A" w14:textId="77777777" w:rsidR="00A25BFF" w:rsidRPr="00736448" w:rsidRDefault="00A25BFF" w:rsidP="00860800">
            <w:pPr>
              <w:spacing w:after="0" w:line="240" w:lineRule="auto"/>
              <w:jc w:val="center"/>
              <w:rPr>
                <w:rFonts w:asciiTheme="majorHAnsi" w:eastAsia="Times New Roman" w:hAnsiTheme="majorHAnsi" w:cstheme="majorHAnsi"/>
                <w:b/>
                <w:bCs/>
                <w:i/>
                <w:iCs/>
                <w:sz w:val="18"/>
                <w:szCs w:val="18"/>
                <w:lang w:val="ro-MD"/>
              </w:rPr>
            </w:pPr>
            <w:r w:rsidRPr="00736448">
              <w:rPr>
                <w:rFonts w:asciiTheme="majorHAnsi" w:hAnsiTheme="majorHAnsi" w:cstheme="majorHAnsi"/>
                <w:b/>
                <w:i/>
                <w:color w:val="000000" w:themeColor="text1"/>
                <w:sz w:val="18"/>
                <w:szCs w:val="18"/>
                <w:lang w:val="ro-MD"/>
              </w:rPr>
              <w:t>Recomandare Ministrului Muncii și Protecției Sociale</w:t>
            </w:r>
          </w:p>
        </w:tc>
      </w:tr>
      <w:tr w:rsidR="00A25BFF" w:rsidRPr="00B7675F" w14:paraId="38AF7336" w14:textId="77777777" w:rsidTr="00B27804">
        <w:trPr>
          <w:trHeight w:val="20"/>
        </w:trPr>
        <w:tc>
          <w:tcPr>
            <w:tcW w:w="604" w:type="dxa"/>
            <w:vMerge w:val="restart"/>
            <w:shd w:val="clear" w:color="auto" w:fill="FFFFFF" w:themeFill="background1"/>
            <w:noWrap/>
            <w:vAlign w:val="center"/>
          </w:tcPr>
          <w:p w14:paraId="036B2859"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1</w:t>
            </w:r>
          </w:p>
        </w:tc>
        <w:tc>
          <w:tcPr>
            <w:tcW w:w="2906" w:type="dxa"/>
            <w:shd w:val="clear" w:color="auto" w:fill="auto"/>
          </w:tcPr>
          <w:p w14:paraId="40F7A3A4" w14:textId="77777777" w:rsidR="00A25BFF" w:rsidRPr="00736448" w:rsidRDefault="00A25BFF" w:rsidP="00860800">
            <w:pPr>
              <w:pStyle w:val="aa"/>
              <w:numPr>
                <w:ilvl w:val="0"/>
                <w:numId w:val="18"/>
              </w:numPr>
              <w:spacing w:after="0" w:line="240" w:lineRule="auto"/>
              <w:ind w:left="0" w:firstLine="0"/>
              <w:jc w:val="both"/>
              <w:rPr>
                <w:rFonts w:asciiTheme="majorHAnsi" w:eastAsia="Times New Roman" w:hAnsiTheme="majorHAnsi" w:cstheme="majorHAnsi"/>
                <w:sz w:val="18"/>
                <w:szCs w:val="18"/>
                <w:lang w:val="ro-MD"/>
              </w:rPr>
            </w:pPr>
            <w:r w:rsidRPr="00736448">
              <w:rPr>
                <w:rFonts w:asciiTheme="majorHAnsi" w:hAnsiTheme="majorHAnsi" w:cstheme="majorHAnsi"/>
                <w:i/>
                <w:color w:val="000000" w:themeColor="text1"/>
                <w:sz w:val="18"/>
                <w:szCs w:val="18"/>
                <w:lang w:val="ro-MD"/>
              </w:rPr>
              <w:t>Să analizeze problemele procesului de stabilire, calculare și plată a ajutorului social și ajutorului pentru perioada rece a anului, cu întreprinderea acțiunilor concrete în scopul asigurării interacțiunii părților implicate, inclusiv consolidarea statutului Inspectoratului Social de Stat</w:t>
            </w:r>
          </w:p>
        </w:tc>
        <w:tc>
          <w:tcPr>
            <w:tcW w:w="8190" w:type="dxa"/>
            <w:shd w:val="clear" w:color="auto" w:fill="auto"/>
          </w:tcPr>
          <w:p w14:paraId="774DA517" w14:textId="77777777" w:rsidR="00A25BFF" w:rsidRPr="00736448" w:rsidRDefault="00A25BFF" w:rsidP="00860800">
            <w:pPr>
              <w:spacing w:after="0" w:line="240" w:lineRule="auto"/>
              <w:jc w:val="both"/>
              <w:rPr>
                <w:rFonts w:asciiTheme="majorHAnsi" w:eastAsia="Times New Roman" w:hAnsiTheme="majorHAnsi" w:cstheme="majorHAnsi"/>
                <w:sz w:val="18"/>
                <w:szCs w:val="18"/>
                <w:lang w:val="ro-MD"/>
              </w:rPr>
            </w:pPr>
            <w:r w:rsidRPr="00736448">
              <w:rPr>
                <w:rFonts w:asciiTheme="majorHAnsi" w:hAnsiTheme="majorHAnsi" w:cstheme="majorHAnsi"/>
                <w:color w:val="000000" w:themeColor="text1"/>
                <w:sz w:val="18"/>
                <w:szCs w:val="18"/>
                <w:lang w:val="ro-MD"/>
              </w:rPr>
              <w:t>Nu a prezentat documente privind implementarea recomandărilor</w:t>
            </w:r>
          </w:p>
        </w:tc>
        <w:tc>
          <w:tcPr>
            <w:tcW w:w="810" w:type="dxa"/>
            <w:shd w:val="clear" w:color="auto" w:fill="auto"/>
          </w:tcPr>
          <w:p w14:paraId="78C34D60"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00" w:type="dxa"/>
            <w:shd w:val="clear" w:color="auto" w:fill="auto"/>
          </w:tcPr>
          <w:p w14:paraId="777C5CF9" w14:textId="77777777" w:rsidR="00A25BFF" w:rsidRPr="00736448" w:rsidRDefault="00A25BFF" w:rsidP="00860800">
            <w:pPr>
              <w:spacing w:after="0" w:line="240" w:lineRule="auto"/>
              <w:rPr>
                <w:rFonts w:asciiTheme="majorHAnsi" w:eastAsia="Times New Roman" w:hAnsiTheme="majorHAnsi" w:cstheme="majorHAnsi"/>
                <w:bCs/>
                <w:iCs/>
                <w:sz w:val="18"/>
                <w:szCs w:val="18"/>
                <w:lang w:val="ro-MD"/>
              </w:rPr>
            </w:pPr>
          </w:p>
        </w:tc>
        <w:tc>
          <w:tcPr>
            <w:tcW w:w="990" w:type="dxa"/>
          </w:tcPr>
          <w:p w14:paraId="7907BB75"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r w:rsidRPr="00736448">
              <w:rPr>
                <w:rFonts w:asciiTheme="majorHAnsi" w:eastAsia="Times New Roman" w:hAnsiTheme="majorHAnsi" w:cstheme="majorHAnsi"/>
                <w:b/>
                <w:bCs/>
                <w:sz w:val="18"/>
                <w:szCs w:val="18"/>
                <w:lang w:val="ro-MD"/>
              </w:rPr>
              <w:t>V</w:t>
            </w:r>
          </w:p>
        </w:tc>
      </w:tr>
      <w:tr w:rsidR="00A25BFF" w:rsidRPr="00B7675F" w14:paraId="612E1305" w14:textId="77777777" w:rsidTr="00B27804">
        <w:trPr>
          <w:trHeight w:val="20"/>
        </w:trPr>
        <w:tc>
          <w:tcPr>
            <w:tcW w:w="604" w:type="dxa"/>
            <w:vMerge/>
            <w:shd w:val="clear" w:color="auto" w:fill="FFFFFF" w:themeFill="background1"/>
            <w:noWrap/>
            <w:vAlign w:val="center"/>
          </w:tcPr>
          <w:p w14:paraId="3DE3B443"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6387396B" w14:textId="77777777" w:rsidR="00A25BFF" w:rsidRPr="00736448" w:rsidRDefault="00A25BFF" w:rsidP="00860800">
            <w:pPr>
              <w:pStyle w:val="aa"/>
              <w:numPr>
                <w:ilvl w:val="0"/>
                <w:numId w:val="18"/>
              </w:numPr>
              <w:spacing w:after="0" w:line="240" w:lineRule="auto"/>
              <w:ind w:left="0" w:firstLine="0"/>
              <w:jc w:val="both"/>
              <w:rPr>
                <w:rFonts w:asciiTheme="majorHAnsi" w:hAnsiTheme="majorHAnsi" w:cstheme="majorHAnsi"/>
                <w:i/>
                <w:color w:val="000000" w:themeColor="text1"/>
                <w:sz w:val="18"/>
                <w:szCs w:val="18"/>
                <w:lang w:val="ro-MD"/>
              </w:rPr>
            </w:pPr>
            <w:r w:rsidRPr="00736448">
              <w:rPr>
                <w:rFonts w:asciiTheme="majorHAnsi" w:hAnsiTheme="majorHAnsi" w:cstheme="majorHAnsi"/>
                <w:i/>
                <w:color w:val="000000" w:themeColor="text1"/>
                <w:sz w:val="18"/>
                <w:szCs w:val="18"/>
                <w:lang w:val="ro-MD"/>
              </w:rPr>
              <w:t>Să elaboreze și să înainteze propuneri de ajustare a cadrului normativ privind determinarea exhaustivă a categoriilor de angajați din aviația civilă ce au dreptul la stabilirea pensiei în condiții speciale</w:t>
            </w:r>
          </w:p>
        </w:tc>
        <w:tc>
          <w:tcPr>
            <w:tcW w:w="8190" w:type="dxa"/>
            <w:shd w:val="clear" w:color="auto" w:fill="auto"/>
          </w:tcPr>
          <w:p w14:paraId="55B297DC" w14:textId="7F09DA1A" w:rsidR="00A25BFF" w:rsidRPr="00736448" w:rsidRDefault="00A25BFF" w:rsidP="00860800">
            <w:pPr>
              <w:spacing w:after="0" w:line="240" w:lineRule="auto"/>
              <w:jc w:val="both"/>
              <w:rPr>
                <w:rFonts w:asciiTheme="majorHAnsi" w:hAnsiTheme="majorHAnsi" w:cstheme="majorHAnsi"/>
                <w:color w:val="000000" w:themeColor="text1"/>
                <w:sz w:val="18"/>
                <w:szCs w:val="18"/>
                <w:lang w:val="ro-MD"/>
              </w:rPr>
            </w:pPr>
            <w:r w:rsidRPr="00736448">
              <w:rPr>
                <w:rFonts w:asciiTheme="majorHAnsi" w:hAnsiTheme="majorHAnsi" w:cstheme="majorHAnsi"/>
                <w:b/>
                <w:i/>
                <w:color w:val="000000" w:themeColor="text1"/>
                <w:sz w:val="18"/>
                <w:szCs w:val="18"/>
                <w:lang w:val="ro-MD"/>
              </w:rPr>
              <w:t>Scrisoarea MMPS nr.12/4329 din 29.12.2022</w:t>
            </w:r>
            <w:r w:rsidRPr="00736448">
              <w:rPr>
                <w:rFonts w:asciiTheme="majorHAnsi" w:hAnsiTheme="majorHAnsi" w:cstheme="majorHAnsi"/>
                <w:color w:val="000000" w:themeColor="text1"/>
                <w:sz w:val="18"/>
                <w:szCs w:val="18"/>
                <w:lang w:val="ro-MD"/>
              </w:rPr>
              <w:t>: Potrivit reglementărilor actelor normative în vigoare, menționăm că prevederile care pot determina exhaustiv categoriile de angajați din aviația civilă ce au dreptul la stabilirea pensiei în condiții speciale, trebuie ajustate în corespundere cu ultimele modificări în domeniu. În opinia MMPS, procesul în cauz</w:t>
            </w:r>
            <w:r w:rsidR="00AA6D17">
              <w:rPr>
                <w:rFonts w:asciiTheme="majorHAnsi" w:hAnsiTheme="majorHAnsi" w:cstheme="majorHAnsi"/>
                <w:color w:val="000000" w:themeColor="text1"/>
                <w:sz w:val="18"/>
                <w:szCs w:val="18"/>
                <w:lang w:val="ro-MD"/>
              </w:rPr>
              <w:t>ă</w:t>
            </w:r>
            <w:r w:rsidRPr="00736448">
              <w:rPr>
                <w:rFonts w:asciiTheme="majorHAnsi" w:hAnsiTheme="majorHAnsi" w:cstheme="majorHAnsi"/>
                <w:color w:val="000000" w:themeColor="text1"/>
                <w:sz w:val="18"/>
                <w:szCs w:val="18"/>
                <w:lang w:val="ro-MD"/>
              </w:rPr>
              <w:t xml:space="preserve"> este unul complex și implică acțiuni din partea mai multor autorități.</w:t>
            </w:r>
            <w:r w:rsidRPr="00736448">
              <w:rPr>
                <w:rFonts w:asciiTheme="majorHAnsi" w:hAnsiTheme="majorHAnsi" w:cstheme="majorHAnsi"/>
                <w:color w:val="000000" w:themeColor="text1"/>
                <w:sz w:val="18"/>
                <w:szCs w:val="18"/>
                <w:lang w:val="ro-MD"/>
              </w:rPr>
              <w:br/>
              <w:t>Actualmente, MMPS a inițiat procedura de examinare și consultare a subiectului vizat, prin organizarea ședințelor de lucru create. În context, informăm că se întreprind măsuri cu privire la examinarea oportunității operării modificărilor corespunzătoare în cadrul normativ vizat, care va asigura modificarea și adoptarea unui nou cadru normativ privind implementarea recomandării Curții de Conturi.</w:t>
            </w:r>
          </w:p>
        </w:tc>
        <w:tc>
          <w:tcPr>
            <w:tcW w:w="810" w:type="dxa"/>
            <w:shd w:val="clear" w:color="auto" w:fill="auto"/>
          </w:tcPr>
          <w:p w14:paraId="3F78B288"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00" w:type="dxa"/>
            <w:shd w:val="clear" w:color="auto" w:fill="auto"/>
          </w:tcPr>
          <w:p w14:paraId="1465DC8E" w14:textId="77777777" w:rsidR="00A25BFF" w:rsidRPr="00736448" w:rsidRDefault="00A25BFF" w:rsidP="00860800">
            <w:pPr>
              <w:spacing w:after="0" w:line="240" w:lineRule="auto"/>
              <w:rPr>
                <w:rFonts w:asciiTheme="majorHAnsi" w:eastAsia="Times New Roman" w:hAnsiTheme="majorHAnsi" w:cstheme="majorHAnsi"/>
                <w:bCs/>
                <w:iCs/>
                <w:sz w:val="18"/>
                <w:szCs w:val="18"/>
                <w:lang w:val="ro-MD"/>
              </w:rPr>
            </w:pPr>
          </w:p>
        </w:tc>
        <w:tc>
          <w:tcPr>
            <w:tcW w:w="990" w:type="dxa"/>
          </w:tcPr>
          <w:p w14:paraId="22CB0290"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w:t>
            </w:r>
          </w:p>
        </w:tc>
      </w:tr>
      <w:tr w:rsidR="00A25BFF" w:rsidRPr="00B7675F" w14:paraId="3AF76570" w14:textId="77777777" w:rsidTr="00B27804">
        <w:trPr>
          <w:trHeight w:val="20"/>
        </w:trPr>
        <w:tc>
          <w:tcPr>
            <w:tcW w:w="604" w:type="dxa"/>
            <w:vMerge/>
            <w:shd w:val="clear" w:color="auto" w:fill="FFFFFF" w:themeFill="background1"/>
            <w:noWrap/>
            <w:vAlign w:val="center"/>
          </w:tcPr>
          <w:p w14:paraId="3F9C964F"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753F3953" w14:textId="77777777" w:rsidR="00A25BFF" w:rsidRPr="00736448" w:rsidRDefault="00A25BFF" w:rsidP="00860800">
            <w:pPr>
              <w:pStyle w:val="aa"/>
              <w:numPr>
                <w:ilvl w:val="0"/>
                <w:numId w:val="18"/>
              </w:numPr>
              <w:spacing w:after="0" w:line="240" w:lineRule="auto"/>
              <w:ind w:left="0" w:firstLine="0"/>
              <w:jc w:val="both"/>
              <w:rPr>
                <w:rFonts w:asciiTheme="majorHAnsi" w:hAnsiTheme="majorHAnsi" w:cstheme="majorHAnsi"/>
                <w:i/>
                <w:color w:val="000000" w:themeColor="text1"/>
                <w:sz w:val="18"/>
                <w:szCs w:val="18"/>
                <w:lang w:val="ro-MD"/>
              </w:rPr>
            </w:pPr>
            <w:r w:rsidRPr="00736448">
              <w:rPr>
                <w:rStyle w:val="list0020paragraphchar"/>
                <w:rFonts w:asciiTheme="majorHAnsi" w:hAnsiTheme="majorHAnsi" w:cstheme="majorHAnsi"/>
                <w:i/>
                <w:color w:val="000000" w:themeColor="text1"/>
                <w:sz w:val="18"/>
                <w:szCs w:val="18"/>
                <w:lang w:val="ro-MD"/>
              </w:rPr>
              <w:t xml:space="preserve">Să </w:t>
            </w:r>
            <w:r w:rsidRPr="00736448">
              <w:rPr>
                <w:rFonts w:asciiTheme="majorHAnsi" w:hAnsiTheme="majorHAnsi" w:cstheme="majorHAnsi"/>
                <w:i/>
                <w:color w:val="000000" w:themeColor="text1"/>
                <w:sz w:val="18"/>
                <w:szCs w:val="18"/>
                <w:lang w:val="ro-MD"/>
              </w:rPr>
              <w:t>elaboreze reglementări exhaustive de stopare/sistare a plății pensiei unor angajați din aviația civilă în cazul reangajării în funcții ale căror condiții de muncă se încadrează în condiții speciale</w:t>
            </w:r>
          </w:p>
        </w:tc>
        <w:tc>
          <w:tcPr>
            <w:tcW w:w="8190" w:type="dxa"/>
            <w:shd w:val="clear" w:color="auto" w:fill="auto"/>
          </w:tcPr>
          <w:p w14:paraId="1587232F" w14:textId="77777777" w:rsidR="00A25BFF" w:rsidRPr="00736448" w:rsidRDefault="00A25BFF" w:rsidP="00860800">
            <w:pPr>
              <w:spacing w:after="0" w:line="240" w:lineRule="auto"/>
              <w:jc w:val="both"/>
              <w:rPr>
                <w:rFonts w:asciiTheme="majorHAnsi" w:hAnsiTheme="majorHAnsi" w:cstheme="majorHAnsi"/>
                <w:b/>
                <w:color w:val="000000" w:themeColor="text1"/>
                <w:sz w:val="18"/>
                <w:szCs w:val="18"/>
                <w:lang w:val="ro-MD"/>
              </w:rPr>
            </w:pPr>
            <w:r w:rsidRPr="00736448">
              <w:rPr>
                <w:rFonts w:asciiTheme="majorHAnsi" w:hAnsiTheme="majorHAnsi" w:cstheme="majorHAnsi"/>
                <w:b/>
                <w:i/>
                <w:color w:val="000000" w:themeColor="text1"/>
                <w:sz w:val="18"/>
                <w:szCs w:val="18"/>
                <w:lang w:val="ro-MD"/>
              </w:rPr>
              <w:t>Scrisoarea MMPS nr.12/4329 din 29.12.2022</w:t>
            </w:r>
            <w:r w:rsidRPr="00736448">
              <w:rPr>
                <w:rFonts w:asciiTheme="majorHAnsi" w:hAnsiTheme="majorHAnsi" w:cstheme="majorHAnsi"/>
                <w:color w:val="000000" w:themeColor="text1"/>
                <w:sz w:val="18"/>
                <w:szCs w:val="18"/>
                <w:lang w:val="ro-MD"/>
              </w:rPr>
              <w:t>: Întru modificarea/completarea cadrului normativ cu privire la elaborarea și reglementarea exhaustivă de stopare/sistare a plății pensiei unor angajați din aviația civilă în cazul reangajării în funcții ale căror condiții de muncă se încadrează în condiții speciale, MMPS a organizat ședințe de lucru pe marginea acestui subiect, urmând ca ulterior să fie examinată oportunitatea operării modificărilor corespunzătoare în cadrul normativ vizat.</w:t>
            </w:r>
          </w:p>
        </w:tc>
        <w:tc>
          <w:tcPr>
            <w:tcW w:w="810" w:type="dxa"/>
            <w:shd w:val="clear" w:color="auto" w:fill="auto"/>
          </w:tcPr>
          <w:p w14:paraId="7C5D89A1"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00" w:type="dxa"/>
            <w:shd w:val="clear" w:color="auto" w:fill="auto"/>
          </w:tcPr>
          <w:p w14:paraId="2B75D13D" w14:textId="77777777" w:rsidR="00A25BFF" w:rsidRPr="00736448" w:rsidRDefault="00A25BFF" w:rsidP="00860800">
            <w:pPr>
              <w:spacing w:after="0" w:line="240" w:lineRule="auto"/>
              <w:rPr>
                <w:rFonts w:asciiTheme="majorHAnsi" w:eastAsia="Times New Roman" w:hAnsiTheme="majorHAnsi" w:cstheme="majorHAnsi"/>
                <w:bCs/>
                <w:iCs/>
                <w:sz w:val="18"/>
                <w:szCs w:val="18"/>
                <w:lang w:val="ro-MD"/>
              </w:rPr>
            </w:pPr>
          </w:p>
        </w:tc>
        <w:tc>
          <w:tcPr>
            <w:tcW w:w="990" w:type="dxa"/>
          </w:tcPr>
          <w:p w14:paraId="61E8CC6D"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w:t>
            </w:r>
          </w:p>
        </w:tc>
      </w:tr>
      <w:tr w:rsidR="00A25BFF" w:rsidRPr="00B7675F" w14:paraId="66C051E8" w14:textId="77777777" w:rsidTr="00B27804">
        <w:trPr>
          <w:trHeight w:val="20"/>
        </w:trPr>
        <w:tc>
          <w:tcPr>
            <w:tcW w:w="604" w:type="dxa"/>
            <w:vMerge/>
            <w:shd w:val="clear" w:color="auto" w:fill="FFFFFF" w:themeFill="background1"/>
            <w:noWrap/>
            <w:vAlign w:val="center"/>
          </w:tcPr>
          <w:p w14:paraId="3FFB4C7C"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26B1FFE0" w14:textId="77777777" w:rsidR="00A25BFF" w:rsidRPr="00736448" w:rsidRDefault="00A25BFF" w:rsidP="00860800">
            <w:pPr>
              <w:pStyle w:val="aa"/>
              <w:numPr>
                <w:ilvl w:val="0"/>
                <w:numId w:val="18"/>
              </w:numPr>
              <w:spacing w:after="0" w:line="240" w:lineRule="auto"/>
              <w:ind w:left="0" w:firstLine="0"/>
              <w:jc w:val="both"/>
              <w:rPr>
                <w:rStyle w:val="list0020paragraphchar"/>
                <w:rFonts w:asciiTheme="majorHAnsi" w:hAnsiTheme="majorHAnsi" w:cstheme="majorHAnsi"/>
                <w:i/>
                <w:color w:val="000000" w:themeColor="text1"/>
                <w:sz w:val="18"/>
                <w:szCs w:val="18"/>
                <w:lang w:val="ro-MD"/>
              </w:rPr>
            </w:pPr>
            <w:r w:rsidRPr="00736448">
              <w:rPr>
                <w:rFonts w:asciiTheme="majorHAnsi" w:hAnsiTheme="majorHAnsi" w:cstheme="majorHAnsi"/>
                <w:i/>
                <w:color w:val="000000" w:themeColor="text1"/>
                <w:sz w:val="18"/>
                <w:szCs w:val="18"/>
                <w:lang w:val="ro-MD"/>
              </w:rPr>
              <w:t>Să analizeze modul de extindere a termenului de examinare a cererilor pentru stabilirea indemnizațiilor paternale, în scopul asigurării echitabile a prestației ce i se cuvine beneficiarului, corelativ cu contribuțiile reținute/achitate</w:t>
            </w:r>
          </w:p>
        </w:tc>
        <w:tc>
          <w:tcPr>
            <w:tcW w:w="8190" w:type="dxa"/>
            <w:shd w:val="clear" w:color="auto" w:fill="auto"/>
          </w:tcPr>
          <w:p w14:paraId="15B1EB27" w14:textId="77777777" w:rsidR="00A25BFF" w:rsidRPr="00736448" w:rsidRDefault="00A25BFF" w:rsidP="00860800">
            <w:pPr>
              <w:spacing w:after="0" w:line="240" w:lineRule="auto"/>
              <w:jc w:val="both"/>
              <w:rPr>
                <w:rFonts w:asciiTheme="majorHAnsi" w:hAnsiTheme="majorHAnsi" w:cstheme="majorHAnsi"/>
                <w:b/>
                <w:color w:val="000000" w:themeColor="text1"/>
                <w:sz w:val="18"/>
                <w:szCs w:val="18"/>
                <w:lang w:val="ro-MD"/>
              </w:rPr>
            </w:pPr>
            <w:r w:rsidRPr="00736448">
              <w:rPr>
                <w:rFonts w:asciiTheme="majorHAnsi" w:hAnsiTheme="majorHAnsi" w:cstheme="majorHAnsi"/>
                <w:b/>
                <w:i/>
                <w:color w:val="000000" w:themeColor="text1"/>
                <w:sz w:val="18"/>
                <w:szCs w:val="18"/>
                <w:lang w:val="ro-MD"/>
              </w:rPr>
              <w:t>Scrisoarea MMPS nr.12/4329 din 29.12.2022</w:t>
            </w:r>
            <w:r w:rsidRPr="00736448">
              <w:rPr>
                <w:rFonts w:asciiTheme="majorHAnsi" w:hAnsiTheme="majorHAnsi" w:cstheme="majorHAnsi"/>
                <w:color w:val="000000" w:themeColor="text1"/>
                <w:sz w:val="18"/>
                <w:szCs w:val="18"/>
                <w:lang w:val="ro-MD"/>
              </w:rPr>
              <w:t>: Prin Legea nr.195/2022 pentru modificarea unor acte normative. Totodată, menționăm că prin Hotărârea Guvernului nr.766/2022 cu privire la modificarea unor hotărâri ale Guvernului (susținerea familiilor cu copii), actele normative au fost aduse în concordanță cu Legea 195/2022.</w:t>
            </w:r>
          </w:p>
        </w:tc>
        <w:tc>
          <w:tcPr>
            <w:tcW w:w="810" w:type="dxa"/>
            <w:shd w:val="clear" w:color="auto" w:fill="auto"/>
          </w:tcPr>
          <w:p w14:paraId="6596E22D"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w:t>
            </w:r>
          </w:p>
        </w:tc>
        <w:tc>
          <w:tcPr>
            <w:tcW w:w="900" w:type="dxa"/>
            <w:shd w:val="clear" w:color="auto" w:fill="auto"/>
          </w:tcPr>
          <w:p w14:paraId="686FBC3A" w14:textId="77777777" w:rsidR="00A25BFF" w:rsidRPr="00736448" w:rsidRDefault="00A25BFF" w:rsidP="00860800">
            <w:pPr>
              <w:spacing w:after="0" w:line="240" w:lineRule="auto"/>
              <w:rPr>
                <w:rFonts w:asciiTheme="majorHAnsi" w:eastAsia="Times New Roman" w:hAnsiTheme="majorHAnsi" w:cstheme="majorHAnsi"/>
                <w:bCs/>
                <w:iCs/>
                <w:sz w:val="18"/>
                <w:szCs w:val="18"/>
                <w:lang w:val="ro-MD"/>
              </w:rPr>
            </w:pPr>
          </w:p>
        </w:tc>
        <w:tc>
          <w:tcPr>
            <w:tcW w:w="990" w:type="dxa"/>
          </w:tcPr>
          <w:p w14:paraId="2194DBC8"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r>
      <w:tr w:rsidR="00A25BFF" w:rsidRPr="00B7675F" w14:paraId="2A66D355" w14:textId="77777777" w:rsidTr="00B27804">
        <w:trPr>
          <w:trHeight w:val="20"/>
        </w:trPr>
        <w:tc>
          <w:tcPr>
            <w:tcW w:w="14400" w:type="dxa"/>
            <w:gridSpan w:val="6"/>
            <w:shd w:val="clear" w:color="auto" w:fill="FFFFFF" w:themeFill="background1"/>
            <w:noWrap/>
            <w:vAlign w:val="center"/>
          </w:tcPr>
          <w:p w14:paraId="7B1331B4"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hAnsiTheme="majorHAnsi" w:cstheme="majorHAnsi"/>
                <w:b/>
                <w:bCs/>
                <w:i/>
                <w:iCs/>
                <w:sz w:val="18"/>
                <w:szCs w:val="18"/>
                <w:lang w:val="ro-MD"/>
              </w:rPr>
              <w:t xml:space="preserve">Recomandare Ministrului Muncii și Protecției Sociale de comun cu </w:t>
            </w:r>
            <w:r w:rsidRPr="00736448">
              <w:rPr>
                <w:rStyle w:val="normalchar"/>
                <w:rFonts w:asciiTheme="majorHAnsi" w:hAnsiTheme="majorHAnsi" w:cstheme="majorHAnsi"/>
                <w:b/>
                <w:i/>
                <w:color w:val="000000"/>
                <w:sz w:val="18"/>
                <w:szCs w:val="18"/>
                <w:lang w:val="ro-MD"/>
              </w:rPr>
              <w:t>Ministrul Finanțelor</w:t>
            </w:r>
          </w:p>
        </w:tc>
      </w:tr>
      <w:tr w:rsidR="00A25BFF" w:rsidRPr="00B7675F" w14:paraId="0324F4F6" w14:textId="77777777" w:rsidTr="00B27804">
        <w:trPr>
          <w:trHeight w:val="20"/>
        </w:trPr>
        <w:tc>
          <w:tcPr>
            <w:tcW w:w="604" w:type="dxa"/>
            <w:shd w:val="clear" w:color="auto" w:fill="FFFFFF" w:themeFill="background1"/>
            <w:noWrap/>
            <w:vAlign w:val="center"/>
          </w:tcPr>
          <w:p w14:paraId="45C630FB"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2</w:t>
            </w:r>
          </w:p>
        </w:tc>
        <w:tc>
          <w:tcPr>
            <w:tcW w:w="2906" w:type="dxa"/>
            <w:shd w:val="clear" w:color="auto" w:fill="auto"/>
          </w:tcPr>
          <w:p w14:paraId="5F51E380" w14:textId="77777777" w:rsidR="00A25BFF" w:rsidRPr="00736448" w:rsidRDefault="00A25BFF" w:rsidP="00860800">
            <w:pPr>
              <w:pStyle w:val="aa"/>
              <w:numPr>
                <w:ilvl w:val="0"/>
                <w:numId w:val="18"/>
              </w:numPr>
              <w:spacing w:after="0" w:line="240" w:lineRule="auto"/>
              <w:ind w:left="-78" w:firstLine="12"/>
              <w:jc w:val="both"/>
              <w:rPr>
                <w:rFonts w:asciiTheme="majorHAnsi" w:eastAsia="Times New Roman" w:hAnsiTheme="majorHAnsi" w:cstheme="majorHAnsi"/>
                <w:sz w:val="18"/>
                <w:szCs w:val="18"/>
                <w:lang w:val="ro-MD"/>
              </w:rPr>
            </w:pPr>
            <w:r w:rsidRPr="00736448">
              <w:rPr>
                <w:rFonts w:asciiTheme="majorHAnsi" w:hAnsiTheme="majorHAnsi" w:cstheme="majorHAnsi"/>
                <w:i/>
                <w:sz w:val="18"/>
                <w:szCs w:val="18"/>
                <w:lang w:val="ro-MD"/>
              </w:rPr>
              <w:t>Să examineze cauzele problemelor aferente menținerii numărului de unități vacante, nivelului de fluctuație, precum și nereușitelor angajării personalului în cadrul CNAS și structurilor sale teritoriale, cu identificarea soluțiilor în acest sens</w:t>
            </w:r>
          </w:p>
        </w:tc>
        <w:tc>
          <w:tcPr>
            <w:tcW w:w="8190" w:type="dxa"/>
            <w:shd w:val="clear" w:color="auto" w:fill="auto"/>
          </w:tcPr>
          <w:p w14:paraId="639188EE" w14:textId="77777777" w:rsidR="00A25BFF" w:rsidRPr="00736448" w:rsidRDefault="00A25BFF" w:rsidP="00860800">
            <w:pPr>
              <w:autoSpaceDE w:val="0"/>
              <w:autoSpaceDN w:val="0"/>
              <w:adjustRightInd w:val="0"/>
              <w:spacing w:after="0" w:line="240" w:lineRule="auto"/>
              <w:jc w:val="both"/>
              <w:rPr>
                <w:rFonts w:asciiTheme="majorHAnsi" w:eastAsia="Times New Roman" w:hAnsiTheme="majorHAnsi" w:cstheme="majorHAnsi"/>
                <w:sz w:val="18"/>
                <w:szCs w:val="18"/>
                <w:lang w:val="ro-MD"/>
              </w:rPr>
            </w:pPr>
            <w:r w:rsidRPr="00736448">
              <w:rPr>
                <w:rFonts w:asciiTheme="majorHAnsi" w:hAnsiTheme="majorHAnsi" w:cstheme="majorHAnsi"/>
                <w:b/>
                <w:i/>
                <w:color w:val="000000"/>
                <w:sz w:val="18"/>
                <w:szCs w:val="18"/>
                <w:lang w:val="ro-MD"/>
              </w:rPr>
              <w:t>Scrisoarea Ministerului Finanțelor nr. 05-10/104/1730 din 19.12.2022</w:t>
            </w:r>
            <w:r w:rsidRPr="00736448">
              <w:rPr>
                <w:rFonts w:asciiTheme="majorHAnsi" w:hAnsiTheme="majorHAnsi" w:cstheme="majorHAnsi"/>
                <w:color w:val="000000"/>
                <w:sz w:val="18"/>
                <w:szCs w:val="18"/>
                <w:lang w:val="ro-MD"/>
              </w:rPr>
              <w:t>: ca autoritate publică centrală, responsabilă de elaborarea și promovarea politicii în domeniul salarizării în sectorul bugetar, este permanent în identificarea noilor soluții de majorare a salariilor, pentru sporirea atractivității de angajare în sectorul bugetar.</w:t>
            </w:r>
            <w:r w:rsidRPr="00736448">
              <w:rPr>
                <w:rFonts w:asciiTheme="majorHAnsi" w:hAnsiTheme="majorHAnsi" w:cstheme="majorHAnsi"/>
                <w:color w:val="000000"/>
                <w:sz w:val="18"/>
                <w:szCs w:val="18"/>
                <w:lang w:val="ro-MD"/>
              </w:rPr>
              <w:br/>
              <w:t>Respectarea uneia din garanțiile Legii nr. 270/2018, privind sistemul unitar de salarizare în sectorul bugetar este indexarea anuală a valorii de referință utilizate la calcularea salariilor, cel puțin la nivelul prognozat al ratei inflației.</w:t>
            </w:r>
            <w:r w:rsidRPr="00736448">
              <w:rPr>
                <w:rFonts w:asciiTheme="majorHAnsi" w:hAnsiTheme="majorHAnsi" w:cstheme="majorHAnsi"/>
                <w:color w:val="000000"/>
                <w:sz w:val="18"/>
                <w:szCs w:val="18"/>
                <w:lang w:val="ro-MD"/>
              </w:rPr>
              <w:br/>
              <w:t>Se menționează că, potrivit Legii bugetului de stat pentru anul 2021 nr. 258/2020, pentru calcularea, începând cu 01 ianuarie 2021, a salariilor angajaților din sectorul bugetar (inclusiv și a personalului din cadrul CNAS), în conformitate cu prevederile Legii nr. 270/2018, este prevăzută majorarea valorii de referință cu circa 3%. Totodată, începând cu 01 ianuarie 2021, este prevăzută modificarea condițiilor de achitare de către angajat și angajator a contribuțiilor aferente. Astfel, drept urmare a modificărilor în cauza, salariul net al angajaților din sectorul bugetar în anul 2021 a crescut cu circa 4,5%. Suplimentar, se menționează că, reieșind din posibilitățile bugetului public național, prin Legea bugetului de stat pentru anul 2022 nr. 205/2021, începând cu 01 ianuarie 2022, a fost asigurată majorarea valorilor de referință pentru calcularea salariilor angajaților din sectorul bugetar în medie cu circa 6 %, (inclusiv și pentru personalul din cadrul CNAS).</w:t>
            </w:r>
            <w:r w:rsidRPr="00736448">
              <w:rPr>
                <w:rFonts w:asciiTheme="majorHAnsi" w:hAnsiTheme="majorHAnsi" w:cstheme="majorHAnsi"/>
                <w:color w:val="000000"/>
                <w:sz w:val="18"/>
                <w:szCs w:val="18"/>
                <w:lang w:val="ro-MD"/>
              </w:rPr>
              <w:br/>
              <w:t>Ulterior, începând cu 01 septembrie 2022 prin Legea nr. 260/2022 pentru modificarea Legii bugetului de stat pentru anul 2022, a fost stabilită valoarea de referință în mărime de 1900 lei (în creștere cu 100 lei față de mărimea stabilită începând cu 01 ianuarie 2022), ceea ce va oferi о creștere a salariilor angajaților din sectorul bugetar (inclusiv și pentru personalul din cadrul CNAS) de circa 5,5 la sută. Totodată, prin Legea nr. 272/2022 pentru modificarea Legii nr. 270/2018 privind sistemul unitar de salarizare în sectorul bugetar, clasele de salarizare pentru funcțiile publice din cadrul CNAS se majorează față de cele stabilite în tabel, pentru funcțiile publice de conducere cu 3 clase de salarizare succesive, iar pentru funcțiile publice de execute cu 8 clase de salarizare succesive. Completare 04.01.2023</w:t>
            </w:r>
            <w:r w:rsidRPr="00736448">
              <w:rPr>
                <w:rFonts w:asciiTheme="majorHAnsi" w:hAnsiTheme="majorHAnsi" w:cstheme="majorHAnsi"/>
                <w:color w:val="000000"/>
                <w:sz w:val="18"/>
                <w:szCs w:val="18"/>
                <w:lang w:val="ro-MD"/>
              </w:rPr>
              <w:br/>
              <w:t>Scrisoarea MMPS nr.12/4329 din 29.12.2022: Prin Hotărârea Guvernului nr. 726/2022 pentru modificarea HG nr. 230/2020 ”Cu privire la organizarea și funcționarea Casei Naționale de Asigurări Sociale”, structura Casei Naționale de Asigurări Sociale a fost modificata.</w:t>
            </w:r>
            <w:r w:rsidRPr="00736448">
              <w:rPr>
                <w:rFonts w:asciiTheme="majorHAnsi" w:hAnsiTheme="majorHAnsi" w:cstheme="majorHAnsi"/>
                <w:color w:val="000000"/>
                <w:sz w:val="18"/>
                <w:szCs w:val="18"/>
                <w:lang w:val="ro-MD"/>
              </w:rPr>
              <w:br/>
              <w:t>Astfel, au fost înlăturate cauzele problemelor aferente numărului de unități vacante.</w:t>
            </w:r>
          </w:p>
        </w:tc>
        <w:tc>
          <w:tcPr>
            <w:tcW w:w="810" w:type="dxa"/>
            <w:shd w:val="clear" w:color="auto" w:fill="auto"/>
          </w:tcPr>
          <w:p w14:paraId="613EEDB9" w14:textId="77777777" w:rsidR="00A25BFF" w:rsidRPr="00736448" w:rsidRDefault="00A25BFF" w:rsidP="00860800">
            <w:pPr>
              <w:spacing w:after="0" w:line="240" w:lineRule="auto"/>
              <w:jc w:val="center"/>
              <w:rPr>
                <w:rFonts w:asciiTheme="majorHAnsi" w:eastAsia="Times New Roman" w:hAnsiTheme="majorHAnsi" w:cstheme="majorHAnsi"/>
                <w:b/>
                <w:color w:val="FF0000"/>
                <w:sz w:val="18"/>
                <w:szCs w:val="18"/>
                <w:lang w:val="ro-MD"/>
              </w:rPr>
            </w:pPr>
          </w:p>
        </w:tc>
        <w:tc>
          <w:tcPr>
            <w:tcW w:w="900" w:type="dxa"/>
            <w:shd w:val="clear" w:color="auto" w:fill="auto"/>
          </w:tcPr>
          <w:p w14:paraId="4632B530" w14:textId="77777777" w:rsidR="00A25BFF" w:rsidRPr="00736448" w:rsidRDefault="00A25BFF" w:rsidP="00860800">
            <w:pPr>
              <w:spacing w:after="0" w:line="240" w:lineRule="auto"/>
              <w:jc w:val="center"/>
              <w:rPr>
                <w:rFonts w:asciiTheme="majorHAnsi" w:eastAsia="Times New Roman" w:hAnsiTheme="majorHAnsi" w:cstheme="majorHAnsi"/>
                <w:b/>
                <w:color w:val="FF0000"/>
                <w:sz w:val="18"/>
                <w:szCs w:val="18"/>
                <w:lang w:val="ro-MD"/>
              </w:rPr>
            </w:pPr>
            <w:r w:rsidRPr="00736448">
              <w:rPr>
                <w:rFonts w:asciiTheme="majorHAnsi" w:eastAsia="Times New Roman" w:hAnsiTheme="majorHAnsi" w:cstheme="majorHAnsi"/>
                <w:b/>
                <w:color w:val="000000" w:themeColor="text1"/>
                <w:sz w:val="18"/>
                <w:szCs w:val="18"/>
                <w:lang w:val="ro-MD"/>
              </w:rPr>
              <w:t>V</w:t>
            </w:r>
          </w:p>
        </w:tc>
        <w:tc>
          <w:tcPr>
            <w:tcW w:w="990" w:type="dxa"/>
          </w:tcPr>
          <w:p w14:paraId="225DCA41" w14:textId="77777777" w:rsidR="00A25BFF" w:rsidRPr="00736448" w:rsidRDefault="00A25BFF" w:rsidP="00860800">
            <w:pPr>
              <w:spacing w:after="0" w:line="240" w:lineRule="auto"/>
              <w:rPr>
                <w:rFonts w:asciiTheme="majorHAnsi" w:eastAsia="Times New Roman" w:hAnsiTheme="majorHAnsi" w:cstheme="majorHAnsi"/>
                <w:b/>
                <w:bCs/>
                <w:i/>
                <w:sz w:val="18"/>
                <w:szCs w:val="18"/>
                <w:lang w:val="ro-MD"/>
              </w:rPr>
            </w:pPr>
          </w:p>
        </w:tc>
      </w:tr>
      <w:tr w:rsidR="00A25BFF" w:rsidRPr="00B7675F" w14:paraId="23123B84" w14:textId="77777777" w:rsidTr="00B27804">
        <w:trPr>
          <w:trHeight w:val="20"/>
        </w:trPr>
        <w:tc>
          <w:tcPr>
            <w:tcW w:w="14400" w:type="dxa"/>
            <w:gridSpan w:val="6"/>
            <w:shd w:val="clear" w:color="auto" w:fill="FFFFFF" w:themeFill="background1"/>
            <w:noWrap/>
            <w:vAlign w:val="center"/>
          </w:tcPr>
          <w:p w14:paraId="3BD63093" w14:textId="77777777" w:rsidR="00A25BFF" w:rsidRPr="00736448" w:rsidRDefault="00A25BFF" w:rsidP="00860800">
            <w:pPr>
              <w:spacing w:after="0" w:line="240" w:lineRule="auto"/>
              <w:jc w:val="center"/>
              <w:rPr>
                <w:rFonts w:asciiTheme="majorHAnsi" w:eastAsia="Times New Roman" w:hAnsiTheme="majorHAnsi" w:cstheme="majorHAnsi"/>
                <w:b/>
                <w:bCs/>
                <w:i/>
                <w:sz w:val="18"/>
                <w:szCs w:val="18"/>
                <w:lang w:val="ro-MD"/>
              </w:rPr>
            </w:pPr>
            <w:r w:rsidRPr="00736448">
              <w:rPr>
                <w:rFonts w:asciiTheme="majorHAnsi" w:hAnsiTheme="majorHAnsi" w:cstheme="majorHAnsi"/>
                <w:b/>
                <w:bCs/>
                <w:i/>
                <w:iCs/>
                <w:sz w:val="18"/>
                <w:szCs w:val="18"/>
                <w:lang w:val="ro-MD"/>
              </w:rPr>
              <w:t>Recomandări Ministrului Finanțelor</w:t>
            </w:r>
          </w:p>
        </w:tc>
      </w:tr>
      <w:tr w:rsidR="00A25BFF" w:rsidRPr="00B7675F" w14:paraId="1C3A3A84" w14:textId="77777777" w:rsidTr="00B27804">
        <w:trPr>
          <w:trHeight w:val="20"/>
        </w:trPr>
        <w:tc>
          <w:tcPr>
            <w:tcW w:w="604" w:type="dxa"/>
            <w:vMerge w:val="restart"/>
            <w:shd w:val="clear" w:color="auto" w:fill="FFFFFF" w:themeFill="background1"/>
            <w:noWrap/>
            <w:vAlign w:val="center"/>
          </w:tcPr>
          <w:p w14:paraId="0D8205B5"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3</w:t>
            </w:r>
          </w:p>
        </w:tc>
        <w:tc>
          <w:tcPr>
            <w:tcW w:w="2906" w:type="dxa"/>
            <w:shd w:val="clear" w:color="auto" w:fill="auto"/>
          </w:tcPr>
          <w:p w14:paraId="5021A08F" w14:textId="77777777" w:rsidR="00A25BFF" w:rsidRPr="00736448" w:rsidRDefault="00A25BFF" w:rsidP="00860800">
            <w:pPr>
              <w:pStyle w:val="aa"/>
              <w:spacing w:after="0" w:line="240" w:lineRule="auto"/>
              <w:ind w:left="-66"/>
              <w:jc w:val="both"/>
              <w:rPr>
                <w:rFonts w:asciiTheme="majorHAnsi" w:eastAsia="Times New Roman" w:hAnsiTheme="majorHAnsi" w:cstheme="majorHAnsi"/>
                <w:sz w:val="18"/>
                <w:szCs w:val="18"/>
                <w:lang w:val="ro-MD"/>
              </w:rPr>
            </w:pPr>
            <w:r w:rsidRPr="00736448">
              <w:rPr>
                <w:rFonts w:asciiTheme="majorHAnsi" w:hAnsiTheme="majorHAnsi" w:cstheme="majorHAnsi"/>
                <w:i/>
                <w:sz w:val="18"/>
                <w:szCs w:val="18"/>
                <w:lang w:val="ro-MD"/>
              </w:rPr>
              <w:t>6. Să asigure completarea Normelor metodologice aferente modului de întocmire a Rapoartelor privind executarea bugetului asigurărilor sociale de stat pentru identificarea, evaluarea şi includerea în evidență și raportare separată a sumelor aferente indemnizațiilor pentru creșterea copilului până la împlinirea vârstei de 3 ani și a indemnizațiilor pentru creșterea copilului până la împlinirea vârstei de 2 ani și 2 luni, cu reflectarea distinctă în rapoarte</w:t>
            </w:r>
          </w:p>
        </w:tc>
        <w:tc>
          <w:tcPr>
            <w:tcW w:w="8190" w:type="dxa"/>
            <w:shd w:val="clear" w:color="auto" w:fill="auto"/>
          </w:tcPr>
          <w:p w14:paraId="35196372"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Ministerului Finanțelor nr. 05-10/104/1730 din 19.12.2022</w:t>
            </w:r>
            <w:r w:rsidRPr="00736448">
              <w:rPr>
                <w:rFonts w:asciiTheme="majorHAnsi" w:hAnsiTheme="majorHAnsi" w:cstheme="majorHAnsi"/>
                <w:color w:val="000000"/>
                <w:sz w:val="18"/>
                <w:szCs w:val="18"/>
                <w:lang w:val="ro-MD"/>
              </w:rPr>
              <w:t xml:space="preserve">: A fost semnat Ordinul MF nr. 121/2022 privind modificarea Ordinului MF nr. 38/2017 cu privire la aprobarea structurii, componenței, formatul formularelor Rapoartelor privind executarea bugetului asigurărilor sociale de stat și Normelor metodologice privind modul de întocmire a acestora (se anexează 1 fila), ce vizează modificarea și completarea Anexei nr. 2 „Structura și formatul rapoartelor privind executarea bugetului asigurărilor sociale de stat”. </w:t>
            </w:r>
          </w:p>
          <w:p w14:paraId="2A08C98F" w14:textId="77777777" w:rsidR="00A25BFF" w:rsidRPr="00736448" w:rsidRDefault="00A25BFF" w:rsidP="00860800">
            <w:pPr>
              <w:spacing w:line="240" w:lineRule="auto"/>
              <w:jc w:val="both"/>
              <w:rPr>
                <w:rFonts w:asciiTheme="majorHAnsi" w:eastAsia="Times New Roman" w:hAnsiTheme="majorHAnsi" w:cstheme="majorHAnsi"/>
                <w:bCs/>
                <w:iCs/>
                <w:color w:val="000000" w:themeColor="text1"/>
                <w:sz w:val="18"/>
                <w:szCs w:val="18"/>
                <w:lang w:val="ro-MD"/>
              </w:rPr>
            </w:pPr>
          </w:p>
        </w:tc>
        <w:tc>
          <w:tcPr>
            <w:tcW w:w="810" w:type="dxa"/>
            <w:shd w:val="clear" w:color="auto" w:fill="auto"/>
          </w:tcPr>
          <w:p w14:paraId="2E292ED1" w14:textId="77777777" w:rsidR="00A25BFF" w:rsidRPr="00736448" w:rsidRDefault="00A25BFF" w:rsidP="00860800">
            <w:pPr>
              <w:spacing w:after="0" w:line="240" w:lineRule="auto"/>
              <w:jc w:val="center"/>
              <w:rPr>
                <w:rFonts w:asciiTheme="majorHAnsi" w:eastAsia="Times New Roman" w:hAnsiTheme="majorHAnsi" w:cstheme="majorHAnsi"/>
                <w:b/>
                <w:color w:val="FF0000"/>
                <w:sz w:val="18"/>
                <w:szCs w:val="18"/>
                <w:lang w:val="ro-MD"/>
              </w:rPr>
            </w:pPr>
            <w:r w:rsidRPr="00736448">
              <w:rPr>
                <w:rFonts w:asciiTheme="majorHAnsi" w:eastAsia="Times New Roman" w:hAnsiTheme="majorHAnsi" w:cstheme="majorHAnsi"/>
                <w:b/>
                <w:color w:val="000000" w:themeColor="text1"/>
                <w:sz w:val="18"/>
                <w:szCs w:val="18"/>
                <w:lang w:val="ro-MD"/>
              </w:rPr>
              <w:t>V</w:t>
            </w:r>
          </w:p>
        </w:tc>
        <w:tc>
          <w:tcPr>
            <w:tcW w:w="900" w:type="dxa"/>
            <w:shd w:val="clear" w:color="auto" w:fill="auto"/>
          </w:tcPr>
          <w:p w14:paraId="7CF5E6C8" w14:textId="77777777" w:rsidR="00A25BFF" w:rsidRPr="00736448" w:rsidRDefault="00A25BFF" w:rsidP="00860800">
            <w:pPr>
              <w:spacing w:after="0" w:line="240" w:lineRule="auto"/>
              <w:jc w:val="center"/>
              <w:rPr>
                <w:rFonts w:asciiTheme="majorHAnsi" w:eastAsia="Times New Roman" w:hAnsiTheme="majorHAnsi" w:cstheme="majorHAnsi"/>
                <w:b/>
                <w:color w:val="000000" w:themeColor="text1"/>
                <w:sz w:val="18"/>
                <w:szCs w:val="18"/>
                <w:lang w:val="ro-MD"/>
              </w:rPr>
            </w:pPr>
          </w:p>
        </w:tc>
        <w:tc>
          <w:tcPr>
            <w:tcW w:w="990" w:type="dxa"/>
          </w:tcPr>
          <w:p w14:paraId="00A38537" w14:textId="77777777" w:rsidR="00A25BFF" w:rsidRPr="00736448" w:rsidRDefault="00A25BFF" w:rsidP="00860800">
            <w:pPr>
              <w:spacing w:after="0" w:line="240" w:lineRule="auto"/>
              <w:rPr>
                <w:rFonts w:asciiTheme="majorHAnsi" w:eastAsia="Times New Roman" w:hAnsiTheme="majorHAnsi" w:cstheme="majorHAnsi"/>
                <w:b/>
                <w:bCs/>
                <w:i/>
                <w:sz w:val="18"/>
                <w:szCs w:val="18"/>
                <w:lang w:val="ro-MD"/>
              </w:rPr>
            </w:pPr>
          </w:p>
        </w:tc>
      </w:tr>
      <w:tr w:rsidR="00A25BFF" w:rsidRPr="00B7675F" w14:paraId="3A9FE62E" w14:textId="77777777" w:rsidTr="00B27804">
        <w:trPr>
          <w:trHeight w:val="20"/>
        </w:trPr>
        <w:tc>
          <w:tcPr>
            <w:tcW w:w="604" w:type="dxa"/>
            <w:vMerge/>
            <w:shd w:val="clear" w:color="auto" w:fill="FFFFFF" w:themeFill="background1"/>
            <w:noWrap/>
            <w:vAlign w:val="center"/>
          </w:tcPr>
          <w:p w14:paraId="00E3A1E4"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37C64ED4" w14:textId="77777777" w:rsidR="00A25BFF" w:rsidRPr="00736448" w:rsidRDefault="00A25BFF" w:rsidP="00860800">
            <w:pPr>
              <w:spacing w:line="240" w:lineRule="auto"/>
              <w:jc w:val="both"/>
              <w:rPr>
                <w:rFonts w:asciiTheme="majorHAnsi" w:hAnsiTheme="majorHAnsi" w:cstheme="majorHAnsi"/>
                <w:i/>
                <w:sz w:val="18"/>
                <w:szCs w:val="18"/>
                <w:lang w:val="ro-MD"/>
              </w:rPr>
            </w:pPr>
            <w:r w:rsidRPr="00736448">
              <w:rPr>
                <w:rFonts w:asciiTheme="majorHAnsi" w:hAnsiTheme="majorHAnsi" w:cstheme="majorHAnsi"/>
                <w:i/>
                <w:sz w:val="18"/>
                <w:szCs w:val="18"/>
                <w:lang w:val="ro-MD"/>
              </w:rPr>
              <w:t>7. Să aducă în concordanță denumirea indicatorilor din rapoartele de executare a BASS și celor din planul de conturi contabile, cu cele prevăzute în cadrul legislativ</w:t>
            </w:r>
          </w:p>
        </w:tc>
        <w:tc>
          <w:tcPr>
            <w:tcW w:w="8190" w:type="dxa"/>
            <w:shd w:val="clear" w:color="auto" w:fill="auto"/>
          </w:tcPr>
          <w:p w14:paraId="4DCAF68B"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Ministerului Finanțelor nr. 05-10/104/1730 din 19.12.2022</w:t>
            </w:r>
            <w:r w:rsidRPr="00736448">
              <w:rPr>
                <w:rFonts w:asciiTheme="majorHAnsi" w:hAnsiTheme="majorHAnsi" w:cstheme="majorHAnsi"/>
                <w:color w:val="000000"/>
                <w:sz w:val="18"/>
                <w:szCs w:val="18"/>
                <w:lang w:val="ro-MD"/>
              </w:rPr>
              <w:t xml:space="preserve">: vezi răspunsul din recomandarea nr.6. </w:t>
            </w:r>
          </w:p>
          <w:p w14:paraId="7E60FFD2"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p>
        </w:tc>
        <w:tc>
          <w:tcPr>
            <w:tcW w:w="810" w:type="dxa"/>
            <w:shd w:val="clear" w:color="auto" w:fill="auto"/>
          </w:tcPr>
          <w:p w14:paraId="6A430682"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w:t>
            </w:r>
          </w:p>
        </w:tc>
        <w:tc>
          <w:tcPr>
            <w:tcW w:w="900" w:type="dxa"/>
            <w:shd w:val="clear" w:color="auto" w:fill="auto"/>
          </w:tcPr>
          <w:p w14:paraId="285DA6BC"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90" w:type="dxa"/>
          </w:tcPr>
          <w:p w14:paraId="2BD2374A"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p>
        </w:tc>
      </w:tr>
      <w:tr w:rsidR="00A25BFF" w:rsidRPr="00B7675F" w14:paraId="0A189A39" w14:textId="77777777" w:rsidTr="00B27804">
        <w:trPr>
          <w:trHeight w:val="20"/>
        </w:trPr>
        <w:tc>
          <w:tcPr>
            <w:tcW w:w="14400" w:type="dxa"/>
            <w:gridSpan w:val="6"/>
            <w:shd w:val="clear" w:color="auto" w:fill="FFFFFF" w:themeFill="background1"/>
            <w:noWrap/>
            <w:vAlign w:val="center"/>
          </w:tcPr>
          <w:p w14:paraId="234E3373"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r w:rsidRPr="00736448">
              <w:rPr>
                <w:rFonts w:asciiTheme="majorHAnsi" w:hAnsiTheme="majorHAnsi" w:cstheme="majorHAnsi"/>
                <w:b/>
                <w:bCs/>
                <w:i/>
                <w:iCs/>
                <w:sz w:val="18"/>
                <w:szCs w:val="18"/>
                <w:lang w:val="ro-MD"/>
              </w:rPr>
              <w:t>Recomandare Ministrei Sănătății</w:t>
            </w:r>
          </w:p>
        </w:tc>
      </w:tr>
      <w:tr w:rsidR="00A25BFF" w:rsidRPr="00B7675F" w14:paraId="07F50233" w14:textId="77777777" w:rsidTr="00B27804">
        <w:trPr>
          <w:trHeight w:val="20"/>
        </w:trPr>
        <w:tc>
          <w:tcPr>
            <w:tcW w:w="604" w:type="dxa"/>
            <w:shd w:val="clear" w:color="auto" w:fill="FFFFFF" w:themeFill="background1"/>
            <w:noWrap/>
            <w:vAlign w:val="center"/>
          </w:tcPr>
          <w:p w14:paraId="6CE12F35"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4</w:t>
            </w:r>
          </w:p>
        </w:tc>
        <w:tc>
          <w:tcPr>
            <w:tcW w:w="2906" w:type="dxa"/>
            <w:shd w:val="clear" w:color="auto" w:fill="auto"/>
          </w:tcPr>
          <w:p w14:paraId="15DCEE6E" w14:textId="77777777" w:rsidR="00A25BFF" w:rsidRPr="00736448" w:rsidRDefault="00A25BFF" w:rsidP="00860800">
            <w:pPr>
              <w:spacing w:after="0" w:line="240" w:lineRule="auto"/>
              <w:jc w:val="both"/>
              <w:rPr>
                <w:rFonts w:asciiTheme="majorHAnsi" w:hAnsiTheme="majorHAnsi" w:cstheme="majorHAnsi"/>
                <w:color w:val="000000" w:themeColor="text1"/>
                <w:sz w:val="18"/>
                <w:szCs w:val="18"/>
                <w:lang w:val="ro-MD"/>
              </w:rPr>
            </w:pPr>
            <w:r w:rsidRPr="00736448">
              <w:rPr>
                <w:rFonts w:asciiTheme="majorHAnsi" w:hAnsiTheme="majorHAnsi" w:cstheme="majorHAnsi"/>
                <w:i/>
                <w:sz w:val="18"/>
                <w:szCs w:val="18"/>
                <w:lang w:val="ro-MD"/>
              </w:rPr>
              <w:t>8. Să asigure acțiuni de responsabilizare a conducătorilor instituțiilor medicale, în scopul eficientizării controlului permanent asupra corectitudinii și plenitudinii datelor introduse în Portalul certificatelor de concediu medical, cu respectarea termenelor stabilite</w:t>
            </w:r>
          </w:p>
        </w:tc>
        <w:tc>
          <w:tcPr>
            <w:tcW w:w="8190" w:type="dxa"/>
            <w:shd w:val="clear" w:color="auto" w:fill="auto"/>
          </w:tcPr>
          <w:p w14:paraId="57B3B445"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MS nr.08/7 din 04.01.2023</w:t>
            </w:r>
            <w:r w:rsidRPr="00736448">
              <w:rPr>
                <w:rFonts w:asciiTheme="majorHAnsi" w:hAnsiTheme="majorHAnsi" w:cstheme="majorHAnsi"/>
                <w:color w:val="000000"/>
                <w:sz w:val="18"/>
                <w:szCs w:val="18"/>
                <w:lang w:val="ro-MD"/>
              </w:rPr>
              <w:t xml:space="preserve">: Ministerul Sănătății a asigurat realizarea acțiunilor de responsabilizare a conducătorilor instituțiilor medicale, în scopul eficientizării controlului permanent asupra corectitudinii și plenitudinii datelor introduse în Portalul certificatelor de concediu medical, cu respectarea termenelor stabilite.  </w:t>
            </w:r>
          </w:p>
        </w:tc>
        <w:tc>
          <w:tcPr>
            <w:tcW w:w="810" w:type="dxa"/>
            <w:shd w:val="clear" w:color="auto" w:fill="auto"/>
          </w:tcPr>
          <w:p w14:paraId="2417B1C1" w14:textId="77777777" w:rsidR="00A25BFF" w:rsidRPr="00736448" w:rsidRDefault="00A25BFF" w:rsidP="00860800">
            <w:pPr>
              <w:spacing w:after="0" w:line="240" w:lineRule="auto"/>
              <w:jc w:val="center"/>
              <w:rPr>
                <w:rFonts w:asciiTheme="majorHAnsi" w:eastAsia="Times New Roman" w:hAnsiTheme="majorHAnsi" w:cstheme="majorHAnsi"/>
                <w:sz w:val="18"/>
                <w:szCs w:val="18"/>
                <w:lang w:val="ro-MD"/>
              </w:rPr>
            </w:pPr>
          </w:p>
        </w:tc>
        <w:tc>
          <w:tcPr>
            <w:tcW w:w="900" w:type="dxa"/>
            <w:shd w:val="clear" w:color="auto" w:fill="auto"/>
          </w:tcPr>
          <w:p w14:paraId="3C0B082A"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V</w:t>
            </w:r>
          </w:p>
        </w:tc>
        <w:tc>
          <w:tcPr>
            <w:tcW w:w="990" w:type="dxa"/>
          </w:tcPr>
          <w:p w14:paraId="0E44FEF0"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p>
        </w:tc>
      </w:tr>
      <w:tr w:rsidR="00A25BFF" w:rsidRPr="00B7675F" w14:paraId="1805CEC5" w14:textId="77777777" w:rsidTr="00B27804">
        <w:trPr>
          <w:trHeight w:val="20"/>
        </w:trPr>
        <w:tc>
          <w:tcPr>
            <w:tcW w:w="14400" w:type="dxa"/>
            <w:gridSpan w:val="6"/>
            <w:shd w:val="clear" w:color="auto" w:fill="FFFFFF" w:themeFill="background1"/>
            <w:noWrap/>
            <w:vAlign w:val="center"/>
          </w:tcPr>
          <w:p w14:paraId="5D621D2A"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r w:rsidRPr="00736448">
              <w:rPr>
                <w:rStyle w:val="normalchar"/>
                <w:rFonts w:asciiTheme="majorHAnsi" w:hAnsiTheme="majorHAnsi" w:cstheme="majorHAnsi"/>
                <w:b/>
                <w:i/>
                <w:color w:val="000000"/>
                <w:sz w:val="18"/>
                <w:szCs w:val="18"/>
                <w:lang w:val="ro-MD"/>
              </w:rPr>
              <w:t xml:space="preserve">Recomandări Directorului </w:t>
            </w:r>
            <w:r w:rsidRPr="00736448">
              <w:rPr>
                <w:rStyle w:val="normalchar"/>
                <w:rFonts w:asciiTheme="majorHAnsi" w:hAnsiTheme="majorHAnsi" w:cstheme="majorHAnsi"/>
                <w:b/>
                <w:i/>
                <w:sz w:val="18"/>
                <w:szCs w:val="18"/>
                <w:lang w:val="ro-MD"/>
              </w:rPr>
              <w:t>Agenției Servicii Publice</w:t>
            </w:r>
          </w:p>
        </w:tc>
      </w:tr>
      <w:tr w:rsidR="00A25BFF" w:rsidRPr="00B7675F" w14:paraId="77596EAB" w14:textId="77777777" w:rsidTr="00B27804">
        <w:trPr>
          <w:trHeight w:val="20"/>
        </w:trPr>
        <w:tc>
          <w:tcPr>
            <w:tcW w:w="604" w:type="dxa"/>
            <w:vMerge w:val="restart"/>
            <w:shd w:val="clear" w:color="auto" w:fill="FFFFFF" w:themeFill="background1"/>
            <w:noWrap/>
            <w:vAlign w:val="center"/>
          </w:tcPr>
          <w:p w14:paraId="31DA0E5E"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5</w:t>
            </w:r>
          </w:p>
        </w:tc>
        <w:tc>
          <w:tcPr>
            <w:tcW w:w="2906" w:type="dxa"/>
            <w:shd w:val="clear" w:color="auto" w:fill="auto"/>
          </w:tcPr>
          <w:p w14:paraId="15660BD6" w14:textId="77777777" w:rsidR="00A25BFF" w:rsidRPr="00736448" w:rsidRDefault="00A25BFF" w:rsidP="00860800">
            <w:pPr>
              <w:spacing w:line="240" w:lineRule="auto"/>
              <w:jc w:val="both"/>
              <w:rPr>
                <w:rFonts w:asciiTheme="majorHAnsi" w:hAnsiTheme="majorHAnsi" w:cstheme="majorHAnsi"/>
                <w:color w:val="000000" w:themeColor="text1"/>
                <w:sz w:val="18"/>
                <w:szCs w:val="18"/>
                <w:lang w:val="ro-MD"/>
              </w:rPr>
            </w:pPr>
            <w:r w:rsidRPr="00736448">
              <w:rPr>
                <w:rFonts w:asciiTheme="majorHAnsi" w:hAnsiTheme="majorHAnsi" w:cstheme="majorHAnsi"/>
                <w:i/>
                <w:iCs/>
                <w:color w:val="000000"/>
                <w:sz w:val="18"/>
                <w:szCs w:val="18"/>
                <w:lang w:val="ro-MD"/>
              </w:rPr>
              <w:t>9. Să evalueze și să eficientizeze, de comun cu părțile implicate, procesele aferente formării și schimbului de date privind decesul beneficiarilor de prestații sociale, în scopul excluderii cheltuielilor nejustificate ce se suportă din BASS</w:t>
            </w:r>
          </w:p>
        </w:tc>
        <w:tc>
          <w:tcPr>
            <w:tcW w:w="8190" w:type="dxa"/>
            <w:shd w:val="clear" w:color="auto" w:fill="auto"/>
          </w:tcPr>
          <w:p w14:paraId="06E0C280"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ASP nr.01/9321 din 15.12.2022</w:t>
            </w:r>
            <w:r w:rsidRPr="00736448">
              <w:rPr>
                <w:rFonts w:asciiTheme="majorHAnsi" w:hAnsiTheme="majorHAnsi" w:cstheme="majorHAnsi"/>
                <w:color w:val="000000"/>
                <w:sz w:val="18"/>
                <w:szCs w:val="18"/>
                <w:lang w:val="ro-MD"/>
              </w:rPr>
              <w:t>: în conformitate cu prevederile Legii cu privire la schimbul de date și interoperabilitate nr. 42/2018 și a Hotărârii Guvernului nr.211/2019 privind platforma de interoperabilitate (MConnect), precum și în conformitate cu Anexa tehnică nr.26 (în redacțiile din 17.01.2019, 25.09.2020, 16.02.2022 și 10.03.2022), după confirmarea de către Casa Națională de Asigurări Sociale (CNAS) a disponibilității sistemelor informaționale, a fost lansat pe mediul de producere din 26.04.2022, serviciul web ce asigură furnizarea prin platforma MConnect pentru CNAS a datelor din RSP - [lista persoanelor fizice, datele cărora au fost modificate în RSP, după IDNO al persoanei juridice ce solicita informație] - ce conține inclusiv și informația privind decesele înregistrate. Anterior, furnizarea informației respective se asigură în baza de contract bilateral de prestări servicii informaționale încheiat cu Casa Națională de Asigurări Sociale.</w:t>
            </w:r>
            <w:r w:rsidRPr="00736448">
              <w:rPr>
                <w:rFonts w:asciiTheme="majorHAnsi" w:hAnsiTheme="majorHAnsi" w:cstheme="majorHAnsi"/>
                <w:color w:val="000000"/>
                <w:sz w:val="18"/>
                <w:szCs w:val="18"/>
                <w:lang w:val="ro-MD"/>
              </w:rPr>
              <w:br/>
              <w:t xml:space="preserve">Actualizarea informației privind decesul persoanei nu poate fi pusă la dispoziția autorităților interesate de către instituțiile medicale cu competențe de a constata faptul decesului în condițiile lipsei unui sistem informațional medical automatizat. </w:t>
            </w:r>
          </w:p>
        </w:tc>
        <w:tc>
          <w:tcPr>
            <w:tcW w:w="810" w:type="dxa"/>
            <w:shd w:val="clear" w:color="auto" w:fill="auto"/>
          </w:tcPr>
          <w:p w14:paraId="77924CFD" w14:textId="77777777" w:rsidR="00A25BFF" w:rsidRPr="00736448" w:rsidRDefault="00A25BFF" w:rsidP="00860800">
            <w:pPr>
              <w:spacing w:after="0" w:line="240" w:lineRule="auto"/>
              <w:jc w:val="center"/>
              <w:rPr>
                <w:rFonts w:asciiTheme="majorHAnsi" w:eastAsia="Times New Roman" w:hAnsiTheme="majorHAnsi" w:cstheme="majorHAnsi"/>
                <w:b/>
                <w:sz w:val="18"/>
                <w:szCs w:val="18"/>
                <w:lang w:val="ro-MD"/>
              </w:rPr>
            </w:pPr>
          </w:p>
        </w:tc>
        <w:tc>
          <w:tcPr>
            <w:tcW w:w="900" w:type="dxa"/>
            <w:shd w:val="clear" w:color="auto" w:fill="auto"/>
          </w:tcPr>
          <w:p w14:paraId="42A0715C" w14:textId="77777777" w:rsidR="00A25BFF" w:rsidRPr="00736448" w:rsidRDefault="00A25BFF" w:rsidP="00860800">
            <w:pPr>
              <w:spacing w:after="0" w:line="240" w:lineRule="auto"/>
              <w:rPr>
                <w:rFonts w:asciiTheme="majorHAnsi" w:eastAsia="Times New Roman" w:hAnsiTheme="majorHAnsi" w:cstheme="majorHAnsi"/>
                <w:sz w:val="18"/>
                <w:szCs w:val="18"/>
                <w:lang w:val="ro-MD"/>
              </w:rPr>
            </w:pPr>
          </w:p>
        </w:tc>
        <w:tc>
          <w:tcPr>
            <w:tcW w:w="990" w:type="dxa"/>
          </w:tcPr>
          <w:p w14:paraId="20299C2F" w14:textId="77777777" w:rsidR="00A25BFF" w:rsidRPr="00736448" w:rsidRDefault="00A25BFF" w:rsidP="00860800">
            <w:pPr>
              <w:spacing w:after="0" w:line="240" w:lineRule="auto"/>
              <w:jc w:val="center"/>
              <w:rPr>
                <w:rFonts w:asciiTheme="majorHAnsi" w:eastAsia="Times New Roman" w:hAnsiTheme="majorHAnsi" w:cstheme="majorHAnsi"/>
                <w:b/>
                <w:iCs/>
                <w:sz w:val="18"/>
                <w:szCs w:val="18"/>
                <w:lang w:val="ro-MD"/>
              </w:rPr>
            </w:pPr>
            <w:r w:rsidRPr="00736448">
              <w:rPr>
                <w:rFonts w:asciiTheme="majorHAnsi" w:eastAsia="Times New Roman" w:hAnsiTheme="majorHAnsi" w:cstheme="majorHAnsi"/>
                <w:b/>
                <w:iCs/>
                <w:sz w:val="18"/>
                <w:szCs w:val="18"/>
                <w:lang w:val="ro-MD"/>
              </w:rPr>
              <w:t>V</w:t>
            </w:r>
          </w:p>
        </w:tc>
      </w:tr>
      <w:tr w:rsidR="00A25BFF" w:rsidRPr="00B7675F" w14:paraId="667B1FBF" w14:textId="77777777" w:rsidTr="00B27804">
        <w:trPr>
          <w:trHeight w:val="20"/>
        </w:trPr>
        <w:tc>
          <w:tcPr>
            <w:tcW w:w="604" w:type="dxa"/>
            <w:vMerge/>
            <w:shd w:val="clear" w:color="auto" w:fill="FFFFFF" w:themeFill="background1"/>
            <w:noWrap/>
            <w:vAlign w:val="center"/>
          </w:tcPr>
          <w:p w14:paraId="3CF78DC8"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00070EA6" w14:textId="77777777" w:rsidR="00A25BFF" w:rsidRPr="00736448" w:rsidRDefault="00A25BFF" w:rsidP="00860800">
            <w:pPr>
              <w:spacing w:line="240" w:lineRule="auto"/>
              <w:jc w:val="both"/>
              <w:rPr>
                <w:rFonts w:asciiTheme="majorHAnsi" w:hAnsiTheme="majorHAnsi" w:cstheme="majorHAnsi"/>
                <w:i/>
                <w:iCs/>
                <w:color w:val="000000"/>
                <w:sz w:val="18"/>
                <w:szCs w:val="18"/>
                <w:lang w:val="ro-MD"/>
              </w:rPr>
            </w:pPr>
            <w:r w:rsidRPr="00736448">
              <w:rPr>
                <w:rFonts w:asciiTheme="majorHAnsi" w:hAnsiTheme="majorHAnsi" w:cstheme="majorHAnsi"/>
                <w:i/>
                <w:iCs/>
                <w:color w:val="000000"/>
                <w:sz w:val="18"/>
                <w:szCs w:val="18"/>
                <w:lang w:val="ro-MD"/>
              </w:rPr>
              <w:t>10. Să întreprindă acțiuni pentru înregistrarea operativă a decesului persoanelor în Registrul de stat al populației</w:t>
            </w:r>
          </w:p>
        </w:tc>
        <w:tc>
          <w:tcPr>
            <w:tcW w:w="8190" w:type="dxa"/>
            <w:shd w:val="clear" w:color="auto" w:fill="auto"/>
          </w:tcPr>
          <w:p w14:paraId="29C99361"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ASP nr.01/9321 din 15.12.2022</w:t>
            </w:r>
            <w:r w:rsidRPr="00736448">
              <w:rPr>
                <w:rFonts w:asciiTheme="majorHAnsi" w:hAnsiTheme="majorHAnsi" w:cstheme="majorHAnsi"/>
                <w:i/>
                <w:color w:val="000000"/>
                <w:sz w:val="18"/>
                <w:szCs w:val="18"/>
                <w:lang w:val="ro-MD"/>
              </w:rPr>
              <w:t>:</w:t>
            </w:r>
            <w:r w:rsidRPr="00736448">
              <w:rPr>
                <w:rFonts w:asciiTheme="majorHAnsi" w:hAnsiTheme="majorHAnsi" w:cstheme="majorHAnsi"/>
                <w:color w:val="000000"/>
                <w:sz w:val="18"/>
                <w:szCs w:val="18"/>
                <w:lang w:val="ro-MD"/>
              </w:rPr>
              <w:t xml:space="preserve"> în conformitate cu Instrucțiunea tehnologică „Actualizarea conturului acte stare civilă a „Registrului de stat al populației” (RSP), aprobată prin Ordinul ASP nr. 874/2018, procesarea și stocarea informației în RSP este efectuată de către subdiviziunea de resort a ASP, imediat după recepționarea informației. Totodată, pentru luna iulie a.2023 este planificată finalizarea implementării noului sistem informațional automatizat SIA „Acte de Stare Civilă”, realizat în cadrul proiectului „Modernizarea Serviciilor Publice Guvernamentale” gestionat de către Agenția de Guvernare Electronică. Astfel, implementarea sistemului va face posibilă realizarea înregistrării în regim real a evenimentelor de stare civilă (inclusiv decesul persoanei). Drept soluție pe termen scurt (până la implementarea de către instituțiile medicale a unui nou sistem informațional medical automatizat, care să permită actualizarea statutului de „persoana decedată” în Registrul de stat al populației în regim de timp real), în scopul asigurării actualizării operative a Registrului de stat al populației, a fost emisă Circulara nr.02-18303/1 din 23.12.2021, în contextul căreia a fost stabilită transmiterea actelor de deces întocmite de către primării pe suport de hârtie și automatizarea conținutului acestora de către serviciile stare civila teritoriale ale ASP, cu periodicitate săptămânală, deși Legea nr.100/2001 prevede transmiterea acestora până la data de 10 a fiecărei luni, următoare celei de înregistrare a actelor respective. </w:t>
            </w:r>
          </w:p>
        </w:tc>
        <w:tc>
          <w:tcPr>
            <w:tcW w:w="810" w:type="dxa"/>
            <w:shd w:val="clear" w:color="auto" w:fill="auto"/>
          </w:tcPr>
          <w:p w14:paraId="3527B600" w14:textId="77777777" w:rsidR="00A25BFF" w:rsidRPr="00736448" w:rsidRDefault="00A25BFF" w:rsidP="00860800">
            <w:pPr>
              <w:spacing w:after="0" w:line="240" w:lineRule="auto"/>
              <w:jc w:val="center"/>
              <w:rPr>
                <w:rFonts w:asciiTheme="majorHAnsi" w:eastAsia="Times New Roman" w:hAnsiTheme="majorHAnsi" w:cstheme="majorHAnsi"/>
                <w:b/>
                <w:sz w:val="18"/>
                <w:szCs w:val="18"/>
                <w:lang w:val="ro-MD"/>
              </w:rPr>
            </w:pPr>
          </w:p>
        </w:tc>
        <w:tc>
          <w:tcPr>
            <w:tcW w:w="900" w:type="dxa"/>
            <w:shd w:val="clear" w:color="auto" w:fill="auto"/>
          </w:tcPr>
          <w:p w14:paraId="4F7DE33C" w14:textId="77777777" w:rsidR="00A25BFF" w:rsidRPr="00736448" w:rsidRDefault="00A25BFF" w:rsidP="00860800">
            <w:pPr>
              <w:spacing w:after="0" w:line="240" w:lineRule="auto"/>
              <w:rPr>
                <w:rFonts w:asciiTheme="majorHAnsi" w:hAnsiTheme="majorHAnsi" w:cstheme="majorHAnsi"/>
                <w:sz w:val="18"/>
                <w:szCs w:val="18"/>
                <w:lang w:val="ro-MD"/>
              </w:rPr>
            </w:pPr>
          </w:p>
        </w:tc>
        <w:tc>
          <w:tcPr>
            <w:tcW w:w="990" w:type="dxa"/>
          </w:tcPr>
          <w:p w14:paraId="2B834858" w14:textId="77777777" w:rsidR="00A25BFF" w:rsidRPr="00736448" w:rsidRDefault="00A25BFF" w:rsidP="00860800">
            <w:pPr>
              <w:spacing w:after="0" w:line="240" w:lineRule="auto"/>
              <w:jc w:val="center"/>
              <w:rPr>
                <w:rFonts w:asciiTheme="majorHAnsi" w:eastAsia="Times New Roman" w:hAnsiTheme="majorHAnsi" w:cstheme="majorHAnsi"/>
                <w:b/>
                <w:iCs/>
                <w:sz w:val="18"/>
                <w:szCs w:val="18"/>
                <w:lang w:val="ro-MD"/>
              </w:rPr>
            </w:pPr>
            <w:r w:rsidRPr="00736448">
              <w:rPr>
                <w:rFonts w:asciiTheme="majorHAnsi" w:eastAsia="Times New Roman" w:hAnsiTheme="majorHAnsi" w:cstheme="majorHAnsi"/>
                <w:b/>
                <w:iCs/>
                <w:sz w:val="18"/>
                <w:szCs w:val="18"/>
                <w:lang w:val="ro-MD"/>
              </w:rPr>
              <w:t>V</w:t>
            </w:r>
          </w:p>
        </w:tc>
      </w:tr>
      <w:tr w:rsidR="00A25BFF" w:rsidRPr="00B7675F" w14:paraId="247BCBC1" w14:textId="77777777" w:rsidTr="00B27804">
        <w:trPr>
          <w:trHeight w:val="20"/>
        </w:trPr>
        <w:tc>
          <w:tcPr>
            <w:tcW w:w="14400" w:type="dxa"/>
            <w:gridSpan w:val="6"/>
            <w:shd w:val="clear" w:color="auto" w:fill="FFFFFF" w:themeFill="background1"/>
            <w:noWrap/>
          </w:tcPr>
          <w:p w14:paraId="1C7DE30B" w14:textId="77777777" w:rsidR="00A25BFF" w:rsidRPr="00736448" w:rsidRDefault="00A25BFF" w:rsidP="00860800">
            <w:pPr>
              <w:spacing w:after="0" w:line="240" w:lineRule="auto"/>
              <w:jc w:val="center"/>
              <w:rPr>
                <w:rFonts w:asciiTheme="majorHAnsi" w:hAnsiTheme="majorHAnsi" w:cstheme="majorHAnsi"/>
                <w:b/>
                <w:i/>
                <w:color w:val="000000" w:themeColor="text1"/>
                <w:sz w:val="18"/>
                <w:szCs w:val="18"/>
                <w:lang w:val="ro-MD"/>
              </w:rPr>
            </w:pPr>
            <w:r w:rsidRPr="00736448">
              <w:rPr>
                <w:rFonts w:asciiTheme="majorHAnsi" w:hAnsiTheme="majorHAnsi" w:cstheme="majorHAnsi"/>
                <w:b/>
                <w:bCs/>
                <w:i/>
                <w:iCs/>
                <w:sz w:val="18"/>
                <w:szCs w:val="18"/>
                <w:lang w:val="ro-MD"/>
              </w:rPr>
              <w:t>Recomandări Directoarei Generale a Casei Naționale de Asigurări Sociale</w:t>
            </w:r>
          </w:p>
        </w:tc>
      </w:tr>
      <w:tr w:rsidR="00A25BFF" w:rsidRPr="00B7675F" w14:paraId="3212102D" w14:textId="77777777" w:rsidTr="00B27804">
        <w:trPr>
          <w:trHeight w:val="20"/>
        </w:trPr>
        <w:tc>
          <w:tcPr>
            <w:tcW w:w="604" w:type="dxa"/>
            <w:vMerge w:val="restart"/>
            <w:shd w:val="clear" w:color="auto" w:fill="FFFFFF" w:themeFill="background1"/>
            <w:noWrap/>
            <w:vAlign w:val="center"/>
          </w:tcPr>
          <w:p w14:paraId="3C446BC7"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r w:rsidRPr="00736448">
              <w:rPr>
                <w:rFonts w:asciiTheme="majorHAnsi" w:eastAsia="Times New Roman" w:hAnsiTheme="majorHAnsi" w:cstheme="majorHAnsi"/>
                <w:b/>
                <w:bCs/>
                <w:sz w:val="18"/>
                <w:szCs w:val="18"/>
                <w:lang w:val="ro-MD"/>
              </w:rPr>
              <w:t>6</w:t>
            </w:r>
          </w:p>
        </w:tc>
        <w:tc>
          <w:tcPr>
            <w:tcW w:w="2906" w:type="dxa"/>
            <w:shd w:val="clear" w:color="auto" w:fill="auto"/>
          </w:tcPr>
          <w:p w14:paraId="27E781C5" w14:textId="77777777" w:rsidR="00A25BFF" w:rsidRPr="00736448" w:rsidRDefault="00A25BFF" w:rsidP="00860800">
            <w:pPr>
              <w:spacing w:line="240" w:lineRule="auto"/>
              <w:jc w:val="both"/>
              <w:rPr>
                <w:rFonts w:asciiTheme="majorHAnsi" w:hAnsiTheme="majorHAnsi" w:cstheme="majorHAnsi"/>
                <w:color w:val="000000" w:themeColor="text1"/>
                <w:sz w:val="18"/>
                <w:szCs w:val="18"/>
                <w:lang w:val="ro-MD"/>
              </w:rPr>
            </w:pPr>
            <w:r w:rsidRPr="00736448">
              <w:rPr>
                <w:rFonts w:asciiTheme="majorHAnsi" w:hAnsiTheme="majorHAnsi" w:cstheme="majorHAnsi"/>
                <w:i/>
                <w:sz w:val="18"/>
                <w:szCs w:val="18"/>
                <w:lang w:val="ro-MD"/>
              </w:rPr>
              <w:t xml:space="preserve">11. Să ajusteze și să corecteze </w:t>
            </w:r>
            <w:r w:rsidRPr="00736448">
              <w:rPr>
                <w:rFonts w:asciiTheme="majorHAnsi" w:hAnsiTheme="majorHAnsi" w:cstheme="majorHAnsi"/>
                <w:bCs/>
                <w:i/>
                <w:sz w:val="18"/>
                <w:szCs w:val="18"/>
                <w:lang w:val="ro-MD"/>
              </w:rPr>
              <w:t>reflectarea datoriei  aferente indemnizației de maternitate, ținând cont de documentele justificative existente</w:t>
            </w:r>
          </w:p>
        </w:tc>
        <w:tc>
          <w:tcPr>
            <w:tcW w:w="8190" w:type="dxa"/>
            <w:shd w:val="clear" w:color="auto" w:fill="auto"/>
          </w:tcPr>
          <w:p w14:paraId="776A1930"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CNAS nr.11373 din 16.12.2022</w:t>
            </w:r>
            <w:r w:rsidRPr="00736448">
              <w:rPr>
                <w:rFonts w:asciiTheme="majorHAnsi" w:hAnsiTheme="majorHAnsi" w:cstheme="majorHAnsi"/>
                <w:color w:val="000000"/>
                <w:sz w:val="18"/>
                <w:szCs w:val="18"/>
                <w:lang w:val="ro-MD"/>
              </w:rPr>
              <w:t>: în luna aprilie anul 2022, a fost asigurată micșorarea calculului indemnizațiilor de maternitate în evidența contabilă cu suma de 2,9 mln. lei.</w:t>
            </w:r>
          </w:p>
        </w:tc>
        <w:tc>
          <w:tcPr>
            <w:tcW w:w="810" w:type="dxa"/>
            <w:shd w:val="clear" w:color="auto" w:fill="auto"/>
          </w:tcPr>
          <w:p w14:paraId="3C55303D" w14:textId="77777777" w:rsidR="00A25BFF" w:rsidRPr="00736448" w:rsidRDefault="00A25BFF" w:rsidP="00860800">
            <w:pPr>
              <w:spacing w:after="0" w:line="240" w:lineRule="auto"/>
              <w:jc w:val="center"/>
              <w:rPr>
                <w:rFonts w:asciiTheme="majorHAnsi" w:eastAsia="Times New Roman" w:hAnsiTheme="majorHAnsi" w:cstheme="majorHAnsi"/>
                <w:sz w:val="18"/>
                <w:szCs w:val="18"/>
                <w:lang w:val="ro-MD"/>
              </w:rPr>
            </w:pPr>
            <w:r w:rsidRPr="00736448">
              <w:rPr>
                <w:rFonts w:asciiTheme="majorHAnsi" w:eastAsia="Times New Roman" w:hAnsiTheme="majorHAnsi" w:cstheme="majorHAnsi"/>
                <w:b/>
                <w:bCs/>
                <w:iCs/>
                <w:sz w:val="18"/>
                <w:szCs w:val="18"/>
                <w:lang w:val="ro-MD"/>
              </w:rPr>
              <w:t>V</w:t>
            </w:r>
          </w:p>
        </w:tc>
        <w:tc>
          <w:tcPr>
            <w:tcW w:w="900" w:type="dxa"/>
            <w:shd w:val="clear" w:color="auto" w:fill="auto"/>
          </w:tcPr>
          <w:p w14:paraId="2B2859EC"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90" w:type="dxa"/>
          </w:tcPr>
          <w:p w14:paraId="460E6A55"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p>
        </w:tc>
      </w:tr>
      <w:tr w:rsidR="00A25BFF" w:rsidRPr="00B7675F" w14:paraId="6A458CBA" w14:textId="77777777" w:rsidTr="00B27804">
        <w:trPr>
          <w:trHeight w:val="20"/>
        </w:trPr>
        <w:tc>
          <w:tcPr>
            <w:tcW w:w="604" w:type="dxa"/>
            <w:vMerge/>
            <w:shd w:val="clear" w:color="auto" w:fill="FFFFFF" w:themeFill="background1"/>
            <w:noWrap/>
            <w:vAlign w:val="center"/>
          </w:tcPr>
          <w:p w14:paraId="7A036B41"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7036A5CE" w14:textId="77777777" w:rsidR="00A25BFF" w:rsidRPr="00736448" w:rsidRDefault="00A25BFF" w:rsidP="00860800">
            <w:pPr>
              <w:spacing w:line="240" w:lineRule="auto"/>
              <w:jc w:val="both"/>
              <w:rPr>
                <w:rFonts w:asciiTheme="majorHAnsi" w:hAnsiTheme="majorHAnsi" w:cstheme="majorHAnsi"/>
                <w:i/>
                <w:sz w:val="18"/>
                <w:szCs w:val="18"/>
                <w:lang w:val="ro-MD"/>
              </w:rPr>
            </w:pPr>
            <w:r w:rsidRPr="00736448">
              <w:rPr>
                <w:rFonts w:asciiTheme="majorHAnsi" w:hAnsiTheme="majorHAnsi" w:cstheme="majorHAnsi"/>
                <w:i/>
                <w:sz w:val="18"/>
                <w:szCs w:val="18"/>
                <w:lang w:val="ro-MD"/>
              </w:rPr>
              <w:t>12. Să intensifice activitățile de control intern suplimentare/funcționale în procesul stabilirii și calculării indemnizațiilor pentru incapacitate temporară de muncă și a celor paternale pentru asigurarea respectării termenelor legale</w:t>
            </w:r>
          </w:p>
        </w:tc>
        <w:tc>
          <w:tcPr>
            <w:tcW w:w="8190" w:type="dxa"/>
            <w:shd w:val="clear" w:color="auto" w:fill="auto"/>
          </w:tcPr>
          <w:p w14:paraId="7B83C026"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CNAS nr.11373 din 16.12.2022</w:t>
            </w:r>
            <w:r w:rsidRPr="00736448">
              <w:rPr>
                <w:rFonts w:asciiTheme="majorHAnsi" w:hAnsiTheme="majorHAnsi" w:cstheme="majorHAnsi"/>
                <w:color w:val="000000"/>
                <w:sz w:val="18"/>
                <w:szCs w:val="18"/>
                <w:lang w:val="ro-MD"/>
              </w:rPr>
              <w:t>: Săptămânal, a fost asigurată monitorizarea respectării termenelor legale de stabilire a indemnizațiilor pentru incapacitate temporară de muncă și a indemnizațiilor paternale prin transmiterea săptămânală, prin intermediul poștei</w:t>
            </w:r>
            <w:r w:rsidRPr="00736448">
              <w:rPr>
                <w:rFonts w:asciiTheme="majorHAnsi" w:hAnsiTheme="majorHAnsi" w:cstheme="majorHAnsi"/>
                <w:color w:val="000000"/>
                <w:sz w:val="18"/>
                <w:szCs w:val="18"/>
                <w:lang w:val="ro-MD"/>
              </w:rPr>
              <w:br/>
              <w:t xml:space="preserve">electronice în adresa Caselor Teritoriale de Asigurări Sociale a listei persoanelor, cărora termenul de stabilire a indemnizațiilor se apropie de termenul limită prevăzut de legislație, pentru examinarea și aprobarea acestora. </w:t>
            </w:r>
          </w:p>
        </w:tc>
        <w:tc>
          <w:tcPr>
            <w:tcW w:w="810" w:type="dxa"/>
            <w:shd w:val="clear" w:color="auto" w:fill="auto"/>
          </w:tcPr>
          <w:p w14:paraId="086F7CCD"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r w:rsidRPr="00736448">
              <w:rPr>
                <w:rFonts w:asciiTheme="majorHAnsi" w:eastAsia="Times New Roman" w:hAnsiTheme="majorHAnsi" w:cstheme="majorHAnsi"/>
                <w:b/>
                <w:bCs/>
                <w:iCs/>
                <w:sz w:val="18"/>
                <w:szCs w:val="18"/>
                <w:lang w:val="ro-MD"/>
              </w:rPr>
              <w:t>V</w:t>
            </w:r>
          </w:p>
        </w:tc>
        <w:tc>
          <w:tcPr>
            <w:tcW w:w="900" w:type="dxa"/>
            <w:shd w:val="clear" w:color="auto" w:fill="auto"/>
          </w:tcPr>
          <w:p w14:paraId="381375DA"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90" w:type="dxa"/>
          </w:tcPr>
          <w:p w14:paraId="5D9CFA92"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p>
        </w:tc>
      </w:tr>
      <w:tr w:rsidR="00A25BFF" w:rsidRPr="00B7675F" w14:paraId="6B7ED104" w14:textId="77777777" w:rsidTr="00B27804">
        <w:trPr>
          <w:trHeight w:val="20"/>
        </w:trPr>
        <w:tc>
          <w:tcPr>
            <w:tcW w:w="604" w:type="dxa"/>
            <w:vMerge/>
            <w:shd w:val="clear" w:color="auto" w:fill="FFFFFF" w:themeFill="background1"/>
            <w:noWrap/>
            <w:vAlign w:val="center"/>
          </w:tcPr>
          <w:p w14:paraId="0934A5AC"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43C472C1" w14:textId="77777777" w:rsidR="00A25BFF" w:rsidRPr="00736448" w:rsidRDefault="00A25BFF" w:rsidP="00860800">
            <w:pPr>
              <w:spacing w:line="240" w:lineRule="auto"/>
              <w:jc w:val="both"/>
              <w:rPr>
                <w:rFonts w:asciiTheme="majorHAnsi" w:hAnsiTheme="majorHAnsi" w:cstheme="majorHAnsi"/>
                <w:i/>
                <w:sz w:val="18"/>
                <w:szCs w:val="18"/>
                <w:lang w:val="ro-MD"/>
              </w:rPr>
            </w:pPr>
            <w:r w:rsidRPr="00736448">
              <w:rPr>
                <w:rFonts w:asciiTheme="majorHAnsi" w:hAnsiTheme="majorHAnsi" w:cstheme="majorHAnsi"/>
                <w:i/>
                <w:sz w:val="18"/>
                <w:szCs w:val="18"/>
                <w:lang w:val="ro-MD"/>
              </w:rPr>
              <w:t>13. Să asigure intensificarea activităților de control intern la stabilirea pensiilor pentru vechime în muncă militarilor și persoanelor din corpul de comandă și din trupele organelor afacerilor interne, la nivel teritorial și central</w:t>
            </w:r>
          </w:p>
        </w:tc>
        <w:tc>
          <w:tcPr>
            <w:tcW w:w="8190" w:type="dxa"/>
            <w:shd w:val="clear" w:color="auto" w:fill="auto"/>
          </w:tcPr>
          <w:p w14:paraId="62732396"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CNAS nr.11373 din 16.12.2022</w:t>
            </w:r>
            <w:r w:rsidRPr="00736448">
              <w:rPr>
                <w:rFonts w:asciiTheme="majorHAnsi" w:hAnsiTheme="majorHAnsi" w:cstheme="majorHAnsi"/>
                <w:color w:val="000000"/>
                <w:sz w:val="18"/>
                <w:szCs w:val="18"/>
                <w:lang w:val="ro-MD"/>
              </w:rPr>
              <w:t xml:space="preserve">: în perioada iunie - octombrie 2022 a fost asigurată verificarea la nivel teritorial și central a 466 dosare privind corectitudinea stabilirii pensiei pentru vechime în muncă militarilor și persoanelor din corpul de comandă și din trupele organelor afacerilor interne. </w:t>
            </w:r>
          </w:p>
        </w:tc>
        <w:tc>
          <w:tcPr>
            <w:tcW w:w="810" w:type="dxa"/>
            <w:shd w:val="clear" w:color="auto" w:fill="auto"/>
          </w:tcPr>
          <w:p w14:paraId="76292AA6"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r w:rsidRPr="00736448">
              <w:rPr>
                <w:rFonts w:asciiTheme="majorHAnsi" w:eastAsia="Times New Roman" w:hAnsiTheme="majorHAnsi" w:cstheme="majorHAnsi"/>
                <w:b/>
                <w:bCs/>
                <w:iCs/>
                <w:sz w:val="18"/>
                <w:szCs w:val="18"/>
                <w:lang w:val="ro-MD"/>
              </w:rPr>
              <w:t>V</w:t>
            </w:r>
          </w:p>
        </w:tc>
        <w:tc>
          <w:tcPr>
            <w:tcW w:w="900" w:type="dxa"/>
            <w:shd w:val="clear" w:color="auto" w:fill="auto"/>
          </w:tcPr>
          <w:p w14:paraId="2456177F"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90" w:type="dxa"/>
          </w:tcPr>
          <w:p w14:paraId="15D019EA"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p>
        </w:tc>
      </w:tr>
      <w:tr w:rsidR="00A25BFF" w:rsidRPr="00B7675F" w14:paraId="1793EE6A" w14:textId="77777777" w:rsidTr="00B27804">
        <w:trPr>
          <w:trHeight w:val="20"/>
        </w:trPr>
        <w:tc>
          <w:tcPr>
            <w:tcW w:w="604" w:type="dxa"/>
            <w:vMerge/>
            <w:shd w:val="clear" w:color="auto" w:fill="FFFFFF" w:themeFill="background1"/>
            <w:noWrap/>
            <w:vAlign w:val="center"/>
          </w:tcPr>
          <w:p w14:paraId="7B256A54"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2906" w:type="dxa"/>
            <w:shd w:val="clear" w:color="auto" w:fill="auto"/>
          </w:tcPr>
          <w:p w14:paraId="656D1DA9" w14:textId="77777777" w:rsidR="00A25BFF" w:rsidRPr="00736448" w:rsidRDefault="00A25BFF" w:rsidP="00860800">
            <w:pPr>
              <w:spacing w:line="240" w:lineRule="auto"/>
              <w:jc w:val="both"/>
              <w:rPr>
                <w:rFonts w:asciiTheme="majorHAnsi" w:hAnsiTheme="majorHAnsi" w:cstheme="majorHAnsi"/>
                <w:i/>
                <w:sz w:val="18"/>
                <w:szCs w:val="18"/>
                <w:lang w:val="ro-MD"/>
              </w:rPr>
            </w:pPr>
            <w:r w:rsidRPr="00736448">
              <w:rPr>
                <w:rFonts w:asciiTheme="majorHAnsi" w:hAnsiTheme="majorHAnsi" w:cstheme="majorHAnsi"/>
                <w:i/>
                <w:sz w:val="18"/>
                <w:szCs w:val="18"/>
                <w:lang w:val="ro-MD"/>
              </w:rPr>
              <w:t>14. Să eficientizeze activitățile de control intern privind integritatea dosarelor pentru bilete de tratament balneo-sanatorial</w:t>
            </w:r>
          </w:p>
        </w:tc>
        <w:tc>
          <w:tcPr>
            <w:tcW w:w="8190" w:type="dxa"/>
            <w:shd w:val="clear" w:color="auto" w:fill="auto"/>
          </w:tcPr>
          <w:p w14:paraId="2617D40F" w14:textId="77777777" w:rsidR="00A25BFF" w:rsidRPr="00736448" w:rsidRDefault="00A25BFF" w:rsidP="00860800">
            <w:pPr>
              <w:spacing w:line="240" w:lineRule="auto"/>
              <w:jc w:val="both"/>
              <w:rPr>
                <w:rFonts w:asciiTheme="majorHAnsi" w:hAnsiTheme="majorHAnsi" w:cstheme="majorHAnsi"/>
                <w:color w:val="000000"/>
                <w:sz w:val="18"/>
                <w:szCs w:val="18"/>
                <w:lang w:val="ro-MD"/>
              </w:rPr>
            </w:pPr>
            <w:r w:rsidRPr="00736448">
              <w:rPr>
                <w:rFonts w:asciiTheme="majorHAnsi" w:hAnsiTheme="majorHAnsi" w:cstheme="majorHAnsi"/>
                <w:b/>
                <w:i/>
                <w:color w:val="000000"/>
                <w:sz w:val="18"/>
                <w:szCs w:val="18"/>
                <w:lang w:val="ro-MD"/>
              </w:rPr>
              <w:t>Scrisoarea CNAS nr.11373 din 16.12.2022</w:t>
            </w:r>
            <w:r w:rsidRPr="00736448">
              <w:rPr>
                <w:rFonts w:asciiTheme="majorHAnsi" w:hAnsiTheme="majorHAnsi" w:cstheme="majorHAnsi"/>
                <w:color w:val="000000"/>
                <w:sz w:val="18"/>
                <w:szCs w:val="18"/>
                <w:lang w:val="ro-MD"/>
              </w:rPr>
              <w:t xml:space="preserve">: Prin ordinul intern nr.90-A din 17.06.2022 a fost modificat Regulamentul privind modul de evidență a solicitanților de bilete și a biletelor de tratament pentru veterani, aprobat prin ordinul nr.124-A din 14.09.2018. Totodată, la data de 14.12.2022 a fost desfășurat seminarul de instruire internă a funcționarilor publici din cadrul Caselor Teritoriale de Asigurări Sociale cu tematica „Modul de distribuire și utilizare a biletelor de tratament balneo-sanatorial”, întru eficientizarea activităților de control intern privind integritatea dosarelor pentru bilete de tratament balneo-sanatorial. </w:t>
            </w:r>
          </w:p>
        </w:tc>
        <w:tc>
          <w:tcPr>
            <w:tcW w:w="810" w:type="dxa"/>
            <w:shd w:val="clear" w:color="auto" w:fill="auto"/>
          </w:tcPr>
          <w:p w14:paraId="7B2EF9FE"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r w:rsidRPr="00736448">
              <w:rPr>
                <w:rFonts w:asciiTheme="majorHAnsi" w:eastAsia="Times New Roman" w:hAnsiTheme="majorHAnsi" w:cstheme="majorHAnsi"/>
                <w:b/>
                <w:bCs/>
                <w:iCs/>
                <w:sz w:val="18"/>
                <w:szCs w:val="18"/>
                <w:lang w:val="ro-MD"/>
              </w:rPr>
              <w:t>V</w:t>
            </w:r>
          </w:p>
        </w:tc>
        <w:tc>
          <w:tcPr>
            <w:tcW w:w="900" w:type="dxa"/>
            <w:shd w:val="clear" w:color="auto" w:fill="auto"/>
          </w:tcPr>
          <w:p w14:paraId="54398E77" w14:textId="77777777" w:rsidR="00A25BFF" w:rsidRPr="00736448" w:rsidRDefault="00A25BFF" w:rsidP="00860800">
            <w:pPr>
              <w:spacing w:after="0" w:line="240" w:lineRule="auto"/>
              <w:jc w:val="center"/>
              <w:rPr>
                <w:rFonts w:asciiTheme="majorHAnsi" w:eastAsia="Times New Roman" w:hAnsiTheme="majorHAnsi" w:cstheme="majorHAnsi"/>
                <w:b/>
                <w:bCs/>
                <w:sz w:val="18"/>
                <w:szCs w:val="18"/>
                <w:lang w:val="ro-MD"/>
              </w:rPr>
            </w:pPr>
          </w:p>
        </w:tc>
        <w:tc>
          <w:tcPr>
            <w:tcW w:w="990" w:type="dxa"/>
          </w:tcPr>
          <w:p w14:paraId="3F1B5B8C" w14:textId="77777777" w:rsidR="00A25BFF" w:rsidRPr="00736448" w:rsidRDefault="00A25BFF" w:rsidP="00860800">
            <w:pPr>
              <w:spacing w:after="0" w:line="240" w:lineRule="auto"/>
              <w:jc w:val="center"/>
              <w:rPr>
                <w:rFonts w:asciiTheme="majorHAnsi" w:eastAsia="Times New Roman" w:hAnsiTheme="majorHAnsi" w:cstheme="majorHAnsi"/>
                <w:b/>
                <w:bCs/>
                <w:iCs/>
                <w:sz w:val="18"/>
                <w:szCs w:val="18"/>
                <w:lang w:val="ro-MD"/>
              </w:rPr>
            </w:pPr>
          </w:p>
        </w:tc>
      </w:tr>
    </w:tbl>
    <w:p w14:paraId="30CCA80D" w14:textId="68E724DD" w:rsidR="00D874AE" w:rsidRPr="00736448" w:rsidRDefault="00D874AE" w:rsidP="00D874AE">
      <w:pPr>
        <w:rPr>
          <w:rFonts w:cstheme="majorHAnsi"/>
          <w:b/>
          <w:color w:val="000000" w:themeColor="text1"/>
          <w:sz w:val="24"/>
          <w:szCs w:val="24"/>
          <w:lang w:val="ro-MD"/>
        </w:rPr>
      </w:pPr>
      <w:r w:rsidRPr="00736448">
        <w:rPr>
          <w:rFonts w:cstheme="majorHAnsi"/>
          <w:b/>
          <w:color w:val="000000" w:themeColor="text1"/>
          <w:sz w:val="24"/>
          <w:szCs w:val="24"/>
          <w:lang w:val="ro-MD"/>
        </w:rPr>
        <w:br w:type="page"/>
      </w:r>
    </w:p>
    <w:p w14:paraId="79BA167C" w14:textId="77777777" w:rsidR="0032004C" w:rsidRPr="00736448" w:rsidRDefault="0032004C" w:rsidP="0032004C">
      <w:pPr>
        <w:jc w:val="right"/>
        <w:rPr>
          <w:rFonts w:asciiTheme="majorHAnsi" w:hAnsiTheme="majorHAnsi" w:cstheme="majorHAnsi"/>
          <w:color w:val="000000" w:themeColor="text1"/>
          <w:sz w:val="24"/>
          <w:szCs w:val="24"/>
          <w:lang w:val="ro-MD"/>
        </w:rPr>
        <w:sectPr w:rsidR="0032004C" w:rsidRPr="00736448" w:rsidSect="00860800">
          <w:type w:val="continuous"/>
          <w:pgSz w:w="15840" w:h="12240" w:orient="landscape"/>
          <w:pgMar w:top="993" w:right="1140" w:bottom="851" w:left="1140" w:header="720" w:footer="720" w:gutter="0"/>
          <w:cols w:space="720"/>
          <w:titlePg/>
          <w:docGrid w:linePitch="360"/>
        </w:sectPr>
      </w:pPr>
    </w:p>
    <w:p w14:paraId="067E1CC3" w14:textId="2D0498A9" w:rsidR="0032004C" w:rsidRPr="00736448" w:rsidRDefault="0032004C" w:rsidP="0032004C">
      <w:pPr>
        <w:pStyle w:val="2"/>
        <w:jc w:val="right"/>
        <w:rPr>
          <w:rFonts w:cstheme="majorHAnsi"/>
          <w:b/>
          <w:color w:val="000000" w:themeColor="text1"/>
          <w:sz w:val="24"/>
          <w:szCs w:val="24"/>
          <w:lang w:val="ro-MD"/>
        </w:rPr>
      </w:pPr>
      <w:r w:rsidRPr="00736448">
        <w:rPr>
          <w:rFonts w:cstheme="majorHAnsi"/>
          <w:b/>
          <w:color w:val="000000" w:themeColor="text1"/>
          <w:sz w:val="24"/>
          <w:szCs w:val="24"/>
          <w:lang w:val="ro-MD"/>
        </w:rPr>
        <w:t>Anexa nr. 23</w:t>
      </w:r>
    </w:p>
    <w:p w14:paraId="7A79F91E" w14:textId="5030B76E" w:rsidR="0032004C" w:rsidRPr="00736448" w:rsidRDefault="0032004C" w:rsidP="0032004C">
      <w:pPr>
        <w:jc w:val="center"/>
        <w:rPr>
          <w:rFonts w:asciiTheme="majorHAnsi" w:hAnsiTheme="majorHAnsi" w:cstheme="majorHAnsi"/>
          <w:b/>
          <w:color w:val="000000" w:themeColor="text1"/>
          <w:sz w:val="24"/>
          <w:szCs w:val="24"/>
          <w:lang w:val="ro-MD"/>
        </w:rPr>
      </w:pPr>
      <w:r w:rsidRPr="00736448">
        <w:rPr>
          <w:rFonts w:asciiTheme="majorHAnsi" w:hAnsiTheme="majorHAnsi" w:cstheme="majorHAnsi"/>
          <w:b/>
          <w:color w:val="000000" w:themeColor="text1"/>
          <w:sz w:val="24"/>
          <w:szCs w:val="24"/>
          <w:lang w:val="ro-MD"/>
        </w:rPr>
        <w:t xml:space="preserve">Bilanțul contabil </w:t>
      </w:r>
      <w:r w:rsidR="00AA6D17">
        <w:rPr>
          <w:rFonts w:asciiTheme="majorHAnsi" w:hAnsiTheme="majorHAnsi" w:cstheme="majorHAnsi"/>
          <w:b/>
          <w:color w:val="000000" w:themeColor="text1"/>
          <w:sz w:val="24"/>
          <w:szCs w:val="24"/>
          <w:lang w:val="ro-MD"/>
        </w:rPr>
        <w:t xml:space="preserve">al </w:t>
      </w:r>
      <w:r w:rsidRPr="00736448">
        <w:rPr>
          <w:rFonts w:asciiTheme="majorHAnsi" w:hAnsiTheme="majorHAnsi" w:cstheme="majorHAnsi"/>
          <w:b/>
          <w:color w:val="000000" w:themeColor="text1"/>
          <w:sz w:val="24"/>
          <w:szCs w:val="24"/>
          <w:lang w:val="ro-MD"/>
        </w:rPr>
        <w:t>CNAS la situația din 31.12.2022</w:t>
      </w:r>
    </w:p>
    <w:tbl>
      <w:tblPr>
        <w:tblW w:w="9679" w:type="dxa"/>
        <w:jc w:val="center"/>
        <w:tblLayout w:type="fixed"/>
        <w:tblLook w:val="04A0" w:firstRow="1" w:lastRow="0" w:firstColumn="1" w:lastColumn="0" w:noHBand="0" w:noVBand="1"/>
      </w:tblPr>
      <w:tblGrid>
        <w:gridCol w:w="600"/>
        <w:gridCol w:w="4924"/>
        <w:gridCol w:w="993"/>
        <w:gridCol w:w="1559"/>
        <w:gridCol w:w="1603"/>
      </w:tblGrid>
      <w:tr w:rsidR="0032004C" w:rsidRPr="00B7675F" w14:paraId="7E56C140" w14:textId="77777777" w:rsidTr="00860800">
        <w:trPr>
          <w:trHeight w:val="244"/>
          <w:jc w:val="center"/>
        </w:trPr>
        <w:tc>
          <w:tcPr>
            <w:tcW w:w="60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90E8AC0" w14:textId="6F8F4CFE"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Nr.</w:t>
            </w:r>
            <w:r w:rsidR="00AA6D17">
              <w:rPr>
                <w:rFonts w:asciiTheme="majorHAnsi" w:eastAsia="Times New Roman" w:hAnsiTheme="majorHAnsi" w:cs="Times New Roman"/>
                <w:sz w:val="18"/>
                <w:szCs w:val="18"/>
                <w:lang w:val="ro-MD"/>
              </w:rPr>
              <w:t xml:space="preserve"> crt.</w:t>
            </w:r>
          </w:p>
        </w:tc>
        <w:tc>
          <w:tcPr>
            <w:tcW w:w="49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DEDA843"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Indicatorii</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5CFB3E"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Codul rândului</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1F3864"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La finele perioadei de gestiune curente</w:t>
            </w:r>
          </w:p>
        </w:tc>
        <w:tc>
          <w:tcPr>
            <w:tcW w:w="16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31703"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La finele perioadei de gestiune precedente</w:t>
            </w:r>
          </w:p>
        </w:tc>
      </w:tr>
      <w:tr w:rsidR="0032004C" w:rsidRPr="00B7675F" w14:paraId="52C96290" w14:textId="77777777" w:rsidTr="00860800">
        <w:trPr>
          <w:trHeight w:val="450"/>
          <w:jc w:val="center"/>
        </w:trPr>
        <w:tc>
          <w:tcPr>
            <w:tcW w:w="600" w:type="dxa"/>
            <w:vMerge/>
            <w:tcBorders>
              <w:top w:val="single" w:sz="4" w:space="0" w:color="auto"/>
              <w:left w:val="single" w:sz="4" w:space="0" w:color="auto"/>
              <w:bottom w:val="single" w:sz="4" w:space="0" w:color="000000"/>
              <w:right w:val="single" w:sz="4" w:space="0" w:color="auto"/>
            </w:tcBorders>
            <w:vAlign w:val="center"/>
            <w:hideMark/>
          </w:tcPr>
          <w:p w14:paraId="6140BB6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p>
        </w:tc>
        <w:tc>
          <w:tcPr>
            <w:tcW w:w="4924" w:type="dxa"/>
            <w:vMerge/>
            <w:tcBorders>
              <w:top w:val="single" w:sz="4" w:space="0" w:color="auto"/>
              <w:left w:val="single" w:sz="4" w:space="0" w:color="auto"/>
              <w:bottom w:val="single" w:sz="4" w:space="0" w:color="000000"/>
              <w:right w:val="single" w:sz="4" w:space="0" w:color="auto"/>
            </w:tcBorders>
            <w:vAlign w:val="center"/>
            <w:hideMark/>
          </w:tcPr>
          <w:p w14:paraId="0B62EBCA"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6CFC57C8"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7C084BA"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p>
        </w:tc>
        <w:tc>
          <w:tcPr>
            <w:tcW w:w="1603" w:type="dxa"/>
            <w:vMerge/>
            <w:tcBorders>
              <w:top w:val="single" w:sz="4" w:space="0" w:color="auto"/>
              <w:left w:val="single" w:sz="4" w:space="0" w:color="auto"/>
              <w:bottom w:val="single" w:sz="4" w:space="0" w:color="auto"/>
              <w:right w:val="single" w:sz="4" w:space="0" w:color="auto"/>
            </w:tcBorders>
            <w:vAlign w:val="center"/>
            <w:hideMark/>
          </w:tcPr>
          <w:p w14:paraId="1FB08AC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p>
        </w:tc>
      </w:tr>
      <w:tr w:rsidR="0032004C" w:rsidRPr="00B7675F" w14:paraId="0827BB8D"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2D71FD5"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w:t>
            </w:r>
          </w:p>
        </w:tc>
        <w:tc>
          <w:tcPr>
            <w:tcW w:w="4924" w:type="dxa"/>
            <w:tcBorders>
              <w:top w:val="nil"/>
              <w:left w:val="nil"/>
              <w:bottom w:val="single" w:sz="4" w:space="0" w:color="auto"/>
              <w:right w:val="single" w:sz="4" w:space="0" w:color="auto"/>
            </w:tcBorders>
            <w:shd w:val="clear" w:color="auto" w:fill="auto"/>
            <w:hideMark/>
          </w:tcPr>
          <w:p w14:paraId="61ECE8F9"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w:t>
            </w:r>
          </w:p>
        </w:tc>
        <w:tc>
          <w:tcPr>
            <w:tcW w:w="993" w:type="dxa"/>
            <w:tcBorders>
              <w:top w:val="nil"/>
              <w:left w:val="nil"/>
              <w:bottom w:val="single" w:sz="4" w:space="0" w:color="auto"/>
              <w:right w:val="single" w:sz="4" w:space="0" w:color="auto"/>
            </w:tcBorders>
            <w:shd w:val="clear" w:color="auto" w:fill="auto"/>
            <w:hideMark/>
          </w:tcPr>
          <w:p w14:paraId="58B273F1"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w:t>
            </w:r>
          </w:p>
        </w:tc>
        <w:tc>
          <w:tcPr>
            <w:tcW w:w="1559" w:type="dxa"/>
            <w:tcBorders>
              <w:top w:val="nil"/>
              <w:left w:val="nil"/>
              <w:bottom w:val="single" w:sz="4" w:space="0" w:color="auto"/>
              <w:right w:val="single" w:sz="4" w:space="0" w:color="auto"/>
            </w:tcBorders>
            <w:shd w:val="clear" w:color="auto" w:fill="auto"/>
            <w:hideMark/>
          </w:tcPr>
          <w:p w14:paraId="5116DC6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w:t>
            </w:r>
          </w:p>
        </w:tc>
        <w:tc>
          <w:tcPr>
            <w:tcW w:w="1603" w:type="dxa"/>
            <w:tcBorders>
              <w:top w:val="nil"/>
              <w:left w:val="nil"/>
              <w:bottom w:val="single" w:sz="4" w:space="0" w:color="auto"/>
              <w:right w:val="single" w:sz="4" w:space="0" w:color="auto"/>
            </w:tcBorders>
            <w:shd w:val="clear" w:color="auto" w:fill="auto"/>
            <w:hideMark/>
          </w:tcPr>
          <w:p w14:paraId="75138023"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w:t>
            </w:r>
          </w:p>
        </w:tc>
      </w:tr>
      <w:tr w:rsidR="0032004C" w:rsidRPr="00B7675F" w14:paraId="2BA9FC8A"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752B502"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4924" w:type="dxa"/>
            <w:tcBorders>
              <w:top w:val="nil"/>
              <w:left w:val="nil"/>
              <w:bottom w:val="single" w:sz="4" w:space="0" w:color="auto"/>
              <w:right w:val="single" w:sz="4" w:space="0" w:color="auto"/>
            </w:tcBorders>
            <w:shd w:val="clear" w:color="auto" w:fill="auto"/>
            <w:noWrap/>
            <w:vAlign w:val="bottom"/>
            <w:hideMark/>
          </w:tcPr>
          <w:p w14:paraId="3AF7150C"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ACTIV</w:t>
            </w:r>
          </w:p>
        </w:tc>
        <w:tc>
          <w:tcPr>
            <w:tcW w:w="993" w:type="dxa"/>
            <w:tcBorders>
              <w:top w:val="nil"/>
              <w:left w:val="nil"/>
              <w:bottom w:val="single" w:sz="4" w:space="0" w:color="auto"/>
              <w:right w:val="single" w:sz="4" w:space="0" w:color="auto"/>
            </w:tcBorders>
            <w:shd w:val="clear" w:color="auto" w:fill="auto"/>
            <w:hideMark/>
          </w:tcPr>
          <w:p w14:paraId="33EF48F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nil"/>
              <w:bottom w:val="nil"/>
              <w:right w:val="single" w:sz="4" w:space="0" w:color="auto"/>
            </w:tcBorders>
            <w:shd w:val="clear" w:color="auto" w:fill="auto"/>
            <w:hideMark/>
          </w:tcPr>
          <w:p w14:paraId="7DD03E18"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nil"/>
              <w:right w:val="single" w:sz="4" w:space="0" w:color="auto"/>
            </w:tcBorders>
            <w:shd w:val="clear" w:color="auto" w:fill="auto"/>
            <w:hideMark/>
          </w:tcPr>
          <w:p w14:paraId="38EB084B"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445B4C24"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34A051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w:t>
            </w:r>
          </w:p>
        </w:tc>
        <w:tc>
          <w:tcPr>
            <w:tcW w:w="4924" w:type="dxa"/>
            <w:tcBorders>
              <w:top w:val="nil"/>
              <w:left w:val="nil"/>
              <w:bottom w:val="single" w:sz="4" w:space="0" w:color="auto"/>
              <w:right w:val="single" w:sz="4" w:space="0" w:color="auto"/>
            </w:tcBorders>
            <w:shd w:val="clear" w:color="auto" w:fill="auto"/>
            <w:hideMark/>
          </w:tcPr>
          <w:p w14:paraId="39B102DE"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ACTIVE CURENTE</w:t>
            </w:r>
          </w:p>
        </w:tc>
        <w:tc>
          <w:tcPr>
            <w:tcW w:w="993" w:type="dxa"/>
            <w:tcBorders>
              <w:top w:val="nil"/>
              <w:left w:val="nil"/>
              <w:bottom w:val="single" w:sz="4" w:space="0" w:color="auto"/>
              <w:right w:val="nil"/>
            </w:tcBorders>
            <w:shd w:val="clear" w:color="auto" w:fill="auto"/>
            <w:hideMark/>
          </w:tcPr>
          <w:p w14:paraId="56C7C022"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822CF1D"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single" w:sz="4" w:space="0" w:color="auto"/>
              <w:left w:val="nil"/>
              <w:bottom w:val="single" w:sz="4" w:space="0" w:color="auto"/>
              <w:right w:val="single" w:sz="4" w:space="0" w:color="auto"/>
            </w:tcBorders>
            <w:shd w:val="clear" w:color="auto" w:fill="auto"/>
            <w:hideMark/>
          </w:tcPr>
          <w:p w14:paraId="7A70618D"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6D96F867"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D84ECE6"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1.1</w:t>
            </w:r>
          </w:p>
        </w:tc>
        <w:tc>
          <w:tcPr>
            <w:tcW w:w="4924" w:type="dxa"/>
            <w:tcBorders>
              <w:top w:val="nil"/>
              <w:left w:val="nil"/>
              <w:bottom w:val="single" w:sz="4" w:space="0" w:color="auto"/>
              <w:right w:val="single" w:sz="4" w:space="0" w:color="auto"/>
            </w:tcBorders>
            <w:shd w:val="clear" w:color="auto" w:fill="auto"/>
            <w:hideMark/>
          </w:tcPr>
          <w:p w14:paraId="6F811C01"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Mijloace băneşti </w:t>
            </w:r>
          </w:p>
        </w:tc>
        <w:tc>
          <w:tcPr>
            <w:tcW w:w="993" w:type="dxa"/>
            <w:tcBorders>
              <w:top w:val="nil"/>
              <w:left w:val="nil"/>
              <w:bottom w:val="single" w:sz="4" w:space="0" w:color="auto"/>
              <w:right w:val="nil"/>
            </w:tcBorders>
            <w:shd w:val="clear" w:color="auto" w:fill="auto"/>
            <w:hideMark/>
          </w:tcPr>
          <w:p w14:paraId="471C344B"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200F0AAC"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C1931C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4A790D7C"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3C47D4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3407025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Casa (101)</w:t>
            </w:r>
          </w:p>
        </w:tc>
        <w:tc>
          <w:tcPr>
            <w:tcW w:w="993" w:type="dxa"/>
            <w:tcBorders>
              <w:top w:val="nil"/>
              <w:left w:val="nil"/>
              <w:bottom w:val="single" w:sz="4" w:space="0" w:color="auto"/>
              <w:right w:val="nil"/>
            </w:tcBorders>
            <w:shd w:val="clear" w:color="auto" w:fill="auto"/>
            <w:hideMark/>
          </w:tcPr>
          <w:p w14:paraId="0BF236AD"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w:t>
            </w:r>
          </w:p>
        </w:tc>
        <w:tc>
          <w:tcPr>
            <w:tcW w:w="1559" w:type="dxa"/>
            <w:tcBorders>
              <w:top w:val="nil"/>
              <w:left w:val="single" w:sz="4" w:space="0" w:color="auto"/>
              <w:bottom w:val="single" w:sz="4" w:space="0" w:color="auto"/>
              <w:right w:val="single" w:sz="4" w:space="0" w:color="auto"/>
            </w:tcBorders>
            <w:shd w:val="clear" w:color="auto" w:fill="auto"/>
            <w:hideMark/>
          </w:tcPr>
          <w:p w14:paraId="6628479D"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21911</w:t>
            </w:r>
          </w:p>
        </w:tc>
        <w:tc>
          <w:tcPr>
            <w:tcW w:w="1603" w:type="dxa"/>
            <w:tcBorders>
              <w:top w:val="nil"/>
              <w:left w:val="nil"/>
              <w:bottom w:val="single" w:sz="4" w:space="0" w:color="auto"/>
              <w:right w:val="single" w:sz="4" w:space="0" w:color="auto"/>
            </w:tcBorders>
            <w:shd w:val="clear" w:color="auto" w:fill="auto"/>
            <w:hideMark/>
          </w:tcPr>
          <w:p w14:paraId="325037CA"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3928</w:t>
            </w:r>
          </w:p>
        </w:tc>
      </w:tr>
      <w:tr w:rsidR="0032004C" w:rsidRPr="00B7675F" w14:paraId="26CD2D8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107245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A0AE73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Conturi curente în valută naţională (102)</w:t>
            </w:r>
          </w:p>
        </w:tc>
        <w:tc>
          <w:tcPr>
            <w:tcW w:w="993" w:type="dxa"/>
            <w:tcBorders>
              <w:top w:val="nil"/>
              <w:left w:val="nil"/>
              <w:bottom w:val="single" w:sz="4" w:space="0" w:color="auto"/>
              <w:right w:val="nil"/>
            </w:tcBorders>
            <w:shd w:val="clear" w:color="auto" w:fill="auto"/>
            <w:hideMark/>
          </w:tcPr>
          <w:p w14:paraId="7F55043D"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w:t>
            </w:r>
          </w:p>
        </w:tc>
        <w:tc>
          <w:tcPr>
            <w:tcW w:w="1559" w:type="dxa"/>
            <w:tcBorders>
              <w:top w:val="nil"/>
              <w:left w:val="single" w:sz="4" w:space="0" w:color="auto"/>
              <w:bottom w:val="single" w:sz="4" w:space="0" w:color="auto"/>
              <w:right w:val="single" w:sz="4" w:space="0" w:color="auto"/>
            </w:tcBorders>
            <w:shd w:val="clear" w:color="auto" w:fill="auto"/>
            <w:hideMark/>
          </w:tcPr>
          <w:p w14:paraId="7B90A18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50807197</w:t>
            </w:r>
          </w:p>
        </w:tc>
        <w:tc>
          <w:tcPr>
            <w:tcW w:w="1603" w:type="dxa"/>
            <w:tcBorders>
              <w:top w:val="nil"/>
              <w:left w:val="nil"/>
              <w:bottom w:val="single" w:sz="4" w:space="0" w:color="auto"/>
              <w:right w:val="single" w:sz="4" w:space="0" w:color="auto"/>
            </w:tcBorders>
            <w:shd w:val="clear" w:color="auto" w:fill="auto"/>
            <w:hideMark/>
          </w:tcPr>
          <w:p w14:paraId="7690A9C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59924685</w:t>
            </w:r>
          </w:p>
        </w:tc>
      </w:tr>
      <w:tr w:rsidR="0032004C" w:rsidRPr="00B7675F" w14:paraId="0AAE424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8575FF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3B0A5A9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Conturi curente în valută străină  (103)</w:t>
            </w:r>
          </w:p>
        </w:tc>
        <w:tc>
          <w:tcPr>
            <w:tcW w:w="993" w:type="dxa"/>
            <w:tcBorders>
              <w:top w:val="nil"/>
              <w:left w:val="nil"/>
              <w:bottom w:val="single" w:sz="4" w:space="0" w:color="auto"/>
              <w:right w:val="nil"/>
            </w:tcBorders>
            <w:shd w:val="clear" w:color="auto" w:fill="auto"/>
            <w:hideMark/>
          </w:tcPr>
          <w:p w14:paraId="1742C327"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w:t>
            </w:r>
          </w:p>
        </w:tc>
        <w:tc>
          <w:tcPr>
            <w:tcW w:w="1559" w:type="dxa"/>
            <w:tcBorders>
              <w:top w:val="nil"/>
              <w:left w:val="single" w:sz="4" w:space="0" w:color="auto"/>
              <w:bottom w:val="single" w:sz="4" w:space="0" w:color="auto"/>
              <w:right w:val="single" w:sz="4" w:space="0" w:color="auto"/>
            </w:tcBorders>
            <w:shd w:val="clear" w:color="auto" w:fill="auto"/>
            <w:hideMark/>
          </w:tcPr>
          <w:p w14:paraId="774576A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376680</w:t>
            </w:r>
          </w:p>
        </w:tc>
        <w:tc>
          <w:tcPr>
            <w:tcW w:w="1603" w:type="dxa"/>
            <w:tcBorders>
              <w:top w:val="nil"/>
              <w:left w:val="nil"/>
              <w:bottom w:val="single" w:sz="4" w:space="0" w:color="auto"/>
              <w:right w:val="single" w:sz="4" w:space="0" w:color="auto"/>
            </w:tcBorders>
            <w:shd w:val="clear" w:color="auto" w:fill="auto"/>
            <w:hideMark/>
          </w:tcPr>
          <w:p w14:paraId="3EE5A31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296389</w:t>
            </w:r>
          </w:p>
        </w:tc>
      </w:tr>
      <w:tr w:rsidR="0032004C" w:rsidRPr="00B7675F" w14:paraId="263E725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A3296D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61D143D1"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Alte mijloace băneşti (104+105+106)</w:t>
            </w:r>
          </w:p>
        </w:tc>
        <w:tc>
          <w:tcPr>
            <w:tcW w:w="993" w:type="dxa"/>
            <w:tcBorders>
              <w:top w:val="nil"/>
              <w:left w:val="nil"/>
              <w:bottom w:val="single" w:sz="4" w:space="0" w:color="auto"/>
              <w:right w:val="nil"/>
            </w:tcBorders>
            <w:shd w:val="clear" w:color="auto" w:fill="auto"/>
            <w:hideMark/>
          </w:tcPr>
          <w:p w14:paraId="34238BFB"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w:t>
            </w:r>
          </w:p>
        </w:tc>
        <w:tc>
          <w:tcPr>
            <w:tcW w:w="1559" w:type="dxa"/>
            <w:tcBorders>
              <w:top w:val="nil"/>
              <w:left w:val="single" w:sz="4" w:space="0" w:color="auto"/>
              <w:bottom w:val="single" w:sz="4" w:space="0" w:color="auto"/>
              <w:right w:val="single" w:sz="4" w:space="0" w:color="auto"/>
            </w:tcBorders>
            <w:shd w:val="clear" w:color="auto" w:fill="auto"/>
            <w:hideMark/>
          </w:tcPr>
          <w:p w14:paraId="52BDFAF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260381</w:t>
            </w:r>
          </w:p>
        </w:tc>
        <w:tc>
          <w:tcPr>
            <w:tcW w:w="1603" w:type="dxa"/>
            <w:tcBorders>
              <w:top w:val="nil"/>
              <w:left w:val="nil"/>
              <w:bottom w:val="single" w:sz="4" w:space="0" w:color="auto"/>
              <w:right w:val="single" w:sz="4" w:space="0" w:color="auto"/>
            </w:tcBorders>
            <w:shd w:val="clear" w:color="auto" w:fill="auto"/>
            <w:hideMark/>
          </w:tcPr>
          <w:p w14:paraId="5D51CD5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12381</w:t>
            </w:r>
          </w:p>
        </w:tc>
      </w:tr>
      <w:tr w:rsidR="0032004C" w:rsidRPr="00B7675F" w14:paraId="4920CD0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4B6671A"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49E19F4"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s.1.1  (rd.01+rd.02+rd.03+rd.04)</w:t>
            </w:r>
          </w:p>
        </w:tc>
        <w:tc>
          <w:tcPr>
            <w:tcW w:w="993" w:type="dxa"/>
            <w:tcBorders>
              <w:top w:val="nil"/>
              <w:left w:val="nil"/>
              <w:bottom w:val="single" w:sz="4" w:space="0" w:color="auto"/>
              <w:right w:val="nil"/>
            </w:tcBorders>
            <w:shd w:val="clear" w:color="auto" w:fill="auto"/>
            <w:hideMark/>
          </w:tcPr>
          <w:p w14:paraId="60566062"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w:t>
            </w:r>
          </w:p>
        </w:tc>
        <w:tc>
          <w:tcPr>
            <w:tcW w:w="1559" w:type="dxa"/>
            <w:tcBorders>
              <w:top w:val="nil"/>
              <w:left w:val="single" w:sz="4" w:space="0" w:color="auto"/>
              <w:bottom w:val="single" w:sz="4" w:space="0" w:color="auto"/>
              <w:right w:val="single" w:sz="4" w:space="0" w:color="auto"/>
            </w:tcBorders>
            <w:shd w:val="clear" w:color="auto" w:fill="auto"/>
            <w:hideMark/>
          </w:tcPr>
          <w:p w14:paraId="6CBC7906"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51466169</w:t>
            </w:r>
          </w:p>
        </w:tc>
        <w:tc>
          <w:tcPr>
            <w:tcW w:w="1603" w:type="dxa"/>
            <w:tcBorders>
              <w:top w:val="nil"/>
              <w:left w:val="nil"/>
              <w:bottom w:val="single" w:sz="4" w:space="0" w:color="auto"/>
              <w:right w:val="single" w:sz="4" w:space="0" w:color="auto"/>
            </w:tcBorders>
            <w:shd w:val="clear" w:color="auto" w:fill="auto"/>
            <w:hideMark/>
          </w:tcPr>
          <w:p w14:paraId="157BCAD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60237383</w:t>
            </w:r>
          </w:p>
        </w:tc>
      </w:tr>
      <w:tr w:rsidR="0032004C" w:rsidRPr="00B7675F" w14:paraId="626DA2B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A657CBA"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1.2</w:t>
            </w:r>
          </w:p>
        </w:tc>
        <w:tc>
          <w:tcPr>
            <w:tcW w:w="4924" w:type="dxa"/>
            <w:tcBorders>
              <w:top w:val="nil"/>
              <w:left w:val="nil"/>
              <w:bottom w:val="single" w:sz="4" w:space="0" w:color="auto"/>
              <w:right w:val="single" w:sz="4" w:space="0" w:color="auto"/>
            </w:tcBorders>
            <w:shd w:val="clear" w:color="auto" w:fill="auto"/>
            <w:hideMark/>
          </w:tcPr>
          <w:p w14:paraId="726EAB7B"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Creanţe pe termen scurt</w:t>
            </w:r>
            <w:r w:rsidRPr="00736448">
              <w:rPr>
                <w:rFonts w:asciiTheme="majorHAnsi" w:eastAsia="Times New Roman" w:hAnsiTheme="majorHAnsi" w:cs="Times New Roman"/>
                <w:b/>
                <w:bCs/>
                <w:i/>
                <w:iCs/>
                <w:sz w:val="18"/>
                <w:szCs w:val="18"/>
                <w:lang w:val="ro-MD"/>
              </w:rPr>
              <w:t xml:space="preserve"> </w:t>
            </w:r>
          </w:p>
        </w:tc>
        <w:tc>
          <w:tcPr>
            <w:tcW w:w="993" w:type="dxa"/>
            <w:tcBorders>
              <w:top w:val="nil"/>
              <w:left w:val="nil"/>
              <w:bottom w:val="single" w:sz="4" w:space="0" w:color="auto"/>
              <w:right w:val="nil"/>
            </w:tcBorders>
            <w:shd w:val="clear" w:color="auto" w:fill="auto"/>
            <w:hideMark/>
          </w:tcPr>
          <w:p w14:paraId="1AB58B91"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41B7F32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48F7B87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3B6981A6"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3096596"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3A8AEA0F"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Creanţe pe termen scurt privind contribuţiile de asigurări sociale de stat obligatorii (111)</w:t>
            </w:r>
          </w:p>
        </w:tc>
        <w:tc>
          <w:tcPr>
            <w:tcW w:w="993" w:type="dxa"/>
            <w:tcBorders>
              <w:top w:val="nil"/>
              <w:left w:val="nil"/>
              <w:bottom w:val="single" w:sz="4" w:space="0" w:color="auto"/>
              <w:right w:val="nil"/>
            </w:tcBorders>
            <w:shd w:val="clear" w:color="auto" w:fill="auto"/>
            <w:hideMark/>
          </w:tcPr>
          <w:p w14:paraId="7E420E9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w:t>
            </w:r>
          </w:p>
        </w:tc>
        <w:tc>
          <w:tcPr>
            <w:tcW w:w="1559" w:type="dxa"/>
            <w:tcBorders>
              <w:top w:val="nil"/>
              <w:left w:val="single" w:sz="4" w:space="0" w:color="auto"/>
              <w:bottom w:val="single" w:sz="4" w:space="0" w:color="auto"/>
              <w:right w:val="single" w:sz="4" w:space="0" w:color="auto"/>
            </w:tcBorders>
            <w:shd w:val="clear" w:color="auto" w:fill="auto"/>
            <w:hideMark/>
          </w:tcPr>
          <w:p w14:paraId="4737ED6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1801201526</w:t>
            </w:r>
          </w:p>
        </w:tc>
        <w:tc>
          <w:tcPr>
            <w:tcW w:w="1603" w:type="dxa"/>
            <w:tcBorders>
              <w:top w:val="nil"/>
              <w:left w:val="nil"/>
              <w:bottom w:val="single" w:sz="4" w:space="0" w:color="auto"/>
              <w:right w:val="single" w:sz="4" w:space="0" w:color="auto"/>
            </w:tcBorders>
            <w:shd w:val="clear" w:color="auto" w:fill="auto"/>
            <w:hideMark/>
          </w:tcPr>
          <w:p w14:paraId="479BB48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1580486673</w:t>
            </w:r>
          </w:p>
        </w:tc>
      </w:tr>
      <w:tr w:rsidR="0032004C" w:rsidRPr="00B7675F" w14:paraId="513D4863"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99F98A4"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AAFB58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Creanţe pe termen scurt privind amenzile şi penalităţile (112)</w:t>
            </w:r>
          </w:p>
        </w:tc>
        <w:tc>
          <w:tcPr>
            <w:tcW w:w="993" w:type="dxa"/>
            <w:tcBorders>
              <w:top w:val="nil"/>
              <w:left w:val="nil"/>
              <w:bottom w:val="single" w:sz="4" w:space="0" w:color="auto"/>
              <w:right w:val="nil"/>
            </w:tcBorders>
            <w:shd w:val="clear" w:color="auto" w:fill="auto"/>
            <w:hideMark/>
          </w:tcPr>
          <w:p w14:paraId="21D3CFBD"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w:t>
            </w:r>
          </w:p>
        </w:tc>
        <w:tc>
          <w:tcPr>
            <w:tcW w:w="1559" w:type="dxa"/>
            <w:tcBorders>
              <w:top w:val="nil"/>
              <w:left w:val="single" w:sz="4" w:space="0" w:color="auto"/>
              <w:bottom w:val="single" w:sz="4" w:space="0" w:color="auto"/>
              <w:right w:val="single" w:sz="4" w:space="0" w:color="auto"/>
            </w:tcBorders>
            <w:shd w:val="clear" w:color="auto" w:fill="auto"/>
            <w:hideMark/>
          </w:tcPr>
          <w:p w14:paraId="55D55B6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370534704</w:t>
            </w:r>
          </w:p>
        </w:tc>
        <w:tc>
          <w:tcPr>
            <w:tcW w:w="1603" w:type="dxa"/>
            <w:tcBorders>
              <w:top w:val="nil"/>
              <w:left w:val="nil"/>
              <w:bottom w:val="single" w:sz="4" w:space="0" w:color="auto"/>
              <w:right w:val="single" w:sz="4" w:space="0" w:color="auto"/>
            </w:tcBorders>
            <w:shd w:val="clear" w:color="auto" w:fill="auto"/>
            <w:hideMark/>
          </w:tcPr>
          <w:p w14:paraId="751F6A4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362899405</w:t>
            </w:r>
          </w:p>
        </w:tc>
      </w:tr>
      <w:tr w:rsidR="0032004C" w:rsidRPr="00B7675F" w14:paraId="7A26FADA"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70EDE19"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06B40A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Creanţe pe termen scurt ale bugetului de stat (114)</w:t>
            </w:r>
          </w:p>
        </w:tc>
        <w:tc>
          <w:tcPr>
            <w:tcW w:w="993" w:type="dxa"/>
            <w:tcBorders>
              <w:top w:val="nil"/>
              <w:left w:val="nil"/>
              <w:bottom w:val="single" w:sz="4" w:space="0" w:color="auto"/>
              <w:right w:val="nil"/>
            </w:tcBorders>
            <w:shd w:val="clear" w:color="auto" w:fill="auto"/>
            <w:hideMark/>
          </w:tcPr>
          <w:p w14:paraId="3D9BD26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9</w:t>
            </w:r>
          </w:p>
        </w:tc>
        <w:tc>
          <w:tcPr>
            <w:tcW w:w="1559" w:type="dxa"/>
            <w:tcBorders>
              <w:top w:val="nil"/>
              <w:left w:val="single" w:sz="4" w:space="0" w:color="auto"/>
              <w:bottom w:val="single" w:sz="4" w:space="0" w:color="auto"/>
              <w:right w:val="single" w:sz="4" w:space="0" w:color="auto"/>
            </w:tcBorders>
            <w:shd w:val="clear" w:color="auto" w:fill="auto"/>
            <w:hideMark/>
          </w:tcPr>
          <w:p w14:paraId="1DE4B3A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18532193</w:t>
            </w:r>
          </w:p>
        </w:tc>
        <w:tc>
          <w:tcPr>
            <w:tcW w:w="1603" w:type="dxa"/>
            <w:tcBorders>
              <w:top w:val="nil"/>
              <w:left w:val="nil"/>
              <w:bottom w:val="single" w:sz="4" w:space="0" w:color="auto"/>
              <w:right w:val="single" w:sz="4" w:space="0" w:color="auto"/>
            </w:tcBorders>
            <w:shd w:val="clear" w:color="auto" w:fill="auto"/>
            <w:hideMark/>
          </w:tcPr>
          <w:p w14:paraId="69CD0AD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26289584</w:t>
            </w:r>
          </w:p>
        </w:tc>
      </w:tr>
      <w:tr w:rsidR="0032004C" w:rsidRPr="00B7675F" w14:paraId="41B7F425"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4728856"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8E530E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Creanţe pe termen scurt ale distribuitorilor de prestaţii (115)</w:t>
            </w:r>
          </w:p>
        </w:tc>
        <w:tc>
          <w:tcPr>
            <w:tcW w:w="993" w:type="dxa"/>
            <w:tcBorders>
              <w:top w:val="nil"/>
              <w:left w:val="nil"/>
              <w:bottom w:val="single" w:sz="4" w:space="0" w:color="auto"/>
              <w:right w:val="nil"/>
            </w:tcBorders>
            <w:shd w:val="clear" w:color="auto" w:fill="auto"/>
            <w:hideMark/>
          </w:tcPr>
          <w:p w14:paraId="0B9293D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10</w:t>
            </w:r>
          </w:p>
        </w:tc>
        <w:tc>
          <w:tcPr>
            <w:tcW w:w="1559" w:type="dxa"/>
            <w:tcBorders>
              <w:top w:val="nil"/>
              <w:left w:val="single" w:sz="4" w:space="0" w:color="auto"/>
              <w:bottom w:val="single" w:sz="4" w:space="0" w:color="auto"/>
              <w:right w:val="single" w:sz="4" w:space="0" w:color="auto"/>
            </w:tcBorders>
            <w:shd w:val="clear" w:color="auto" w:fill="auto"/>
            <w:hideMark/>
          </w:tcPr>
          <w:p w14:paraId="113F861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72993226</w:t>
            </w:r>
          </w:p>
        </w:tc>
        <w:tc>
          <w:tcPr>
            <w:tcW w:w="1603" w:type="dxa"/>
            <w:tcBorders>
              <w:top w:val="nil"/>
              <w:left w:val="nil"/>
              <w:bottom w:val="single" w:sz="4" w:space="0" w:color="auto"/>
              <w:right w:val="single" w:sz="4" w:space="0" w:color="auto"/>
            </w:tcBorders>
            <w:shd w:val="clear" w:color="auto" w:fill="auto"/>
            <w:hideMark/>
          </w:tcPr>
          <w:p w14:paraId="4D07DD0C"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73002359</w:t>
            </w:r>
          </w:p>
        </w:tc>
      </w:tr>
      <w:tr w:rsidR="0032004C" w:rsidRPr="00B7675F" w14:paraId="2DFB5E6C"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91E00AA"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F0C4FB4"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Creanţe pe termen scurt privind veniturile calculate (116)</w:t>
            </w:r>
          </w:p>
        </w:tc>
        <w:tc>
          <w:tcPr>
            <w:tcW w:w="993" w:type="dxa"/>
            <w:tcBorders>
              <w:top w:val="nil"/>
              <w:left w:val="nil"/>
              <w:bottom w:val="single" w:sz="4" w:space="0" w:color="auto"/>
              <w:right w:val="nil"/>
            </w:tcBorders>
            <w:shd w:val="clear" w:color="auto" w:fill="auto"/>
            <w:hideMark/>
          </w:tcPr>
          <w:p w14:paraId="365A6CFB"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11</w:t>
            </w:r>
          </w:p>
        </w:tc>
        <w:tc>
          <w:tcPr>
            <w:tcW w:w="1559" w:type="dxa"/>
            <w:tcBorders>
              <w:top w:val="nil"/>
              <w:left w:val="single" w:sz="4" w:space="0" w:color="auto"/>
              <w:bottom w:val="single" w:sz="4" w:space="0" w:color="auto"/>
              <w:right w:val="single" w:sz="4" w:space="0" w:color="auto"/>
            </w:tcBorders>
            <w:shd w:val="clear" w:color="auto" w:fill="auto"/>
            <w:hideMark/>
          </w:tcPr>
          <w:p w14:paraId="4613A2B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-2648709</w:t>
            </w:r>
          </w:p>
        </w:tc>
        <w:tc>
          <w:tcPr>
            <w:tcW w:w="1603" w:type="dxa"/>
            <w:tcBorders>
              <w:top w:val="nil"/>
              <w:left w:val="nil"/>
              <w:bottom w:val="single" w:sz="4" w:space="0" w:color="auto"/>
              <w:right w:val="single" w:sz="4" w:space="0" w:color="auto"/>
            </w:tcBorders>
            <w:shd w:val="clear" w:color="auto" w:fill="auto"/>
            <w:hideMark/>
          </w:tcPr>
          <w:p w14:paraId="7A551B0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-1989205</w:t>
            </w:r>
          </w:p>
        </w:tc>
      </w:tr>
      <w:tr w:rsidR="0032004C" w:rsidRPr="00B7675F" w14:paraId="1FDBFE2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F621E97"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23C5A0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Alte creanţe pe termen scurt (117)</w:t>
            </w:r>
          </w:p>
        </w:tc>
        <w:tc>
          <w:tcPr>
            <w:tcW w:w="993" w:type="dxa"/>
            <w:tcBorders>
              <w:top w:val="nil"/>
              <w:left w:val="nil"/>
              <w:bottom w:val="single" w:sz="4" w:space="0" w:color="auto"/>
              <w:right w:val="nil"/>
            </w:tcBorders>
            <w:shd w:val="clear" w:color="auto" w:fill="auto"/>
            <w:hideMark/>
          </w:tcPr>
          <w:p w14:paraId="305689D9"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w:t>
            </w:r>
          </w:p>
        </w:tc>
        <w:tc>
          <w:tcPr>
            <w:tcW w:w="1559" w:type="dxa"/>
            <w:tcBorders>
              <w:top w:val="nil"/>
              <w:left w:val="single" w:sz="4" w:space="0" w:color="auto"/>
              <w:bottom w:val="single" w:sz="4" w:space="0" w:color="auto"/>
              <w:right w:val="single" w:sz="4" w:space="0" w:color="auto"/>
            </w:tcBorders>
            <w:shd w:val="clear" w:color="auto" w:fill="auto"/>
            <w:hideMark/>
          </w:tcPr>
          <w:p w14:paraId="02F3125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63711140</w:t>
            </w:r>
          </w:p>
        </w:tc>
        <w:tc>
          <w:tcPr>
            <w:tcW w:w="1603" w:type="dxa"/>
            <w:tcBorders>
              <w:top w:val="nil"/>
              <w:left w:val="nil"/>
              <w:bottom w:val="single" w:sz="4" w:space="0" w:color="auto"/>
              <w:right w:val="single" w:sz="4" w:space="0" w:color="auto"/>
            </w:tcBorders>
            <w:shd w:val="clear" w:color="auto" w:fill="auto"/>
            <w:hideMark/>
          </w:tcPr>
          <w:p w14:paraId="42144D0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68624719</w:t>
            </w:r>
          </w:p>
        </w:tc>
      </w:tr>
      <w:tr w:rsidR="0032004C" w:rsidRPr="00B7675F" w14:paraId="00AB1486"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5B3061F"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4FFEC42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Corecţii la datorii dubioase (-) (118)</w:t>
            </w:r>
          </w:p>
        </w:tc>
        <w:tc>
          <w:tcPr>
            <w:tcW w:w="993" w:type="dxa"/>
            <w:tcBorders>
              <w:top w:val="nil"/>
              <w:left w:val="nil"/>
              <w:bottom w:val="single" w:sz="4" w:space="0" w:color="auto"/>
              <w:right w:val="nil"/>
            </w:tcBorders>
            <w:shd w:val="clear" w:color="auto" w:fill="auto"/>
            <w:hideMark/>
          </w:tcPr>
          <w:p w14:paraId="7BB8E848"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13</w:t>
            </w:r>
          </w:p>
        </w:tc>
        <w:tc>
          <w:tcPr>
            <w:tcW w:w="1559" w:type="dxa"/>
            <w:tcBorders>
              <w:top w:val="nil"/>
              <w:left w:val="single" w:sz="4" w:space="0" w:color="auto"/>
              <w:bottom w:val="single" w:sz="4" w:space="0" w:color="auto"/>
              <w:right w:val="single" w:sz="4" w:space="0" w:color="auto"/>
            </w:tcBorders>
            <w:shd w:val="clear" w:color="auto" w:fill="auto"/>
            <w:hideMark/>
          </w:tcPr>
          <w:p w14:paraId="7FB40E9C"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39A16BA3"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305F6A7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E3F170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562F974"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s.1.2  (rd.06+rd.07+rd.08+rd.09+rd.10+rd.11+rd.12-rd.13)</w:t>
            </w:r>
          </w:p>
        </w:tc>
        <w:tc>
          <w:tcPr>
            <w:tcW w:w="993" w:type="dxa"/>
            <w:tcBorders>
              <w:top w:val="nil"/>
              <w:left w:val="nil"/>
              <w:bottom w:val="single" w:sz="4" w:space="0" w:color="auto"/>
              <w:right w:val="nil"/>
            </w:tcBorders>
            <w:shd w:val="clear" w:color="auto" w:fill="auto"/>
            <w:hideMark/>
          </w:tcPr>
          <w:p w14:paraId="1108A5E5"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14</w:t>
            </w:r>
          </w:p>
        </w:tc>
        <w:tc>
          <w:tcPr>
            <w:tcW w:w="1559" w:type="dxa"/>
            <w:tcBorders>
              <w:top w:val="nil"/>
              <w:left w:val="single" w:sz="4" w:space="0" w:color="auto"/>
              <w:bottom w:val="single" w:sz="4" w:space="0" w:color="auto"/>
              <w:right w:val="single" w:sz="4" w:space="0" w:color="auto"/>
            </w:tcBorders>
            <w:shd w:val="clear" w:color="auto" w:fill="auto"/>
            <w:hideMark/>
          </w:tcPr>
          <w:p w14:paraId="13D0F20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2324324080</w:t>
            </w:r>
          </w:p>
        </w:tc>
        <w:tc>
          <w:tcPr>
            <w:tcW w:w="1603" w:type="dxa"/>
            <w:tcBorders>
              <w:top w:val="nil"/>
              <w:left w:val="nil"/>
              <w:bottom w:val="single" w:sz="4" w:space="0" w:color="auto"/>
              <w:right w:val="single" w:sz="4" w:space="0" w:color="auto"/>
            </w:tcBorders>
            <w:shd w:val="clear" w:color="auto" w:fill="auto"/>
            <w:hideMark/>
          </w:tcPr>
          <w:p w14:paraId="51E09921"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2109313535</w:t>
            </w:r>
          </w:p>
        </w:tc>
      </w:tr>
      <w:tr w:rsidR="0032004C" w:rsidRPr="00B7675F" w14:paraId="276890E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7854601"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1.3</w:t>
            </w:r>
          </w:p>
        </w:tc>
        <w:tc>
          <w:tcPr>
            <w:tcW w:w="4924" w:type="dxa"/>
            <w:tcBorders>
              <w:top w:val="nil"/>
              <w:left w:val="nil"/>
              <w:bottom w:val="single" w:sz="4" w:space="0" w:color="auto"/>
              <w:right w:val="single" w:sz="4" w:space="0" w:color="auto"/>
            </w:tcBorders>
            <w:shd w:val="clear" w:color="auto" w:fill="auto"/>
            <w:hideMark/>
          </w:tcPr>
          <w:p w14:paraId="2EDB7339"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Stocuri de mărfuri şi materiale</w:t>
            </w:r>
          </w:p>
        </w:tc>
        <w:tc>
          <w:tcPr>
            <w:tcW w:w="993" w:type="dxa"/>
            <w:tcBorders>
              <w:top w:val="nil"/>
              <w:left w:val="nil"/>
              <w:bottom w:val="single" w:sz="4" w:space="0" w:color="auto"/>
              <w:right w:val="nil"/>
            </w:tcBorders>
            <w:shd w:val="clear" w:color="auto" w:fill="auto"/>
            <w:hideMark/>
          </w:tcPr>
          <w:p w14:paraId="33E029E6"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39B42E6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50640033"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29D86F57"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18AADE0"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03D55A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Materiale (131)</w:t>
            </w:r>
          </w:p>
        </w:tc>
        <w:tc>
          <w:tcPr>
            <w:tcW w:w="993" w:type="dxa"/>
            <w:tcBorders>
              <w:top w:val="nil"/>
              <w:left w:val="nil"/>
              <w:bottom w:val="single" w:sz="4" w:space="0" w:color="auto"/>
              <w:right w:val="nil"/>
            </w:tcBorders>
            <w:shd w:val="clear" w:color="auto" w:fill="auto"/>
            <w:hideMark/>
          </w:tcPr>
          <w:p w14:paraId="7C0C8584"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15</w:t>
            </w:r>
          </w:p>
        </w:tc>
        <w:tc>
          <w:tcPr>
            <w:tcW w:w="1559" w:type="dxa"/>
            <w:tcBorders>
              <w:top w:val="nil"/>
              <w:left w:val="single" w:sz="4" w:space="0" w:color="auto"/>
              <w:bottom w:val="single" w:sz="4" w:space="0" w:color="auto"/>
              <w:right w:val="single" w:sz="4" w:space="0" w:color="auto"/>
            </w:tcBorders>
            <w:shd w:val="clear" w:color="auto" w:fill="auto"/>
            <w:hideMark/>
          </w:tcPr>
          <w:p w14:paraId="076B17A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5615390</w:t>
            </w:r>
          </w:p>
        </w:tc>
        <w:tc>
          <w:tcPr>
            <w:tcW w:w="1603" w:type="dxa"/>
            <w:tcBorders>
              <w:top w:val="nil"/>
              <w:left w:val="nil"/>
              <w:bottom w:val="single" w:sz="4" w:space="0" w:color="auto"/>
              <w:right w:val="single" w:sz="4" w:space="0" w:color="auto"/>
            </w:tcBorders>
            <w:shd w:val="clear" w:color="auto" w:fill="auto"/>
            <w:hideMark/>
          </w:tcPr>
          <w:p w14:paraId="327767D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4617135</w:t>
            </w:r>
          </w:p>
        </w:tc>
      </w:tr>
      <w:tr w:rsidR="0032004C" w:rsidRPr="00B7675F" w14:paraId="7055268A"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F341F3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3D9E6D2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Obiecte de mică valoare şi scurtă durată (132)</w:t>
            </w:r>
          </w:p>
        </w:tc>
        <w:tc>
          <w:tcPr>
            <w:tcW w:w="993" w:type="dxa"/>
            <w:tcBorders>
              <w:top w:val="nil"/>
              <w:left w:val="nil"/>
              <w:bottom w:val="single" w:sz="4" w:space="0" w:color="auto"/>
              <w:right w:val="nil"/>
            </w:tcBorders>
            <w:shd w:val="clear" w:color="auto" w:fill="auto"/>
            <w:hideMark/>
          </w:tcPr>
          <w:p w14:paraId="01CF3C48"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16</w:t>
            </w:r>
          </w:p>
        </w:tc>
        <w:tc>
          <w:tcPr>
            <w:tcW w:w="1559" w:type="dxa"/>
            <w:tcBorders>
              <w:top w:val="nil"/>
              <w:left w:val="single" w:sz="4" w:space="0" w:color="auto"/>
              <w:bottom w:val="single" w:sz="4" w:space="0" w:color="auto"/>
              <w:right w:val="single" w:sz="4" w:space="0" w:color="auto"/>
            </w:tcBorders>
            <w:shd w:val="clear" w:color="auto" w:fill="auto"/>
            <w:hideMark/>
          </w:tcPr>
          <w:p w14:paraId="06483CF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28115337</w:t>
            </w:r>
          </w:p>
        </w:tc>
        <w:tc>
          <w:tcPr>
            <w:tcW w:w="1603" w:type="dxa"/>
            <w:tcBorders>
              <w:top w:val="nil"/>
              <w:left w:val="nil"/>
              <w:bottom w:val="single" w:sz="4" w:space="0" w:color="auto"/>
              <w:right w:val="single" w:sz="4" w:space="0" w:color="auto"/>
            </w:tcBorders>
            <w:shd w:val="clear" w:color="auto" w:fill="auto"/>
            <w:hideMark/>
          </w:tcPr>
          <w:p w14:paraId="1C57D36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29099075</w:t>
            </w:r>
          </w:p>
        </w:tc>
      </w:tr>
      <w:tr w:rsidR="0032004C" w:rsidRPr="00B7675F" w14:paraId="7F1DF24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DB465D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CB2F7E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Uzura obiectelor de mică valoare şi scurtă durată (-) (133)</w:t>
            </w:r>
          </w:p>
        </w:tc>
        <w:tc>
          <w:tcPr>
            <w:tcW w:w="993" w:type="dxa"/>
            <w:tcBorders>
              <w:top w:val="nil"/>
              <w:left w:val="nil"/>
              <w:bottom w:val="single" w:sz="4" w:space="0" w:color="auto"/>
              <w:right w:val="nil"/>
            </w:tcBorders>
            <w:shd w:val="clear" w:color="auto" w:fill="auto"/>
            <w:hideMark/>
          </w:tcPr>
          <w:p w14:paraId="58DCAE0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17</w:t>
            </w:r>
          </w:p>
        </w:tc>
        <w:tc>
          <w:tcPr>
            <w:tcW w:w="1559" w:type="dxa"/>
            <w:tcBorders>
              <w:top w:val="nil"/>
              <w:left w:val="single" w:sz="4" w:space="0" w:color="auto"/>
              <w:bottom w:val="single" w:sz="4" w:space="0" w:color="auto"/>
              <w:right w:val="single" w:sz="4" w:space="0" w:color="auto"/>
            </w:tcBorders>
            <w:shd w:val="clear" w:color="auto" w:fill="auto"/>
            <w:hideMark/>
          </w:tcPr>
          <w:p w14:paraId="250E533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-27737095</w:t>
            </w:r>
          </w:p>
        </w:tc>
        <w:tc>
          <w:tcPr>
            <w:tcW w:w="1603" w:type="dxa"/>
            <w:tcBorders>
              <w:top w:val="nil"/>
              <w:left w:val="nil"/>
              <w:bottom w:val="single" w:sz="4" w:space="0" w:color="auto"/>
              <w:right w:val="single" w:sz="4" w:space="0" w:color="auto"/>
            </w:tcBorders>
            <w:shd w:val="clear" w:color="auto" w:fill="auto"/>
            <w:hideMark/>
          </w:tcPr>
          <w:p w14:paraId="319A14D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-28712009</w:t>
            </w:r>
          </w:p>
        </w:tc>
      </w:tr>
      <w:tr w:rsidR="0032004C" w:rsidRPr="00B7675F" w14:paraId="2516933C"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AE4E29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9D58F4C"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s.1.3  (rd.15+rd.16-rd.17)</w:t>
            </w:r>
          </w:p>
        </w:tc>
        <w:tc>
          <w:tcPr>
            <w:tcW w:w="993" w:type="dxa"/>
            <w:tcBorders>
              <w:top w:val="nil"/>
              <w:left w:val="nil"/>
              <w:bottom w:val="single" w:sz="4" w:space="0" w:color="auto"/>
              <w:right w:val="nil"/>
            </w:tcBorders>
            <w:shd w:val="clear" w:color="auto" w:fill="auto"/>
            <w:hideMark/>
          </w:tcPr>
          <w:p w14:paraId="10E74BA7"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18</w:t>
            </w:r>
          </w:p>
        </w:tc>
        <w:tc>
          <w:tcPr>
            <w:tcW w:w="1559" w:type="dxa"/>
            <w:tcBorders>
              <w:top w:val="nil"/>
              <w:left w:val="single" w:sz="4" w:space="0" w:color="auto"/>
              <w:bottom w:val="single" w:sz="4" w:space="0" w:color="auto"/>
              <w:right w:val="single" w:sz="4" w:space="0" w:color="auto"/>
            </w:tcBorders>
            <w:shd w:val="clear" w:color="auto" w:fill="auto"/>
            <w:hideMark/>
          </w:tcPr>
          <w:p w14:paraId="144DEEA8"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5993632</w:t>
            </w:r>
          </w:p>
        </w:tc>
        <w:tc>
          <w:tcPr>
            <w:tcW w:w="1603" w:type="dxa"/>
            <w:tcBorders>
              <w:top w:val="nil"/>
              <w:left w:val="nil"/>
              <w:bottom w:val="single" w:sz="4" w:space="0" w:color="auto"/>
              <w:right w:val="single" w:sz="4" w:space="0" w:color="auto"/>
            </w:tcBorders>
            <w:shd w:val="clear" w:color="auto" w:fill="auto"/>
            <w:hideMark/>
          </w:tcPr>
          <w:p w14:paraId="0CC96439"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5004201</w:t>
            </w:r>
          </w:p>
        </w:tc>
      </w:tr>
      <w:tr w:rsidR="0032004C" w:rsidRPr="00B7675F" w14:paraId="46A75133"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E1B24EF"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1.4</w:t>
            </w:r>
          </w:p>
        </w:tc>
        <w:tc>
          <w:tcPr>
            <w:tcW w:w="4924" w:type="dxa"/>
            <w:tcBorders>
              <w:top w:val="nil"/>
              <w:left w:val="nil"/>
              <w:bottom w:val="single" w:sz="4" w:space="0" w:color="auto"/>
              <w:right w:val="single" w:sz="4" w:space="0" w:color="auto"/>
            </w:tcBorders>
            <w:shd w:val="clear" w:color="auto" w:fill="auto"/>
            <w:hideMark/>
          </w:tcPr>
          <w:p w14:paraId="2264D13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Active financiare curente</w:t>
            </w:r>
          </w:p>
        </w:tc>
        <w:tc>
          <w:tcPr>
            <w:tcW w:w="993" w:type="dxa"/>
            <w:tcBorders>
              <w:top w:val="nil"/>
              <w:left w:val="nil"/>
              <w:bottom w:val="single" w:sz="4" w:space="0" w:color="auto"/>
              <w:right w:val="nil"/>
            </w:tcBorders>
            <w:shd w:val="clear" w:color="auto" w:fill="auto"/>
            <w:hideMark/>
          </w:tcPr>
          <w:p w14:paraId="10BC316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1EC1371C"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56BE11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5FC14C73"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BE2F88E"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1.5</w:t>
            </w:r>
          </w:p>
        </w:tc>
        <w:tc>
          <w:tcPr>
            <w:tcW w:w="4924" w:type="dxa"/>
            <w:tcBorders>
              <w:top w:val="nil"/>
              <w:left w:val="nil"/>
              <w:bottom w:val="single" w:sz="4" w:space="0" w:color="auto"/>
              <w:right w:val="single" w:sz="4" w:space="0" w:color="auto"/>
            </w:tcBorders>
            <w:shd w:val="clear" w:color="auto" w:fill="auto"/>
            <w:hideMark/>
          </w:tcPr>
          <w:p w14:paraId="6D66300E"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Alte active curente</w:t>
            </w:r>
          </w:p>
        </w:tc>
        <w:tc>
          <w:tcPr>
            <w:tcW w:w="993" w:type="dxa"/>
            <w:tcBorders>
              <w:top w:val="nil"/>
              <w:left w:val="nil"/>
              <w:bottom w:val="single" w:sz="4" w:space="0" w:color="auto"/>
              <w:right w:val="nil"/>
            </w:tcBorders>
            <w:shd w:val="clear" w:color="auto" w:fill="auto"/>
            <w:hideMark/>
          </w:tcPr>
          <w:p w14:paraId="044E8C70"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546E683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2AA0394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3C15BF93"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59ECFD1"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89737F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xml:space="preserve">Avansuri pe termen scurt acordate (151) </w:t>
            </w:r>
          </w:p>
        </w:tc>
        <w:tc>
          <w:tcPr>
            <w:tcW w:w="993" w:type="dxa"/>
            <w:tcBorders>
              <w:top w:val="nil"/>
              <w:left w:val="nil"/>
              <w:bottom w:val="single" w:sz="4" w:space="0" w:color="auto"/>
              <w:right w:val="nil"/>
            </w:tcBorders>
            <w:shd w:val="clear" w:color="auto" w:fill="auto"/>
            <w:hideMark/>
          </w:tcPr>
          <w:p w14:paraId="2C4A59D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3B66656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624CEC6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20271C0C"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9633EEC"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 </w:t>
            </w:r>
          </w:p>
        </w:tc>
        <w:tc>
          <w:tcPr>
            <w:tcW w:w="4924" w:type="dxa"/>
            <w:tcBorders>
              <w:top w:val="nil"/>
              <w:left w:val="nil"/>
              <w:bottom w:val="single" w:sz="4" w:space="0" w:color="auto"/>
              <w:right w:val="single" w:sz="4" w:space="0" w:color="auto"/>
            </w:tcBorders>
            <w:shd w:val="clear" w:color="auto" w:fill="auto"/>
            <w:hideMark/>
          </w:tcPr>
          <w:p w14:paraId="5F71B960"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Cheltuieli anticipate curente (152)</w:t>
            </w:r>
          </w:p>
        </w:tc>
        <w:tc>
          <w:tcPr>
            <w:tcW w:w="993" w:type="dxa"/>
            <w:tcBorders>
              <w:top w:val="nil"/>
              <w:left w:val="nil"/>
              <w:bottom w:val="single" w:sz="4" w:space="0" w:color="auto"/>
              <w:right w:val="nil"/>
            </w:tcBorders>
            <w:shd w:val="clear" w:color="auto" w:fill="auto"/>
            <w:hideMark/>
          </w:tcPr>
          <w:p w14:paraId="28E18951"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27</w:t>
            </w:r>
          </w:p>
        </w:tc>
        <w:tc>
          <w:tcPr>
            <w:tcW w:w="1559" w:type="dxa"/>
            <w:tcBorders>
              <w:top w:val="nil"/>
              <w:left w:val="single" w:sz="4" w:space="0" w:color="auto"/>
              <w:bottom w:val="single" w:sz="4" w:space="0" w:color="auto"/>
              <w:right w:val="single" w:sz="4" w:space="0" w:color="auto"/>
            </w:tcBorders>
            <w:shd w:val="clear" w:color="auto" w:fill="auto"/>
            <w:hideMark/>
          </w:tcPr>
          <w:p w14:paraId="6F5DC26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65477</w:t>
            </w:r>
          </w:p>
        </w:tc>
        <w:tc>
          <w:tcPr>
            <w:tcW w:w="1603" w:type="dxa"/>
            <w:tcBorders>
              <w:top w:val="nil"/>
              <w:left w:val="nil"/>
              <w:bottom w:val="single" w:sz="4" w:space="0" w:color="auto"/>
              <w:right w:val="single" w:sz="4" w:space="0" w:color="auto"/>
            </w:tcBorders>
            <w:shd w:val="clear" w:color="auto" w:fill="auto"/>
            <w:hideMark/>
          </w:tcPr>
          <w:p w14:paraId="7AF83C1D"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64905</w:t>
            </w:r>
          </w:p>
        </w:tc>
      </w:tr>
      <w:tr w:rsidR="0032004C" w:rsidRPr="00B7675F" w14:paraId="52AF5FB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76BC769"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CCDD2D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Corecţii la datorii dubioase aferente altor active curente (-) (153)</w:t>
            </w:r>
          </w:p>
        </w:tc>
        <w:tc>
          <w:tcPr>
            <w:tcW w:w="993" w:type="dxa"/>
            <w:tcBorders>
              <w:top w:val="nil"/>
              <w:left w:val="nil"/>
              <w:bottom w:val="single" w:sz="4" w:space="0" w:color="auto"/>
              <w:right w:val="nil"/>
            </w:tcBorders>
            <w:shd w:val="clear" w:color="auto" w:fill="auto"/>
            <w:hideMark/>
          </w:tcPr>
          <w:p w14:paraId="1F1DADAA"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28</w:t>
            </w:r>
          </w:p>
        </w:tc>
        <w:tc>
          <w:tcPr>
            <w:tcW w:w="1559" w:type="dxa"/>
            <w:tcBorders>
              <w:top w:val="nil"/>
              <w:left w:val="single" w:sz="4" w:space="0" w:color="auto"/>
              <w:bottom w:val="single" w:sz="4" w:space="0" w:color="auto"/>
              <w:right w:val="single" w:sz="4" w:space="0" w:color="auto"/>
            </w:tcBorders>
            <w:shd w:val="clear" w:color="auto" w:fill="auto"/>
            <w:hideMark/>
          </w:tcPr>
          <w:p w14:paraId="509C1166"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0E544A34"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625B100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CF6E8FC"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754E3AA"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 1.5 (rd.26+rd.27-rd.28)</w:t>
            </w:r>
          </w:p>
        </w:tc>
        <w:tc>
          <w:tcPr>
            <w:tcW w:w="993" w:type="dxa"/>
            <w:tcBorders>
              <w:top w:val="nil"/>
              <w:left w:val="nil"/>
              <w:bottom w:val="single" w:sz="4" w:space="0" w:color="auto"/>
              <w:right w:val="nil"/>
            </w:tcBorders>
            <w:shd w:val="clear" w:color="auto" w:fill="auto"/>
            <w:hideMark/>
          </w:tcPr>
          <w:p w14:paraId="2EAEBB9D"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29</w:t>
            </w:r>
          </w:p>
        </w:tc>
        <w:tc>
          <w:tcPr>
            <w:tcW w:w="1559" w:type="dxa"/>
            <w:tcBorders>
              <w:top w:val="nil"/>
              <w:left w:val="single" w:sz="4" w:space="0" w:color="auto"/>
              <w:bottom w:val="single" w:sz="4" w:space="0" w:color="auto"/>
              <w:right w:val="single" w:sz="4" w:space="0" w:color="auto"/>
            </w:tcBorders>
            <w:shd w:val="clear" w:color="auto" w:fill="auto"/>
            <w:hideMark/>
          </w:tcPr>
          <w:p w14:paraId="00603B2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65477</w:t>
            </w:r>
          </w:p>
        </w:tc>
        <w:tc>
          <w:tcPr>
            <w:tcW w:w="1603" w:type="dxa"/>
            <w:tcBorders>
              <w:top w:val="nil"/>
              <w:left w:val="nil"/>
              <w:bottom w:val="single" w:sz="4" w:space="0" w:color="auto"/>
              <w:right w:val="single" w:sz="4" w:space="0" w:color="auto"/>
            </w:tcBorders>
            <w:shd w:val="clear" w:color="auto" w:fill="auto"/>
            <w:hideMark/>
          </w:tcPr>
          <w:p w14:paraId="06C8D9E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64905</w:t>
            </w:r>
          </w:p>
        </w:tc>
      </w:tr>
      <w:tr w:rsidR="0032004C" w:rsidRPr="00B7675F" w14:paraId="65CFB8F8"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A83112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1372684"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capitolul 1  (rd.05+rd.14+rd.18+rd.25+rd.29)</w:t>
            </w:r>
          </w:p>
        </w:tc>
        <w:tc>
          <w:tcPr>
            <w:tcW w:w="993" w:type="dxa"/>
            <w:tcBorders>
              <w:top w:val="nil"/>
              <w:left w:val="nil"/>
              <w:bottom w:val="single" w:sz="4" w:space="0" w:color="auto"/>
              <w:right w:val="nil"/>
            </w:tcBorders>
            <w:shd w:val="clear" w:color="auto" w:fill="auto"/>
            <w:hideMark/>
          </w:tcPr>
          <w:p w14:paraId="6BCD8C1D"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30</w:t>
            </w:r>
          </w:p>
        </w:tc>
        <w:tc>
          <w:tcPr>
            <w:tcW w:w="1559" w:type="dxa"/>
            <w:tcBorders>
              <w:top w:val="nil"/>
              <w:left w:val="single" w:sz="4" w:space="0" w:color="auto"/>
              <w:bottom w:val="single" w:sz="4" w:space="0" w:color="auto"/>
              <w:right w:val="single" w:sz="4" w:space="0" w:color="auto"/>
            </w:tcBorders>
            <w:shd w:val="clear" w:color="auto" w:fill="auto"/>
            <w:hideMark/>
          </w:tcPr>
          <w:p w14:paraId="47851F9C"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2381849358</w:t>
            </w:r>
          </w:p>
        </w:tc>
        <w:tc>
          <w:tcPr>
            <w:tcW w:w="1603" w:type="dxa"/>
            <w:tcBorders>
              <w:top w:val="nil"/>
              <w:left w:val="nil"/>
              <w:bottom w:val="single" w:sz="4" w:space="0" w:color="auto"/>
              <w:right w:val="single" w:sz="4" w:space="0" w:color="auto"/>
            </w:tcBorders>
            <w:shd w:val="clear" w:color="auto" w:fill="auto"/>
            <w:hideMark/>
          </w:tcPr>
          <w:p w14:paraId="591A6CE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2174620024</w:t>
            </w:r>
          </w:p>
        </w:tc>
      </w:tr>
      <w:tr w:rsidR="0032004C" w:rsidRPr="00B7675F" w14:paraId="0311B6C7"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CF7FC0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w:t>
            </w:r>
          </w:p>
        </w:tc>
        <w:tc>
          <w:tcPr>
            <w:tcW w:w="4924" w:type="dxa"/>
            <w:tcBorders>
              <w:top w:val="nil"/>
              <w:left w:val="nil"/>
              <w:bottom w:val="single" w:sz="4" w:space="0" w:color="auto"/>
              <w:right w:val="single" w:sz="4" w:space="0" w:color="auto"/>
            </w:tcBorders>
            <w:shd w:val="clear" w:color="auto" w:fill="auto"/>
            <w:hideMark/>
          </w:tcPr>
          <w:p w14:paraId="008B7A26"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ACTIVE PE TERMEN LUNG </w:t>
            </w:r>
          </w:p>
        </w:tc>
        <w:tc>
          <w:tcPr>
            <w:tcW w:w="993" w:type="dxa"/>
            <w:tcBorders>
              <w:top w:val="nil"/>
              <w:left w:val="nil"/>
              <w:bottom w:val="single" w:sz="4" w:space="0" w:color="auto"/>
              <w:right w:val="nil"/>
            </w:tcBorders>
            <w:shd w:val="clear" w:color="auto" w:fill="auto"/>
            <w:hideMark/>
          </w:tcPr>
          <w:p w14:paraId="01D9B7E2"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187015CC"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1F00F708"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3217BD1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99DA95A"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2.1</w:t>
            </w:r>
          </w:p>
        </w:tc>
        <w:tc>
          <w:tcPr>
            <w:tcW w:w="4924" w:type="dxa"/>
            <w:tcBorders>
              <w:top w:val="nil"/>
              <w:left w:val="nil"/>
              <w:bottom w:val="single" w:sz="4" w:space="0" w:color="auto"/>
              <w:right w:val="single" w:sz="4" w:space="0" w:color="auto"/>
            </w:tcBorders>
            <w:shd w:val="clear" w:color="auto" w:fill="auto"/>
            <w:hideMark/>
          </w:tcPr>
          <w:p w14:paraId="1076B49C"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Creanţe pe termen lung</w:t>
            </w:r>
          </w:p>
        </w:tc>
        <w:tc>
          <w:tcPr>
            <w:tcW w:w="993" w:type="dxa"/>
            <w:tcBorders>
              <w:top w:val="nil"/>
              <w:left w:val="nil"/>
              <w:bottom w:val="single" w:sz="4" w:space="0" w:color="auto"/>
              <w:right w:val="nil"/>
            </w:tcBorders>
            <w:shd w:val="clear" w:color="auto" w:fill="auto"/>
            <w:hideMark/>
          </w:tcPr>
          <w:p w14:paraId="34FB7B5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2EB8B5E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F27BA0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66B22A94"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3BCDCAA"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2.2</w:t>
            </w:r>
          </w:p>
        </w:tc>
        <w:tc>
          <w:tcPr>
            <w:tcW w:w="4924" w:type="dxa"/>
            <w:tcBorders>
              <w:top w:val="nil"/>
              <w:left w:val="nil"/>
              <w:bottom w:val="single" w:sz="4" w:space="0" w:color="auto"/>
              <w:right w:val="single" w:sz="4" w:space="0" w:color="auto"/>
            </w:tcBorders>
            <w:shd w:val="clear" w:color="auto" w:fill="auto"/>
            <w:hideMark/>
          </w:tcPr>
          <w:p w14:paraId="0F6A3509"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Active financiare pe termen lung</w:t>
            </w:r>
          </w:p>
        </w:tc>
        <w:tc>
          <w:tcPr>
            <w:tcW w:w="993" w:type="dxa"/>
            <w:tcBorders>
              <w:top w:val="nil"/>
              <w:left w:val="nil"/>
              <w:bottom w:val="single" w:sz="4" w:space="0" w:color="auto"/>
              <w:right w:val="nil"/>
            </w:tcBorders>
            <w:shd w:val="clear" w:color="auto" w:fill="auto"/>
            <w:hideMark/>
          </w:tcPr>
          <w:p w14:paraId="7881547C"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14931E6C"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6B02D4F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24F21B8A"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C1857F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CF47827"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s.2.2 (rd.35+rd.36+rd.37+rd.38-rd.39-rd.40+/-rd.41)</w:t>
            </w:r>
          </w:p>
        </w:tc>
        <w:tc>
          <w:tcPr>
            <w:tcW w:w="993" w:type="dxa"/>
            <w:tcBorders>
              <w:top w:val="nil"/>
              <w:left w:val="nil"/>
              <w:bottom w:val="single" w:sz="4" w:space="0" w:color="auto"/>
              <w:right w:val="nil"/>
            </w:tcBorders>
            <w:shd w:val="clear" w:color="auto" w:fill="auto"/>
            <w:hideMark/>
          </w:tcPr>
          <w:p w14:paraId="39B23195"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42</w:t>
            </w:r>
          </w:p>
        </w:tc>
        <w:tc>
          <w:tcPr>
            <w:tcW w:w="1559" w:type="dxa"/>
            <w:tcBorders>
              <w:top w:val="nil"/>
              <w:left w:val="single" w:sz="4" w:space="0" w:color="auto"/>
              <w:bottom w:val="single" w:sz="4" w:space="0" w:color="auto"/>
              <w:right w:val="single" w:sz="4" w:space="0" w:color="auto"/>
            </w:tcBorders>
            <w:shd w:val="clear" w:color="auto" w:fill="auto"/>
            <w:hideMark/>
          </w:tcPr>
          <w:p w14:paraId="0424EA9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17474A1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2DD3046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7174609"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2.3</w:t>
            </w:r>
          </w:p>
        </w:tc>
        <w:tc>
          <w:tcPr>
            <w:tcW w:w="4924" w:type="dxa"/>
            <w:tcBorders>
              <w:top w:val="nil"/>
              <w:left w:val="nil"/>
              <w:bottom w:val="single" w:sz="4" w:space="0" w:color="auto"/>
              <w:right w:val="single" w:sz="4" w:space="0" w:color="auto"/>
            </w:tcBorders>
            <w:shd w:val="clear" w:color="auto" w:fill="auto"/>
            <w:hideMark/>
          </w:tcPr>
          <w:p w14:paraId="52E6BD5B"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Active materiale pe termen lung</w:t>
            </w:r>
          </w:p>
        </w:tc>
        <w:tc>
          <w:tcPr>
            <w:tcW w:w="993" w:type="dxa"/>
            <w:tcBorders>
              <w:top w:val="nil"/>
              <w:left w:val="nil"/>
              <w:bottom w:val="single" w:sz="4" w:space="0" w:color="auto"/>
              <w:right w:val="nil"/>
            </w:tcBorders>
            <w:shd w:val="clear" w:color="auto" w:fill="auto"/>
            <w:hideMark/>
          </w:tcPr>
          <w:p w14:paraId="78FB3016"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5770A8A3"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18025DB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33CFAA3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35D0770"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2F31E9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Terenuri (221)</w:t>
            </w:r>
          </w:p>
        </w:tc>
        <w:tc>
          <w:tcPr>
            <w:tcW w:w="993" w:type="dxa"/>
            <w:tcBorders>
              <w:top w:val="nil"/>
              <w:left w:val="nil"/>
              <w:bottom w:val="single" w:sz="4" w:space="0" w:color="auto"/>
              <w:right w:val="nil"/>
            </w:tcBorders>
            <w:shd w:val="clear" w:color="auto" w:fill="auto"/>
            <w:hideMark/>
          </w:tcPr>
          <w:p w14:paraId="73EA5F73"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43</w:t>
            </w:r>
          </w:p>
        </w:tc>
        <w:tc>
          <w:tcPr>
            <w:tcW w:w="1559" w:type="dxa"/>
            <w:tcBorders>
              <w:top w:val="nil"/>
              <w:left w:val="single" w:sz="4" w:space="0" w:color="auto"/>
              <w:bottom w:val="single" w:sz="4" w:space="0" w:color="auto"/>
              <w:right w:val="single" w:sz="4" w:space="0" w:color="auto"/>
            </w:tcBorders>
            <w:shd w:val="clear" w:color="auto" w:fill="auto"/>
            <w:hideMark/>
          </w:tcPr>
          <w:p w14:paraId="015CA6B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12039141</w:t>
            </w:r>
          </w:p>
        </w:tc>
        <w:tc>
          <w:tcPr>
            <w:tcW w:w="1603" w:type="dxa"/>
            <w:tcBorders>
              <w:top w:val="nil"/>
              <w:left w:val="nil"/>
              <w:bottom w:val="single" w:sz="4" w:space="0" w:color="auto"/>
              <w:right w:val="single" w:sz="4" w:space="0" w:color="auto"/>
            </w:tcBorders>
            <w:shd w:val="clear" w:color="auto" w:fill="auto"/>
            <w:hideMark/>
          </w:tcPr>
          <w:p w14:paraId="5A741ED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12039141</w:t>
            </w:r>
          </w:p>
        </w:tc>
      </w:tr>
      <w:tr w:rsidR="0032004C" w:rsidRPr="00B7675F" w14:paraId="0F607B65"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0C30229"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436BF7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Mijloace fixe (222)</w:t>
            </w:r>
          </w:p>
        </w:tc>
        <w:tc>
          <w:tcPr>
            <w:tcW w:w="993" w:type="dxa"/>
            <w:tcBorders>
              <w:top w:val="nil"/>
              <w:left w:val="nil"/>
              <w:bottom w:val="single" w:sz="4" w:space="0" w:color="auto"/>
              <w:right w:val="nil"/>
            </w:tcBorders>
            <w:shd w:val="clear" w:color="auto" w:fill="auto"/>
            <w:hideMark/>
          </w:tcPr>
          <w:p w14:paraId="135C8A55"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44</w:t>
            </w:r>
          </w:p>
        </w:tc>
        <w:tc>
          <w:tcPr>
            <w:tcW w:w="1559" w:type="dxa"/>
            <w:tcBorders>
              <w:top w:val="nil"/>
              <w:left w:val="single" w:sz="4" w:space="0" w:color="auto"/>
              <w:bottom w:val="single" w:sz="4" w:space="0" w:color="auto"/>
              <w:right w:val="single" w:sz="4" w:space="0" w:color="auto"/>
            </w:tcBorders>
            <w:shd w:val="clear" w:color="auto" w:fill="auto"/>
            <w:hideMark/>
          </w:tcPr>
          <w:p w14:paraId="60339EA4"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221482357</w:t>
            </w:r>
          </w:p>
        </w:tc>
        <w:tc>
          <w:tcPr>
            <w:tcW w:w="1603" w:type="dxa"/>
            <w:tcBorders>
              <w:top w:val="nil"/>
              <w:left w:val="nil"/>
              <w:bottom w:val="single" w:sz="4" w:space="0" w:color="auto"/>
              <w:right w:val="single" w:sz="4" w:space="0" w:color="auto"/>
            </w:tcBorders>
            <w:shd w:val="clear" w:color="auto" w:fill="auto"/>
            <w:hideMark/>
          </w:tcPr>
          <w:p w14:paraId="3759E98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216283557</w:t>
            </w:r>
          </w:p>
        </w:tc>
      </w:tr>
      <w:tr w:rsidR="0032004C" w:rsidRPr="00B7675F" w14:paraId="741CCE7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36A90A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A3B6082"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Active materiale în curs de execuţie (223)</w:t>
            </w:r>
          </w:p>
        </w:tc>
        <w:tc>
          <w:tcPr>
            <w:tcW w:w="993" w:type="dxa"/>
            <w:tcBorders>
              <w:top w:val="nil"/>
              <w:left w:val="nil"/>
              <w:bottom w:val="single" w:sz="4" w:space="0" w:color="auto"/>
              <w:right w:val="nil"/>
            </w:tcBorders>
            <w:shd w:val="clear" w:color="auto" w:fill="auto"/>
            <w:hideMark/>
          </w:tcPr>
          <w:p w14:paraId="42F223E8"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45</w:t>
            </w:r>
          </w:p>
        </w:tc>
        <w:tc>
          <w:tcPr>
            <w:tcW w:w="1559" w:type="dxa"/>
            <w:tcBorders>
              <w:top w:val="nil"/>
              <w:left w:val="single" w:sz="4" w:space="0" w:color="auto"/>
              <w:bottom w:val="single" w:sz="4" w:space="0" w:color="auto"/>
              <w:right w:val="single" w:sz="4" w:space="0" w:color="auto"/>
            </w:tcBorders>
            <w:shd w:val="clear" w:color="auto" w:fill="auto"/>
            <w:hideMark/>
          </w:tcPr>
          <w:p w14:paraId="5E585C7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EE00B4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46CB674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02AD128"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5A6981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Uzura mijloacelor fixe (-) (224)</w:t>
            </w:r>
          </w:p>
        </w:tc>
        <w:tc>
          <w:tcPr>
            <w:tcW w:w="993" w:type="dxa"/>
            <w:tcBorders>
              <w:top w:val="nil"/>
              <w:left w:val="nil"/>
              <w:bottom w:val="single" w:sz="4" w:space="0" w:color="auto"/>
              <w:right w:val="nil"/>
            </w:tcBorders>
            <w:shd w:val="clear" w:color="auto" w:fill="auto"/>
            <w:hideMark/>
          </w:tcPr>
          <w:p w14:paraId="73266D4B"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46</w:t>
            </w:r>
          </w:p>
        </w:tc>
        <w:tc>
          <w:tcPr>
            <w:tcW w:w="1559" w:type="dxa"/>
            <w:tcBorders>
              <w:top w:val="nil"/>
              <w:left w:val="single" w:sz="4" w:space="0" w:color="auto"/>
              <w:bottom w:val="single" w:sz="4" w:space="0" w:color="auto"/>
              <w:right w:val="single" w:sz="4" w:space="0" w:color="auto"/>
            </w:tcBorders>
            <w:shd w:val="clear" w:color="auto" w:fill="auto"/>
            <w:hideMark/>
          </w:tcPr>
          <w:p w14:paraId="243BD18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-111998117</w:t>
            </w:r>
          </w:p>
        </w:tc>
        <w:tc>
          <w:tcPr>
            <w:tcW w:w="1603" w:type="dxa"/>
            <w:tcBorders>
              <w:top w:val="nil"/>
              <w:left w:val="nil"/>
              <w:bottom w:val="single" w:sz="4" w:space="0" w:color="auto"/>
              <w:right w:val="single" w:sz="4" w:space="0" w:color="auto"/>
            </w:tcBorders>
            <w:shd w:val="clear" w:color="auto" w:fill="auto"/>
            <w:hideMark/>
          </w:tcPr>
          <w:p w14:paraId="25E1141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-106345472</w:t>
            </w:r>
          </w:p>
        </w:tc>
      </w:tr>
      <w:tr w:rsidR="0032004C" w:rsidRPr="00B7675F" w14:paraId="32B51917"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445005C"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662B716E"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s.2.3 (rd.43+rd.44+rd.45-rd.46)</w:t>
            </w:r>
          </w:p>
        </w:tc>
        <w:tc>
          <w:tcPr>
            <w:tcW w:w="993" w:type="dxa"/>
            <w:tcBorders>
              <w:top w:val="nil"/>
              <w:left w:val="nil"/>
              <w:bottom w:val="single" w:sz="4" w:space="0" w:color="auto"/>
              <w:right w:val="nil"/>
            </w:tcBorders>
            <w:shd w:val="clear" w:color="auto" w:fill="auto"/>
            <w:hideMark/>
          </w:tcPr>
          <w:p w14:paraId="2BAB8904"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47</w:t>
            </w:r>
          </w:p>
        </w:tc>
        <w:tc>
          <w:tcPr>
            <w:tcW w:w="1559" w:type="dxa"/>
            <w:tcBorders>
              <w:top w:val="nil"/>
              <w:left w:val="single" w:sz="4" w:space="0" w:color="auto"/>
              <w:bottom w:val="single" w:sz="4" w:space="0" w:color="auto"/>
              <w:right w:val="single" w:sz="4" w:space="0" w:color="auto"/>
            </w:tcBorders>
            <w:shd w:val="clear" w:color="auto" w:fill="auto"/>
            <w:hideMark/>
          </w:tcPr>
          <w:p w14:paraId="6EB4223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121523381</w:t>
            </w:r>
          </w:p>
        </w:tc>
        <w:tc>
          <w:tcPr>
            <w:tcW w:w="1603" w:type="dxa"/>
            <w:tcBorders>
              <w:top w:val="nil"/>
              <w:left w:val="nil"/>
              <w:bottom w:val="single" w:sz="4" w:space="0" w:color="auto"/>
              <w:right w:val="single" w:sz="4" w:space="0" w:color="auto"/>
            </w:tcBorders>
            <w:shd w:val="clear" w:color="auto" w:fill="auto"/>
            <w:hideMark/>
          </w:tcPr>
          <w:p w14:paraId="0F906D1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121977226</w:t>
            </w:r>
          </w:p>
        </w:tc>
      </w:tr>
      <w:tr w:rsidR="0032004C" w:rsidRPr="00B7675F" w14:paraId="2BFC6564"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890611E"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2.4</w:t>
            </w:r>
          </w:p>
        </w:tc>
        <w:tc>
          <w:tcPr>
            <w:tcW w:w="4924" w:type="dxa"/>
            <w:tcBorders>
              <w:top w:val="nil"/>
              <w:left w:val="nil"/>
              <w:bottom w:val="single" w:sz="4" w:space="0" w:color="auto"/>
              <w:right w:val="single" w:sz="4" w:space="0" w:color="auto"/>
            </w:tcBorders>
            <w:shd w:val="clear" w:color="auto" w:fill="auto"/>
            <w:hideMark/>
          </w:tcPr>
          <w:p w14:paraId="05EAACF8"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Active nemateriale</w:t>
            </w:r>
          </w:p>
        </w:tc>
        <w:tc>
          <w:tcPr>
            <w:tcW w:w="993" w:type="dxa"/>
            <w:tcBorders>
              <w:top w:val="nil"/>
              <w:left w:val="nil"/>
              <w:bottom w:val="single" w:sz="4" w:space="0" w:color="auto"/>
              <w:right w:val="nil"/>
            </w:tcBorders>
            <w:shd w:val="clear" w:color="auto" w:fill="auto"/>
            <w:hideMark/>
          </w:tcPr>
          <w:p w14:paraId="16FA5D3E"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1DD7E16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DEDEF2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39C9272B"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CCA660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4BB9C774"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Active nemateriale (231)</w:t>
            </w:r>
          </w:p>
        </w:tc>
        <w:tc>
          <w:tcPr>
            <w:tcW w:w="993" w:type="dxa"/>
            <w:tcBorders>
              <w:top w:val="nil"/>
              <w:left w:val="nil"/>
              <w:bottom w:val="single" w:sz="4" w:space="0" w:color="auto"/>
              <w:right w:val="nil"/>
            </w:tcBorders>
            <w:shd w:val="clear" w:color="auto" w:fill="auto"/>
            <w:hideMark/>
          </w:tcPr>
          <w:p w14:paraId="312598F7"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48</w:t>
            </w:r>
          </w:p>
        </w:tc>
        <w:tc>
          <w:tcPr>
            <w:tcW w:w="1559" w:type="dxa"/>
            <w:tcBorders>
              <w:top w:val="nil"/>
              <w:left w:val="single" w:sz="4" w:space="0" w:color="auto"/>
              <w:bottom w:val="single" w:sz="4" w:space="0" w:color="auto"/>
              <w:right w:val="single" w:sz="4" w:space="0" w:color="auto"/>
            </w:tcBorders>
            <w:shd w:val="clear" w:color="auto" w:fill="auto"/>
            <w:hideMark/>
          </w:tcPr>
          <w:p w14:paraId="0A69FDD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87714247</w:t>
            </w:r>
          </w:p>
        </w:tc>
        <w:tc>
          <w:tcPr>
            <w:tcW w:w="1603" w:type="dxa"/>
            <w:tcBorders>
              <w:top w:val="nil"/>
              <w:left w:val="nil"/>
              <w:bottom w:val="single" w:sz="4" w:space="0" w:color="auto"/>
              <w:right w:val="single" w:sz="4" w:space="0" w:color="auto"/>
            </w:tcBorders>
            <w:shd w:val="clear" w:color="auto" w:fill="auto"/>
            <w:hideMark/>
          </w:tcPr>
          <w:p w14:paraId="1F3B1CB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84558651</w:t>
            </w:r>
          </w:p>
        </w:tc>
      </w:tr>
      <w:tr w:rsidR="0032004C" w:rsidRPr="00B7675F" w14:paraId="064D577C"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4F0672C"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45B2F8EC"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Active nemateriale în curs de execuţie (232)</w:t>
            </w:r>
          </w:p>
        </w:tc>
        <w:tc>
          <w:tcPr>
            <w:tcW w:w="993" w:type="dxa"/>
            <w:tcBorders>
              <w:top w:val="nil"/>
              <w:left w:val="nil"/>
              <w:bottom w:val="single" w:sz="4" w:space="0" w:color="auto"/>
              <w:right w:val="nil"/>
            </w:tcBorders>
            <w:shd w:val="clear" w:color="auto" w:fill="auto"/>
            <w:hideMark/>
          </w:tcPr>
          <w:p w14:paraId="7E044BF9"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49</w:t>
            </w:r>
          </w:p>
        </w:tc>
        <w:tc>
          <w:tcPr>
            <w:tcW w:w="1559" w:type="dxa"/>
            <w:tcBorders>
              <w:top w:val="nil"/>
              <w:left w:val="single" w:sz="4" w:space="0" w:color="auto"/>
              <w:bottom w:val="single" w:sz="4" w:space="0" w:color="auto"/>
              <w:right w:val="single" w:sz="4" w:space="0" w:color="auto"/>
            </w:tcBorders>
            <w:shd w:val="clear" w:color="auto" w:fill="auto"/>
            <w:hideMark/>
          </w:tcPr>
          <w:p w14:paraId="05E3924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066FB3B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76F83A38"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021DCC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E1FA8FF"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Amortizarea activelor nemateriale (-) (233)</w:t>
            </w:r>
          </w:p>
        </w:tc>
        <w:tc>
          <w:tcPr>
            <w:tcW w:w="993" w:type="dxa"/>
            <w:tcBorders>
              <w:top w:val="nil"/>
              <w:left w:val="nil"/>
              <w:bottom w:val="single" w:sz="4" w:space="0" w:color="auto"/>
              <w:right w:val="nil"/>
            </w:tcBorders>
            <w:shd w:val="clear" w:color="auto" w:fill="auto"/>
            <w:hideMark/>
          </w:tcPr>
          <w:p w14:paraId="6FA2E4EC"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50</w:t>
            </w:r>
          </w:p>
        </w:tc>
        <w:tc>
          <w:tcPr>
            <w:tcW w:w="1559" w:type="dxa"/>
            <w:tcBorders>
              <w:top w:val="nil"/>
              <w:left w:val="single" w:sz="4" w:space="0" w:color="auto"/>
              <w:bottom w:val="single" w:sz="4" w:space="0" w:color="auto"/>
              <w:right w:val="single" w:sz="4" w:space="0" w:color="auto"/>
            </w:tcBorders>
            <w:shd w:val="clear" w:color="auto" w:fill="auto"/>
            <w:hideMark/>
          </w:tcPr>
          <w:p w14:paraId="57352AF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-85772651</w:t>
            </w:r>
          </w:p>
        </w:tc>
        <w:tc>
          <w:tcPr>
            <w:tcW w:w="1603" w:type="dxa"/>
            <w:tcBorders>
              <w:top w:val="nil"/>
              <w:left w:val="nil"/>
              <w:bottom w:val="single" w:sz="4" w:space="0" w:color="auto"/>
              <w:right w:val="single" w:sz="4" w:space="0" w:color="auto"/>
            </w:tcBorders>
            <w:shd w:val="clear" w:color="auto" w:fill="auto"/>
            <w:hideMark/>
          </w:tcPr>
          <w:p w14:paraId="2DBE420A"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-82537656</w:t>
            </w:r>
          </w:p>
        </w:tc>
      </w:tr>
      <w:tr w:rsidR="0032004C" w:rsidRPr="00B7675F" w14:paraId="5812626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BDE663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E0406CD"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s.2.4 (rd.48+rd.49-rd.50)</w:t>
            </w:r>
          </w:p>
        </w:tc>
        <w:tc>
          <w:tcPr>
            <w:tcW w:w="993" w:type="dxa"/>
            <w:tcBorders>
              <w:top w:val="nil"/>
              <w:left w:val="nil"/>
              <w:bottom w:val="single" w:sz="4" w:space="0" w:color="auto"/>
              <w:right w:val="nil"/>
            </w:tcBorders>
            <w:shd w:val="clear" w:color="auto" w:fill="auto"/>
            <w:hideMark/>
          </w:tcPr>
          <w:p w14:paraId="4B85B080"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51</w:t>
            </w:r>
          </w:p>
        </w:tc>
        <w:tc>
          <w:tcPr>
            <w:tcW w:w="1559" w:type="dxa"/>
            <w:tcBorders>
              <w:top w:val="nil"/>
              <w:left w:val="single" w:sz="4" w:space="0" w:color="auto"/>
              <w:bottom w:val="single" w:sz="4" w:space="0" w:color="auto"/>
              <w:right w:val="single" w:sz="4" w:space="0" w:color="auto"/>
            </w:tcBorders>
            <w:shd w:val="clear" w:color="auto" w:fill="auto"/>
            <w:hideMark/>
          </w:tcPr>
          <w:p w14:paraId="62D10A05"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1941596</w:t>
            </w:r>
          </w:p>
        </w:tc>
        <w:tc>
          <w:tcPr>
            <w:tcW w:w="1603" w:type="dxa"/>
            <w:tcBorders>
              <w:top w:val="nil"/>
              <w:left w:val="nil"/>
              <w:bottom w:val="single" w:sz="4" w:space="0" w:color="auto"/>
              <w:right w:val="single" w:sz="4" w:space="0" w:color="auto"/>
            </w:tcBorders>
            <w:shd w:val="clear" w:color="auto" w:fill="auto"/>
            <w:hideMark/>
          </w:tcPr>
          <w:p w14:paraId="087A54C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2020995</w:t>
            </w:r>
          </w:p>
        </w:tc>
      </w:tr>
      <w:tr w:rsidR="0032004C" w:rsidRPr="00B7675F" w14:paraId="39E6135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454FD27"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B8099C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capitolul 2 (rd.34+rd.42+rd.47+rd.51)</w:t>
            </w:r>
          </w:p>
        </w:tc>
        <w:tc>
          <w:tcPr>
            <w:tcW w:w="993" w:type="dxa"/>
            <w:tcBorders>
              <w:top w:val="nil"/>
              <w:left w:val="nil"/>
              <w:bottom w:val="single" w:sz="4" w:space="0" w:color="auto"/>
              <w:right w:val="nil"/>
            </w:tcBorders>
            <w:shd w:val="clear" w:color="auto" w:fill="auto"/>
            <w:hideMark/>
          </w:tcPr>
          <w:p w14:paraId="6F996F77"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52</w:t>
            </w:r>
          </w:p>
        </w:tc>
        <w:tc>
          <w:tcPr>
            <w:tcW w:w="1559" w:type="dxa"/>
            <w:tcBorders>
              <w:top w:val="nil"/>
              <w:left w:val="single" w:sz="4" w:space="0" w:color="auto"/>
              <w:bottom w:val="single" w:sz="4" w:space="0" w:color="auto"/>
              <w:right w:val="single" w:sz="4" w:space="0" w:color="auto"/>
            </w:tcBorders>
            <w:shd w:val="clear" w:color="auto" w:fill="auto"/>
            <w:hideMark/>
          </w:tcPr>
          <w:p w14:paraId="6C561D3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123464977</w:t>
            </w:r>
          </w:p>
        </w:tc>
        <w:tc>
          <w:tcPr>
            <w:tcW w:w="1603" w:type="dxa"/>
            <w:tcBorders>
              <w:top w:val="nil"/>
              <w:left w:val="nil"/>
              <w:bottom w:val="single" w:sz="4" w:space="0" w:color="auto"/>
              <w:right w:val="single" w:sz="4" w:space="0" w:color="auto"/>
            </w:tcBorders>
            <w:shd w:val="clear" w:color="auto" w:fill="auto"/>
            <w:hideMark/>
          </w:tcPr>
          <w:p w14:paraId="3EAACF7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123998221</w:t>
            </w:r>
          </w:p>
        </w:tc>
      </w:tr>
      <w:tr w:rsidR="0032004C" w:rsidRPr="00B7675F" w14:paraId="1E31756B"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A82091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9A4830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GENERAL-ACTIV (rd.30+rd.52)</w:t>
            </w:r>
          </w:p>
        </w:tc>
        <w:tc>
          <w:tcPr>
            <w:tcW w:w="993" w:type="dxa"/>
            <w:tcBorders>
              <w:top w:val="nil"/>
              <w:left w:val="nil"/>
              <w:bottom w:val="single" w:sz="4" w:space="0" w:color="auto"/>
              <w:right w:val="nil"/>
            </w:tcBorders>
            <w:shd w:val="clear" w:color="auto" w:fill="auto"/>
            <w:hideMark/>
          </w:tcPr>
          <w:p w14:paraId="3744DB5F"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53</w:t>
            </w:r>
          </w:p>
        </w:tc>
        <w:tc>
          <w:tcPr>
            <w:tcW w:w="1559" w:type="dxa"/>
            <w:tcBorders>
              <w:top w:val="nil"/>
              <w:left w:val="single" w:sz="4" w:space="0" w:color="auto"/>
              <w:bottom w:val="single" w:sz="4" w:space="0" w:color="auto"/>
              <w:right w:val="single" w:sz="4" w:space="0" w:color="auto"/>
            </w:tcBorders>
            <w:shd w:val="clear" w:color="auto" w:fill="auto"/>
            <w:hideMark/>
          </w:tcPr>
          <w:p w14:paraId="67A0AE57"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2505314335</w:t>
            </w:r>
          </w:p>
        </w:tc>
        <w:tc>
          <w:tcPr>
            <w:tcW w:w="1603" w:type="dxa"/>
            <w:tcBorders>
              <w:top w:val="nil"/>
              <w:left w:val="nil"/>
              <w:bottom w:val="single" w:sz="4" w:space="0" w:color="auto"/>
              <w:right w:val="single" w:sz="4" w:space="0" w:color="auto"/>
            </w:tcBorders>
            <w:shd w:val="clear" w:color="auto" w:fill="auto"/>
            <w:hideMark/>
          </w:tcPr>
          <w:p w14:paraId="1A4D2FDA"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2298618245</w:t>
            </w:r>
          </w:p>
        </w:tc>
      </w:tr>
      <w:tr w:rsidR="0032004C" w:rsidRPr="00B7675F" w14:paraId="736F49A2"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A725EB0"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40A77774"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PASIV</w:t>
            </w:r>
          </w:p>
        </w:tc>
        <w:tc>
          <w:tcPr>
            <w:tcW w:w="993" w:type="dxa"/>
            <w:tcBorders>
              <w:top w:val="nil"/>
              <w:left w:val="nil"/>
              <w:bottom w:val="single" w:sz="4" w:space="0" w:color="auto"/>
              <w:right w:val="nil"/>
            </w:tcBorders>
            <w:shd w:val="clear" w:color="auto" w:fill="auto"/>
            <w:hideMark/>
          </w:tcPr>
          <w:p w14:paraId="739E7E18"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2258609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337D92A3"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156DDAB2"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F68C49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w:t>
            </w:r>
          </w:p>
        </w:tc>
        <w:tc>
          <w:tcPr>
            <w:tcW w:w="4924" w:type="dxa"/>
            <w:tcBorders>
              <w:top w:val="nil"/>
              <w:left w:val="nil"/>
              <w:bottom w:val="single" w:sz="4" w:space="0" w:color="auto"/>
              <w:right w:val="single" w:sz="4" w:space="0" w:color="auto"/>
            </w:tcBorders>
            <w:shd w:val="clear" w:color="auto" w:fill="auto"/>
            <w:hideMark/>
          </w:tcPr>
          <w:p w14:paraId="414993C4"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DATORII PE TERMEN SCURT</w:t>
            </w:r>
          </w:p>
        </w:tc>
        <w:tc>
          <w:tcPr>
            <w:tcW w:w="993" w:type="dxa"/>
            <w:tcBorders>
              <w:top w:val="nil"/>
              <w:left w:val="nil"/>
              <w:bottom w:val="single" w:sz="4" w:space="0" w:color="auto"/>
              <w:right w:val="nil"/>
            </w:tcBorders>
            <w:shd w:val="clear" w:color="auto" w:fill="auto"/>
            <w:hideMark/>
          </w:tcPr>
          <w:p w14:paraId="3EB69CAC"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7EA53D7C"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2434B76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4A69F09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26B891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3.1</w:t>
            </w:r>
          </w:p>
        </w:tc>
        <w:tc>
          <w:tcPr>
            <w:tcW w:w="4924" w:type="dxa"/>
            <w:tcBorders>
              <w:top w:val="nil"/>
              <w:left w:val="nil"/>
              <w:bottom w:val="single" w:sz="4" w:space="0" w:color="auto"/>
              <w:right w:val="single" w:sz="4" w:space="0" w:color="auto"/>
            </w:tcBorders>
            <w:shd w:val="clear" w:color="auto" w:fill="auto"/>
            <w:hideMark/>
          </w:tcPr>
          <w:p w14:paraId="62767066"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Datorii pe termen scurt calculate</w:t>
            </w:r>
          </w:p>
        </w:tc>
        <w:tc>
          <w:tcPr>
            <w:tcW w:w="993" w:type="dxa"/>
            <w:tcBorders>
              <w:top w:val="nil"/>
              <w:left w:val="nil"/>
              <w:bottom w:val="single" w:sz="4" w:space="0" w:color="auto"/>
              <w:right w:val="nil"/>
            </w:tcBorders>
            <w:shd w:val="clear" w:color="auto" w:fill="auto"/>
            <w:hideMark/>
          </w:tcPr>
          <w:p w14:paraId="74C2D25E"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710D4DC4"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266D4E84"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62301C64"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D4004D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C0644C1"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faţă de pensionari privind plata pensiilor şi indemnizaţiilor  (301)</w:t>
            </w:r>
          </w:p>
        </w:tc>
        <w:tc>
          <w:tcPr>
            <w:tcW w:w="993" w:type="dxa"/>
            <w:tcBorders>
              <w:top w:val="nil"/>
              <w:left w:val="nil"/>
              <w:bottom w:val="single" w:sz="4" w:space="0" w:color="auto"/>
              <w:right w:val="nil"/>
            </w:tcBorders>
            <w:shd w:val="clear" w:color="auto" w:fill="auto"/>
            <w:hideMark/>
          </w:tcPr>
          <w:p w14:paraId="1788971A"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54</w:t>
            </w:r>
          </w:p>
        </w:tc>
        <w:tc>
          <w:tcPr>
            <w:tcW w:w="1559" w:type="dxa"/>
            <w:tcBorders>
              <w:top w:val="nil"/>
              <w:left w:val="single" w:sz="4" w:space="0" w:color="auto"/>
              <w:bottom w:val="single" w:sz="4" w:space="0" w:color="auto"/>
              <w:right w:val="single" w:sz="4" w:space="0" w:color="auto"/>
            </w:tcBorders>
            <w:shd w:val="clear" w:color="auto" w:fill="auto"/>
            <w:hideMark/>
          </w:tcPr>
          <w:p w14:paraId="6E19850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33780714</w:t>
            </w:r>
          </w:p>
        </w:tc>
        <w:tc>
          <w:tcPr>
            <w:tcW w:w="1603" w:type="dxa"/>
            <w:tcBorders>
              <w:top w:val="nil"/>
              <w:left w:val="nil"/>
              <w:bottom w:val="single" w:sz="4" w:space="0" w:color="auto"/>
              <w:right w:val="single" w:sz="4" w:space="0" w:color="auto"/>
            </w:tcBorders>
            <w:shd w:val="clear" w:color="auto" w:fill="auto"/>
            <w:hideMark/>
          </w:tcPr>
          <w:p w14:paraId="641058E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28493774</w:t>
            </w:r>
          </w:p>
        </w:tc>
      </w:tr>
      <w:tr w:rsidR="0032004C" w:rsidRPr="00B7675F" w14:paraId="2FCDF61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ABE0D2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80C8A49"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plata indemnizaţiilor şi compensaţiilor familiilor cu copii (302)</w:t>
            </w:r>
          </w:p>
        </w:tc>
        <w:tc>
          <w:tcPr>
            <w:tcW w:w="993" w:type="dxa"/>
            <w:tcBorders>
              <w:top w:val="nil"/>
              <w:left w:val="nil"/>
              <w:bottom w:val="single" w:sz="4" w:space="0" w:color="auto"/>
              <w:right w:val="nil"/>
            </w:tcBorders>
            <w:shd w:val="clear" w:color="auto" w:fill="auto"/>
            <w:hideMark/>
          </w:tcPr>
          <w:p w14:paraId="3421CD90"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55</w:t>
            </w:r>
          </w:p>
        </w:tc>
        <w:tc>
          <w:tcPr>
            <w:tcW w:w="1559" w:type="dxa"/>
            <w:tcBorders>
              <w:top w:val="nil"/>
              <w:left w:val="single" w:sz="4" w:space="0" w:color="auto"/>
              <w:bottom w:val="single" w:sz="4" w:space="0" w:color="auto"/>
              <w:right w:val="single" w:sz="4" w:space="0" w:color="auto"/>
            </w:tcBorders>
            <w:shd w:val="clear" w:color="auto" w:fill="auto"/>
            <w:hideMark/>
          </w:tcPr>
          <w:p w14:paraId="0FD7EC4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2964060</w:t>
            </w:r>
          </w:p>
        </w:tc>
        <w:tc>
          <w:tcPr>
            <w:tcW w:w="1603" w:type="dxa"/>
            <w:tcBorders>
              <w:top w:val="nil"/>
              <w:left w:val="nil"/>
              <w:bottom w:val="single" w:sz="4" w:space="0" w:color="auto"/>
              <w:right w:val="single" w:sz="4" w:space="0" w:color="auto"/>
            </w:tcBorders>
            <w:shd w:val="clear" w:color="auto" w:fill="auto"/>
            <w:hideMark/>
          </w:tcPr>
          <w:p w14:paraId="698F0C0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2698689</w:t>
            </w:r>
          </w:p>
        </w:tc>
      </w:tr>
      <w:tr w:rsidR="0032004C" w:rsidRPr="00B7675F" w14:paraId="1E181635"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B658527"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0B1EBA1"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plata indemnizaţiilor de asigurări sociale salariaţilor (303)</w:t>
            </w:r>
          </w:p>
        </w:tc>
        <w:tc>
          <w:tcPr>
            <w:tcW w:w="993" w:type="dxa"/>
            <w:tcBorders>
              <w:top w:val="nil"/>
              <w:left w:val="nil"/>
              <w:bottom w:val="single" w:sz="4" w:space="0" w:color="auto"/>
              <w:right w:val="nil"/>
            </w:tcBorders>
            <w:shd w:val="clear" w:color="auto" w:fill="auto"/>
            <w:hideMark/>
          </w:tcPr>
          <w:p w14:paraId="54A95DB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56</w:t>
            </w:r>
          </w:p>
        </w:tc>
        <w:tc>
          <w:tcPr>
            <w:tcW w:w="1559" w:type="dxa"/>
            <w:tcBorders>
              <w:top w:val="nil"/>
              <w:left w:val="single" w:sz="4" w:space="0" w:color="auto"/>
              <w:bottom w:val="single" w:sz="4" w:space="0" w:color="auto"/>
              <w:right w:val="single" w:sz="4" w:space="0" w:color="auto"/>
            </w:tcBorders>
            <w:shd w:val="clear" w:color="auto" w:fill="auto"/>
            <w:hideMark/>
          </w:tcPr>
          <w:p w14:paraId="007E559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35756573</w:t>
            </w:r>
          </w:p>
        </w:tc>
        <w:tc>
          <w:tcPr>
            <w:tcW w:w="1603" w:type="dxa"/>
            <w:tcBorders>
              <w:top w:val="nil"/>
              <w:left w:val="nil"/>
              <w:bottom w:val="single" w:sz="4" w:space="0" w:color="auto"/>
              <w:right w:val="single" w:sz="4" w:space="0" w:color="auto"/>
            </w:tcBorders>
            <w:shd w:val="clear" w:color="auto" w:fill="auto"/>
            <w:hideMark/>
          </w:tcPr>
          <w:p w14:paraId="09A51B6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53255305</w:t>
            </w:r>
          </w:p>
        </w:tc>
      </w:tr>
      <w:tr w:rsidR="0032004C" w:rsidRPr="00B7675F" w14:paraId="114ADBF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D18B68D"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81FFF66"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plata indemnizaţiilor şi compensaţiilor de asigurare socială de stat în urma accidentelor de muncă şi bolilor profesionale (304)</w:t>
            </w:r>
          </w:p>
        </w:tc>
        <w:tc>
          <w:tcPr>
            <w:tcW w:w="993" w:type="dxa"/>
            <w:tcBorders>
              <w:top w:val="nil"/>
              <w:left w:val="nil"/>
              <w:bottom w:val="single" w:sz="4" w:space="0" w:color="auto"/>
              <w:right w:val="nil"/>
            </w:tcBorders>
            <w:shd w:val="clear" w:color="auto" w:fill="auto"/>
            <w:hideMark/>
          </w:tcPr>
          <w:p w14:paraId="5E95C8C7"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57</w:t>
            </w:r>
          </w:p>
        </w:tc>
        <w:tc>
          <w:tcPr>
            <w:tcW w:w="1559" w:type="dxa"/>
            <w:tcBorders>
              <w:top w:val="nil"/>
              <w:left w:val="single" w:sz="4" w:space="0" w:color="auto"/>
              <w:bottom w:val="single" w:sz="4" w:space="0" w:color="auto"/>
              <w:right w:val="single" w:sz="4" w:space="0" w:color="auto"/>
            </w:tcBorders>
            <w:shd w:val="clear" w:color="auto" w:fill="auto"/>
            <w:hideMark/>
          </w:tcPr>
          <w:p w14:paraId="33445ED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8728</w:t>
            </w:r>
          </w:p>
        </w:tc>
        <w:tc>
          <w:tcPr>
            <w:tcW w:w="1603" w:type="dxa"/>
            <w:tcBorders>
              <w:top w:val="nil"/>
              <w:left w:val="nil"/>
              <w:bottom w:val="single" w:sz="4" w:space="0" w:color="auto"/>
              <w:right w:val="single" w:sz="4" w:space="0" w:color="auto"/>
            </w:tcBorders>
            <w:shd w:val="clear" w:color="auto" w:fill="auto"/>
            <w:hideMark/>
          </w:tcPr>
          <w:p w14:paraId="60F77B8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-11344</w:t>
            </w:r>
          </w:p>
        </w:tc>
      </w:tr>
      <w:tr w:rsidR="0032004C" w:rsidRPr="00B7675F" w14:paraId="4195C53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FE43D42"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20EFA38"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plăţile din fondul de şomaj (305)</w:t>
            </w:r>
          </w:p>
        </w:tc>
        <w:tc>
          <w:tcPr>
            <w:tcW w:w="993" w:type="dxa"/>
            <w:tcBorders>
              <w:top w:val="nil"/>
              <w:left w:val="nil"/>
              <w:bottom w:val="single" w:sz="4" w:space="0" w:color="auto"/>
              <w:right w:val="nil"/>
            </w:tcBorders>
            <w:shd w:val="clear" w:color="auto" w:fill="auto"/>
            <w:hideMark/>
          </w:tcPr>
          <w:p w14:paraId="43A23041"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58</w:t>
            </w:r>
          </w:p>
        </w:tc>
        <w:tc>
          <w:tcPr>
            <w:tcW w:w="1559" w:type="dxa"/>
            <w:tcBorders>
              <w:top w:val="nil"/>
              <w:left w:val="single" w:sz="4" w:space="0" w:color="auto"/>
              <w:bottom w:val="single" w:sz="4" w:space="0" w:color="auto"/>
              <w:right w:val="single" w:sz="4" w:space="0" w:color="auto"/>
            </w:tcBorders>
            <w:shd w:val="clear" w:color="auto" w:fill="auto"/>
            <w:hideMark/>
          </w:tcPr>
          <w:p w14:paraId="4021F578"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1003623</w:t>
            </w:r>
          </w:p>
        </w:tc>
        <w:tc>
          <w:tcPr>
            <w:tcW w:w="1603" w:type="dxa"/>
            <w:tcBorders>
              <w:top w:val="nil"/>
              <w:left w:val="nil"/>
              <w:bottom w:val="single" w:sz="4" w:space="0" w:color="auto"/>
              <w:right w:val="single" w:sz="4" w:space="0" w:color="auto"/>
            </w:tcBorders>
            <w:shd w:val="clear" w:color="auto" w:fill="auto"/>
            <w:hideMark/>
          </w:tcPr>
          <w:p w14:paraId="71D2DDD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893372</w:t>
            </w:r>
          </w:p>
        </w:tc>
      </w:tr>
      <w:tr w:rsidR="0032004C" w:rsidRPr="00B7675F" w14:paraId="7CA491B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9BAD047"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ED507B6"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plăţile de asigurare socială benevolă (306)</w:t>
            </w:r>
          </w:p>
        </w:tc>
        <w:tc>
          <w:tcPr>
            <w:tcW w:w="993" w:type="dxa"/>
            <w:tcBorders>
              <w:top w:val="nil"/>
              <w:left w:val="nil"/>
              <w:bottom w:val="single" w:sz="4" w:space="0" w:color="auto"/>
              <w:right w:val="nil"/>
            </w:tcBorders>
            <w:shd w:val="clear" w:color="auto" w:fill="auto"/>
            <w:hideMark/>
          </w:tcPr>
          <w:p w14:paraId="4D95BBBD"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59</w:t>
            </w:r>
          </w:p>
        </w:tc>
        <w:tc>
          <w:tcPr>
            <w:tcW w:w="1559" w:type="dxa"/>
            <w:tcBorders>
              <w:top w:val="nil"/>
              <w:left w:val="single" w:sz="4" w:space="0" w:color="auto"/>
              <w:bottom w:val="single" w:sz="4" w:space="0" w:color="auto"/>
              <w:right w:val="single" w:sz="4" w:space="0" w:color="auto"/>
            </w:tcBorders>
            <w:shd w:val="clear" w:color="auto" w:fill="auto"/>
            <w:hideMark/>
          </w:tcPr>
          <w:p w14:paraId="04502DC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12F92F9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03AB169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0763693"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6218883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plata  prestaţiilor de stat din bugetul de stat (307)</w:t>
            </w:r>
          </w:p>
        </w:tc>
        <w:tc>
          <w:tcPr>
            <w:tcW w:w="993" w:type="dxa"/>
            <w:tcBorders>
              <w:top w:val="nil"/>
              <w:left w:val="nil"/>
              <w:bottom w:val="single" w:sz="4" w:space="0" w:color="auto"/>
              <w:right w:val="nil"/>
            </w:tcBorders>
            <w:shd w:val="clear" w:color="auto" w:fill="auto"/>
            <w:hideMark/>
          </w:tcPr>
          <w:p w14:paraId="622F2FAD"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60</w:t>
            </w:r>
          </w:p>
        </w:tc>
        <w:tc>
          <w:tcPr>
            <w:tcW w:w="1559" w:type="dxa"/>
            <w:tcBorders>
              <w:top w:val="nil"/>
              <w:left w:val="single" w:sz="4" w:space="0" w:color="auto"/>
              <w:bottom w:val="single" w:sz="4" w:space="0" w:color="auto"/>
              <w:right w:val="single" w:sz="4" w:space="0" w:color="auto"/>
            </w:tcBorders>
            <w:shd w:val="clear" w:color="auto" w:fill="auto"/>
            <w:hideMark/>
          </w:tcPr>
          <w:p w14:paraId="4744DD6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47238186</w:t>
            </w:r>
          </w:p>
        </w:tc>
        <w:tc>
          <w:tcPr>
            <w:tcW w:w="1603" w:type="dxa"/>
            <w:tcBorders>
              <w:top w:val="nil"/>
              <w:left w:val="nil"/>
              <w:bottom w:val="single" w:sz="4" w:space="0" w:color="auto"/>
              <w:right w:val="single" w:sz="4" w:space="0" w:color="auto"/>
            </w:tcBorders>
            <w:shd w:val="clear" w:color="auto" w:fill="auto"/>
            <w:hideMark/>
          </w:tcPr>
          <w:p w14:paraId="37EFC02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37088044</w:t>
            </w:r>
          </w:p>
        </w:tc>
      </w:tr>
      <w:tr w:rsidR="0032004C" w:rsidRPr="00B7675F" w14:paraId="18590E28"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58EA62D"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C89E7D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faţă de distribuitorii de prestaţi pentru serviciile acordate (308)</w:t>
            </w:r>
          </w:p>
        </w:tc>
        <w:tc>
          <w:tcPr>
            <w:tcW w:w="993" w:type="dxa"/>
            <w:tcBorders>
              <w:top w:val="nil"/>
              <w:left w:val="nil"/>
              <w:bottom w:val="single" w:sz="4" w:space="0" w:color="auto"/>
              <w:right w:val="nil"/>
            </w:tcBorders>
            <w:shd w:val="clear" w:color="auto" w:fill="auto"/>
            <w:hideMark/>
          </w:tcPr>
          <w:p w14:paraId="318FCE44"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61</w:t>
            </w:r>
          </w:p>
        </w:tc>
        <w:tc>
          <w:tcPr>
            <w:tcW w:w="1559" w:type="dxa"/>
            <w:tcBorders>
              <w:top w:val="nil"/>
              <w:left w:val="single" w:sz="4" w:space="0" w:color="auto"/>
              <w:bottom w:val="single" w:sz="4" w:space="0" w:color="auto"/>
              <w:right w:val="single" w:sz="4" w:space="0" w:color="auto"/>
            </w:tcBorders>
            <w:shd w:val="clear" w:color="auto" w:fill="auto"/>
            <w:hideMark/>
          </w:tcPr>
          <w:p w14:paraId="74E8D22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172953395</w:t>
            </w:r>
          </w:p>
        </w:tc>
        <w:tc>
          <w:tcPr>
            <w:tcW w:w="1603" w:type="dxa"/>
            <w:tcBorders>
              <w:top w:val="nil"/>
              <w:left w:val="nil"/>
              <w:bottom w:val="single" w:sz="4" w:space="0" w:color="auto"/>
              <w:right w:val="single" w:sz="4" w:space="0" w:color="auto"/>
            </w:tcBorders>
            <w:shd w:val="clear" w:color="auto" w:fill="auto"/>
            <w:hideMark/>
          </w:tcPr>
          <w:p w14:paraId="22D31F0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168131524</w:t>
            </w:r>
          </w:p>
        </w:tc>
      </w:tr>
      <w:tr w:rsidR="0032004C" w:rsidRPr="00B7675F" w14:paraId="07C56B1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B80CF20"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796DA1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retribuirea muncii, contribuţiile de asigurări sociale şi impozitele personalului (309)</w:t>
            </w:r>
          </w:p>
        </w:tc>
        <w:tc>
          <w:tcPr>
            <w:tcW w:w="993" w:type="dxa"/>
            <w:tcBorders>
              <w:top w:val="nil"/>
              <w:left w:val="nil"/>
              <w:bottom w:val="single" w:sz="4" w:space="0" w:color="auto"/>
              <w:right w:val="nil"/>
            </w:tcBorders>
            <w:shd w:val="clear" w:color="auto" w:fill="auto"/>
            <w:hideMark/>
          </w:tcPr>
          <w:p w14:paraId="413A5C0F"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62</w:t>
            </w:r>
          </w:p>
        </w:tc>
        <w:tc>
          <w:tcPr>
            <w:tcW w:w="1559" w:type="dxa"/>
            <w:tcBorders>
              <w:top w:val="nil"/>
              <w:left w:val="single" w:sz="4" w:space="0" w:color="auto"/>
              <w:bottom w:val="single" w:sz="4" w:space="0" w:color="auto"/>
              <w:right w:val="single" w:sz="4" w:space="0" w:color="auto"/>
            </w:tcBorders>
            <w:shd w:val="clear" w:color="auto" w:fill="auto"/>
            <w:hideMark/>
          </w:tcPr>
          <w:p w14:paraId="76EA76E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12542998</w:t>
            </w:r>
          </w:p>
        </w:tc>
        <w:tc>
          <w:tcPr>
            <w:tcW w:w="1603" w:type="dxa"/>
            <w:tcBorders>
              <w:top w:val="nil"/>
              <w:left w:val="nil"/>
              <w:bottom w:val="single" w:sz="4" w:space="0" w:color="auto"/>
              <w:right w:val="single" w:sz="4" w:space="0" w:color="auto"/>
            </w:tcBorders>
            <w:shd w:val="clear" w:color="auto" w:fill="auto"/>
            <w:hideMark/>
          </w:tcPr>
          <w:p w14:paraId="1BE05263"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11582306</w:t>
            </w:r>
          </w:p>
        </w:tc>
      </w:tr>
      <w:tr w:rsidR="0032004C" w:rsidRPr="00B7675F" w14:paraId="15362F18"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BAB3EDB"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3397330C"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ale bugetului de asigurări sociale faţă de bugetul de stat  (310)</w:t>
            </w:r>
          </w:p>
        </w:tc>
        <w:tc>
          <w:tcPr>
            <w:tcW w:w="993" w:type="dxa"/>
            <w:tcBorders>
              <w:top w:val="nil"/>
              <w:left w:val="nil"/>
              <w:bottom w:val="single" w:sz="4" w:space="0" w:color="auto"/>
              <w:right w:val="nil"/>
            </w:tcBorders>
            <w:shd w:val="clear" w:color="auto" w:fill="auto"/>
            <w:hideMark/>
          </w:tcPr>
          <w:p w14:paraId="4A8E24E2"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63</w:t>
            </w:r>
          </w:p>
        </w:tc>
        <w:tc>
          <w:tcPr>
            <w:tcW w:w="1559" w:type="dxa"/>
            <w:tcBorders>
              <w:top w:val="nil"/>
              <w:left w:val="single" w:sz="4" w:space="0" w:color="auto"/>
              <w:bottom w:val="single" w:sz="4" w:space="0" w:color="auto"/>
              <w:right w:val="single" w:sz="4" w:space="0" w:color="auto"/>
            </w:tcBorders>
            <w:shd w:val="clear" w:color="auto" w:fill="auto"/>
            <w:hideMark/>
          </w:tcPr>
          <w:p w14:paraId="4A29BD8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3E59C70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268405C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AB95860"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3803E9C"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pe termen scurt privind supraplata contribuţiilor de asigurări sociale obligatorii (311)</w:t>
            </w:r>
          </w:p>
        </w:tc>
        <w:tc>
          <w:tcPr>
            <w:tcW w:w="993" w:type="dxa"/>
            <w:tcBorders>
              <w:top w:val="nil"/>
              <w:left w:val="nil"/>
              <w:bottom w:val="single" w:sz="4" w:space="0" w:color="auto"/>
              <w:right w:val="nil"/>
            </w:tcBorders>
            <w:shd w:val="clear" w:color="auto" w:fill="auto"/>
            <w:hideMark/>
          </w:tcPr>
          <w:p w14:paraId="39EE9115"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64</w:t>
            </w:r>
          </w:p>
        </w:tc>
        <w:tc>
          <w:tcPr>
            <w:tcW w:w="1559" w:type="dxa"/>
            <w:tcBorders>
              <w:top w:val="nil"/>
              <w:left w:val="single" w:sz="4" w:space="0" w:color="auto"/>
              <w:bottom w:val="single" w:sz="4" w:space="0" w:color="auto"/>
              <w:right w:val="single" w:sz="4" w:space="0" w:color="auto"/>
            </w:tcBorders>
            <w:shd w:val="clear" w:color="auto" w:fill="auto"/>
            <w:hideMark/>
          </w:tcPr>
          <w:p w14:paraId="1040A52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8393264</w:t>
            </w:r>
          </w:p>
        </w:tc>
        <w:tc>
          <w:tcPr>
            <w:tcW w:w="1603" w:type="dxa"/>
            <w:tcBorders>
              <w:top w:val="nil"/>
              <w:left w:val="nil"/>
              <w:bottom w:val="single" w:sz="4" w:space="0" w:color="auto"/>
              <w:right w:val="single" w:sz="4" w:space="0" w:color="auto"/>
            </w:tcBorders>
            <w:shd w:val="clear" w:color="auto" w:fill="auto"/>
            <w:hideMark/>
          </w:tcPr>
          <w:p w14:paraId="1B0B95F1"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8411792</w:t>
            </w:r>
          </w:p>
        </w:tc>
      </w:tr>
      <w:tr w:rsidR="0032004C" w:rsidRPr="00B7675F" w14:paraId="626483B4"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1DFA61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6BF2F281"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financiare pe termen scurt  (312)</w:t>
            </w:r>
          </w:p>
        </w:tc>
        <w:tc>
          <w:tcPr>
            <w:tcW w:w="993" w:type="dxa"/>
            <w:tcBorders>
              <w:top w:val="nil"/>
              <w:left w:val="nil"/>
              <w:bottom w:val="single" w:sz="4" w:space="0" w:color="auto"/>
              <w:right w:val="nil"/>
            </w:tcBorders>
            <w:shd w:val="clear" w:color="auto" w:fill="auto"/>
            <w:hideMark/>
          </w:tcPr>
          <w:p w14:paraId="624E2344"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65</w:t>
            </w:r>
          </w:p>
        </w:tc>
        <w:tc>
          <w:tcPr>
            <w:tcW w:w="1559" w:type="dxa"/>
            <w:tcBorders>
              <w:top w:val="nil"/>
              <w:left w:val="single" w:sz="4" w:space="0" w:color="auto"/>
              <w:bottom w:val="single" w:sz="4" w:space="0" w:color="auto"/>
              <w:right w:val="single" w:sz="4" w:space="0" w:color="auto"/>
            </w:tcBorders>
            <w:shd w:val="clear" w:color="auto" w:fill="auto"/>
            <w:hideMark/>
          </w:tcPr>
          <w:p w14:paraId="6AABD0D3"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5C7728C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77B6E39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51D84A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877DD7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Alte datorii pe termen scurt  (313)</w:t>
            </w:r>
          </w:p>
        </w:tc>
        <w:tc>
          <w:tcPr>
            <w:tcW w:w="993" w:type="dxa"/>
            <w:tcBorders>
              <w:top w:val="nil"/>
              <w:left w:val="nil"/>
              <w:bottom w:val="single" w:sz="4" w:space="0" w:color="auto"/>
              <w:right w:val="nil"/>
            </w:tcBorders>
            <w:shd w:val="clear" w:color="auto" w:fill="auto"/>
            <w:hideMark/>
          </w:tcPr>
          <w:p w14:paraId="4977879A"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66</w:t>
            </w:r>
          </w:p>
        </w:tc>
        <w:tc>
          <w:tcPr>
            <w:tcW w:w="1559" w:type="dxa"/>
            <w:tcBorders>
              <w:top w:val="nil"/>
              <w:left w:val="single" w:sz="4" w:space="0" w:color="auto"/>
              <w:bottom w:val="single" w:sz="4" w:space="0" w:color="auto"/>
              <w:right w:val="single" w:sz="4" w:space="0" w:color="auto"/>
            </w:tcBorders>
            <w:shd w:val="clear" w:color="auto" w:fill="auto"/>
            <w:hideMark/>
          </w:tcPr>
          <w:p w14:paraId="0999FE5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16882099</w:t>
            </w:r>
          </w:p>
        </w:tc>
        <w:tc>
          <w:tcPr>
            <w:tcW w:w="1603" w:type="dxa"/>
            <w:tcBorders>
              <w:top w:val="nil"/>
              <w:left w:val="nil"/>
              <w:bottom w:val="single" w:sz="4" w:space="0" w:color="auto"/>
              <w:right w:val="single" w:sz="4" w:space="0" w:color="auto"/>
            </w:tcBorders>
            <w:shd w:val="clear" w:color="auto" w:fill="auto"/>
            <w:hideMark/>
          </w:tcPr>
          <w:p w14:paraId="73BEBF1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16786433</w:t>
            </w:r>
          </w:p>
        </w:tc>
      </w:tr>
      <w:tr w:rsidR="0032004C" w:rsidRPr="00B7675F" w14:paraId="108C5A27"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E464E9B"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A426B0C"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s.3.1 (rd.54+rd.55+rd.56+rd.57+rd.58+rd.59+rd.60+rd.61+ rd.62+rd.63+rd.64+rd.65+rd.66)</w:t>
            </w:r>
          </w:p>
        </w:tc>
        <w:tc>
          <w:tcPr>
            <w:tcW w:w="993" w:type="dxa"/>
            <w:tcBorders>
              <w:top w:val="nil"/>
              <w:left w:val="nil"/>
              <w:bottom w:val="single" w:sz="4" w:space="0" w:color="auto"/>
              <w:right w:val="nil"/>
            </w:tcBorders>
            <w:shd w:val="clear" w:color="auto" w:fill="auto"/>
            <w:hideMark/>
          </w:tcPr>
          <w:p w14:paraId="511183ED"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67</w:t>
            </w:r>
          </w:p>
        </w:tc>
        <w:tc>
          <w:tcPr>
            <w:tcW w:w="1559" w:type="dxa"/>
            <w:tcBorders>
              <w:top w:val="nil"/>
              <w:left w:val="single" w:sz="4" w:space="0" w:color="auto"/>
              <w:bottom w:val="single" w:sz="4" w:space="0" w:color="auto"/>
              <w:right w:val="single" w:sz="4" w:space="0" w:color="auto"/>
            </w:tcBorders>
            <w:shd w:val="clear" w:color="auto" w:fill="auto"/>
            <w:hideMark/>
          </w:tcPr>
          <w:p w14:paraId="27FEE966"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331523640</w:t>
            </w:r>
          </w:p>
        </w:tc>
        <w:tc>
          <w:tcPr>
            <w:tcW w:w="1603" w:type="dxa"/>
            <w:tcBorders>
              <w:top w:val="nil"/>
              <w:left w:val="nil"/>
              <w:bottom w:val="single" w:sz="4" w:space="0" w:color="auto"/>
              <w:right w:val="single" w:sz="4" w:space="0" w:color="auto"/>
            </w:tcBorders>
            <w:shd w:val="clear" w:color="auto" w:fill="auto"/>
            <w:hideMark/>
          </w:tcPr>
          <w:p w14:paraId="794CC0C6"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327329895</w:t>
            </w:r>
          </w:p>
        </w:tc>
      </w:tr>
      <w:tr w:rsidR="0032004C" w:rsidRPr="00B7675F" w14:paraId="00E33F93"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36B4522"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54827AE"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capitolul 3  (rd.67)</w:t>
            </w:r>
          </w:p>
        </w:tc>
        <w:tc>
          <w:tcPr>
            <w:tcW w:w="993" w:type="dxa"/>
            <w:tcBorders>
              <w:top w:val="nil"/>
              <w:left w:val="nil"/>
              <w:bottom w:val="single" w:sz="4" w:space="0" w:color="auto"/>
              <w:right w:val="nil"/>
            </w:tcBorders>
            <w:shd w:val="clear" w:color="auto" w:fill="auto"/>
            <w:hideMark/>
          </w:tcPr>
          <w:p w14:paraId="6C2721A3"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68</w:t>
            </w:r>
          </w:p>
        </w:tc>
        <w:tc>
          <w:tcPr>
            <w:tcW w:w="1559" w:type="dxa"/>
            <w:tcBorders>
              <w:top w:val="nil"/>
              <w:left w:val="single" w:sz="4" w:space="0" w:color="auto"/>
              <w:bottom w:val="single" w:sz="4" w:space="0" w:color="auto"/>
              <w:right w:val="single" w:sz="4" w:space="0" w:color="auto"/>
            </w:tcBorders>
            <w:shd w:val="clear" w:color="auto" w:fill="auto"/>
            <w:hideMark/>
          </w:tcPr>
          <w:p w14:paraId="34426BEB"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331523640</w:t>
            </w:r>
          </w:p>
        </w:tc>
        <w:tc>
          <w:tcPr>
            <w:tcW w:w="1603" w:type="dxa"/>
            <w:tcBorders>
              <w:top w:val="nil"/>
              <w:left w:val="nil"/>
              <w:bottom w:val="single" w:sz="4" w:space="0" w:color="auto"/>
              <w:right w:val="single" w:sz="4" w:space="0" w:color="auto"/>
            </w:tcBorders>
            <w:shd w:val="clear" w:color="auto" w:fill="auto"/>
            <w:hideMark/>
          </w:tcPr>
          <w:p w14:paraId="7332DA07"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327329895</w:t>
            </w:r>
          </w:p>
        </w:tc>
      </w:tr>
      <w:tr w:rsidR="0032004C" w:rsidRPr="00B7675F" w14:paraId="472D3792"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90A95CA"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4</w:t>
            </w:r>
          </w:p>
        </w:tc>
        <w:tc>
          <w:tcPr>
            <w:tcW w:w="4924" w:type="dxa"/>
            <w:tcBorders>
              <w:top w:val="nil"/>
              <w:left w:val="nil"/>
              <w:bottom w:val="single" w:sz="4" w:space="0" w:color="auto"/>
              <w:right w:val="single" w:sz="4" w:space="0" w:color="auto"/>
            </w:tcBorders>
            <w:shd w:val="clear" w:color="auto" w:fill="auto"/>
            <w:hideMark/>
          </w:tcPr>
          <w:p w14:paraId="16212062"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DATORII PE TERMEN LUNG </w:t>
            </w:r>
          </w:p>
        </w:tc>
        <w:tc>
          <w:tcPr>
            <w:tcW w:w="993" w:type="dxa"/>
            <w:tcBorders>
              <w:top w:val="nil"/>
              <w:left w:val="nil"/>
              <w:bottom w:val="single" w:sz="4" w:space="0" w:color="auto"/>
              <w:right w:val="nil"/>
            </w:tcBorders>
            <w:shd w:val="clear" w:color="auto" w:fill="auto"/>
            <w:hideMark/>
          </w:tcPr>
          <w:p w14:paraId="0FE3FED9"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38B47F3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F825CC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49C1444F"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CB9C5C4"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4.1</w:t>
            </w:r>
          </w:p>
        </w:tc>
        <w:tc>
          <w:tcPr>
            <w:tcW w:w="4924" w:type="dxa"/>
            <w:tcBorders>
              <w:top w:val="nil"/>
              <w:left w:val="nil"/>
              <w:bottom w:val="single" w:sz="4" w:space="0" w:color="auto"/>
              <w:right w:val="single" w:sz="4" w:space="0" w:color="auto"/>
            </w:tcBorders>
            <w:shd w:val="clear" w:color="auto" w:fill="auto"/>
            <w:hideMark/>
          </w:tcPr>
          <w:p w14:paraId="6DE4AEFE"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Datorii pe termen lung calculate</w:t>
            </w:r>
          </w:p>
        </w:tc>
        <w:tc>
          <w:tcPr>
            <w:tcW w:w="993" w:type="dxa"/>
            <w:tcBorders>
              <w:top w:val="nil"/>
              <w:left w:val="nil"/>
              <w:bottom w:val="single" w:sz="4" w:space="0" w:color="auto"/>
              <w:right w:val="nil"/>
            </w:tcBorders>
            <w:shd w:val="clear" w:color="auto" w:fill="auto"/>
            <w:hideMark/>
          </w:tcPr>
          <w:p w14:paraId="791A285A"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7B8AFC0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1DF48C9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62703DC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166655EE"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6EFB4D0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Datorii financiare pe termen lung (401)</w:t>
            </w:r>
          </w:p>
        </w:tc>
        <w:tc>
          <w:tcPr>
            <w:tcW w:w="993" w:type="dxa"/>
            <w:tcBorders>
              <w:top w:val="nil"/>
              <w:left w:val="nil"/>
              <w:bottom w:val="single" w:sz="4" w:space="0" w:color="auto"/>
              <w:right w:val="nil"/>
            </w:tcBorders>
            <w:shd w:val="clear" w:color="auto" w:fill="auto"/>
            <w:hideMark/>
          </w:tcPr>
          <w:p w14:paraId="39C6B68C"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69</w:t>
            </w:r>
          </w:p>
        </w:tc>
        <w:tc>
          <w:tcPr>
            <w:tcW w:w="1559" w:type="dxa"/>
            <w:tcBorders>
              <w:top w:val="nil"/>
              <w:left w:val="single" w:sz="4" w:space="0" w:color="auto"/>
              <w:bottom w:val="single" w:sz="4" w:space="0" w:color="auto"/>
              <w:right w:val="single" w:sz="4" w:space="0" w:color="auto"/>
            </w:tcBorders>
            <w:shd w:val="clear" w:color="auto" w:fill="auto"/>
            <w:hideMark/>
          </w:tcPr>
          <w:p w14:paraId="1755EAE9"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56219C2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475D1407"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6FF3C03"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8ADF976"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Alte datorii pe termen lung (402)</w:t>
            </w:r>
          </w:p>
        </w:tc>
        <w:tc>
          <w:tcPr>
            <w:tcW w:w="993" w:type="dxa"/>
            <w:tcBorders>
              <w:top w:val="nil"/>
              <w:left w:val="nil"/>
              <w:bottom w:val="single" w:sz="4" w:space="0" w:color="auto"/>
              <w:right w:val="nil"/>
            </w:tcBorders>
            <w:shd w:val="clear" w:color="auto" w:fill="auto"/>
            <w:hideMark/>
          </w:tcPr>
          <w:p w14:paraId="1547EA74"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70</w:t>
            </w:r>
          </w:p>
        </w:tc>
        <w:tc>
          <w:tcPr>
            <w:tcW w:w="1559" w:type="dxa"/>
            <w:tcBorders>
              <w:top w:val="nil"/>
              <w:left w:val="single" w:sz="4" w:space="0" w:color="auto"/>
              <w:bottom w:val="single" w:sz="4" w:space="0" w:color="auto"/>
              <w:right w:val="single" w:sz="4" w:space="0" w:color="auto"/>
            </w:tcBorders>
            <w:shd w:val="clear" w:color="auto" w:fill="auto"/>
            <w:hideMark/>
          </w:tcPr>
          <w:p w14:paraId="02FA1BA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35074373</w:t>
            </w:r>
          </w:p>
        </w:tc>
        <w:tc>
          <w:tcPr>
            <w:tcW w:w="1603" w:type="dxa"/>
            <w:tcBorders>
              <w:top w:val="nil"/>
              <w:left w:val="nil"/>
              <w:bottom w:val="single" w:sz="4" w:space="0" w:color="auto"/>
              <w:right w:val="single" w:sz="4" w:space="0" w:color="auto"/>
            </w:tcBorders>
            <w:shd w:val="clear" w:color="auto" w:fill="auto"/>
            <w:hideMark/>
          </w:tcPr>
          <w:p w14:paraId="5004131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35127362</w:t>
            </w:r>
          </w:p>
        </w:tc>
      </w:tr>
      <w:tr w:rsidR="0032004C" w:rsidRPr="00B7675F" w14:paraId="1F6F63E5"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8D623A3" w14:textId="77777777" w:rsidR="0032004C" w:rsidRPr="00736448" w:rsidRDefault="0032004C" w:rsidP="00B372C7">
            <w:pPr>
              <w:spacing w:after="0" w:line="240" w:lineRule="auto"/>
              <w:rPr>
                <w:rFonts w:asciiTheme="majorHAnsi" w:eastAsia="Times New Roman" w:hAnsiTheme="majorHAnsi" w:cs="Times New Roman"/>
                <w:i/>
                <w:iCs/>
                <w:sz w:val="18"/>
                <w:szCs w:val="18"/>
                <w:lang w:val="ro-MD"/>
              </w:rPr>
            </w:pPr>
            <w:r w:rsidRPr="00736448">
              <w:rPr>
                <w:rFonts w:asciiTheme="majorHAnsi" w:eastAsia="Times New Roman" w:hAnsiTheme="majorHAnsi" w:cs="Times New Roman"/>
                <w:i/>
                <w:iCs/>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A220EEA"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s.4.1  (rd.69+rd.70)</w:t>
            </w:r>
          </w:p>
        </w:tc>
        <w:tc>
          <w:tcPr>
            <w:tcW w:w="993" w:type="dxa"/>
            <w:tcBorders>
              <w:top w:val="nil"/>
              <w:left w:val="nil"/>
              <w:bottom w:val="single" w:sz="4" w:space="0" w:color="auto"/>
              <w:right w:val="nil"/>
            </w:tcBorders>
            <w:shd w:val="clear" w:color="auto" w:fill="auto"/>
            <w:hideMark/>
          </w:tcPr>
          <w:p w14:paraId="77A2F3A8"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71</w:t>
            </w:r>
          </w:p>
        </w:tc>
        <w:tc>
          <w:tcPr>
            <w:tcW w:w="1559" w:type="dxa"/>
            <w:tcBorders>
              <w:top w:val="nil"/>
              <w:left w:val="single" w:sz="4" w:space="0" w:color="auto"/>
              <w:bottom w:val="single" w:sz="4" w:space="0" w:color="auto"/>
              <w:right w:val="single" w:sz="4" w:space="0" w:color="auto"/>
            </w:tcBorders>
            <w:shd w:val="clear" w:color="auto" w:fill="auto"/>
            <w:hideMark/>
          </w:tcPr>
          <w:p w14:paraId="416A6D44"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35074373</w:t>
            </w:r>
          </w:p>
        </w:tc>
        <w:tc>
          <w:tcPr>
            <w:tcW w:w="1603" w:type="dxa"/>
            <w:tcBorders>
              <w:top w:val="nil"/>
              <w:left w:val="nil"/>
              <w:bottom w:val="single" w:sz="4" w:space="0" w:color="auto"/>
              <w:right w:val="single" w:sz="4" w:space="0" w:color="auto"/>
            </w:tcBorders>
            <w:shd w:val="clear" w:color="auto" w:fill="auto"/>
            <w:hideMark/>
          </w:tcPr>
          <w:p w14:paraId="2AEE9FA6"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35127362</w:t>
            </w:r>
          </w:p>
        </w:tc>
      </w:tr>
      <w:tr w:rsidR="0032004C" w:rsidRPr="00B7675F" w14:paraId="4D4C5CCE"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F5811B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40ABBAC5"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TOTAL capitolul 4 (rd.71) </w:t>
            </w:r>
          </w:p>
        </w:tc>
        <w:tc>
          <w:tcPr>
            <w:tcW w:w="993" w:type="dxa"/>
            <w:tcBorders>
              <w:top w:val="nil"/>
              <w:left w:val="nil"/>
              <w:bottom w:val="single" w:sz="4" w:space="0" w:color="auto"/>
              <w:right w:val="nil"/>
            </w:tcBorders>
            <w:shd w:val="clear" w:color="auto" w:fill="auto"/>
            <w:hideMark/>
          </w:tcPr>
          <w:p w14:paraId="172900FE"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72</w:t>
            </w:r>
          </w:p>
        </w:tc>
        <w:tc>
          <w:tcPr>
            <w:tcW w:w="1559" w:type="dxa"/>
            <w:tcBorders>
              <w:top w:val="nil"/>
              <w:left w:val="single" w:sz="4" w:space="0" w:color="auto"/>
              <w:bottom w:val="single" w:sz="4" w:space="0" w:color="auto"/>
              <w:right w:val="single" w:sz="4" w:space="0" w:color="auto"/>
            </w:tcBorders>
            <w:shd w:val="clear" w:color="auto" w:fill="auto"/>
            <w:hideMark/>
          </w:tcPr>
          <w:p w14:paraId="1B17D98E"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35074373</w:t>
            </w:r>
          </w:p>
        </w:tc>
        <w:tc>
          <w:tcPr>
            <w:tcW w:w="1603" w:type="dxa"/>
            <w:tcBorders>
              <w:top w:val="nil"/>
              <w:left w:val="nil"/>
              <w:bottom w:val="single" w:sz="4" w:space="0" w:color="auto"/>
              <w:right w:val="single" w:sz="4" w:space="0" w:color="auto"/>
            </w:tcBorders>
            <w:shd w:val="clear" w:color="auto" w:fill="auto"/>
            <w:hideMark/>
          </w:tcPr>
          <w:p w14:paraId="7D01E8C9"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35127362</w:t>
            </w:r>
          </w:p>
        </w:tc>
      </w:tr>
      <w:tr w:rsidR="0032004C" w:rsidRPr="00B7675F" w14:paraId="04801759"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591395C"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w:t>
            </w:r>
          </w:p>
        </w:tc>
        <w:tc>
          <w:tcPr>
            <w:tcW w:w="4924" w:type="dxa"/>
            <w:tcBorders>
              <w:top w:val="nil"/>
              <w:left w:val="nil"/>
              <w:bottom w:val="single" w:sz="4" w:space="0" w:color="auto"/>
              <w:right w:val="single" w:sz="4" w:space="0" w:color="auto"/>
            </w:tcBorders>
            <w:shd w:val="clear" w:color="auto" w:fill="auto"/>
            <w:hideMark/>
          </w:tcPr>
          <w:p w14:paraId="2F522ED4"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CAPITALUL PROPRIU</w:t>
            </w:r>
          </w:p>
        </w:tc>
        <w:tc>
          <w:tcPr>
            <w:tcW w:w="993" w:type="dxa"/>
            <w:tcBorders>
              <w:top w:val="nil"/>
              <w:left w:val="nil"/>
              <w:bottom w:val="single" w:sz="4" w:space="0" w:color="auto"/>
              <w:right w:val="nil"/>
            </w:tcBorders>
            <w:shd w:val="clear" w:color="auto" w:fill="auto"/>
            <w:hideMark/>
          </w:tcPr>
          <w:p w14:paraId="7EDB3B86"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3B8792F1"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5B1D0CC7"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0E0DD2ED"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10C57C5"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5.1</w:t>
            </w:r>
          </w:p>
        </w:tc>
        <w:tc>
          <w:tcPr>
            <w:tcW w:w="4924" w:type="dxa"/>
            <w:tcBorders>
              <w:top w:val="nil"/>
              <w:left w:val="nil"/>
              <w:bottom w:val="single" w:sz="4" w:space="0" w:color="auto"/>
              <w:right w:val="single" w:sz="4" w:space="0" w:color="auto"/>
            </w:tcBorders>
            <w:shd w:val="clear" w:color="auto" w:fill="auto"/>
            <w:hideMark/>
          </w:tcPr>
          <w:p w14:paraId="11900160"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Fondurile instituţiei</w:t>
            </w:r>
          </w:p>
        </w:tc>
        <w:tc>
          <w:tcPr>
            <w:tcW w:w="993" w:type="dxa"/>
            <w:tcBorders>
              <w:top w:val="nil"/>
              <w:left w:val="nil"/>
              <w:bottom w:val="single" w:sz="4" w:space="0" w:color="auto"/>
              <w:right w:val="nil"/>
            </w:tcBorders>
            <w:shd w:val="clear" w:color="auto" w:fill="auto"/>
            <w:hideMark/>
          </w:tcPr>
          <w:p w14:paraId="5C918D6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56EB685C"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200F827E"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7EC90D23"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3617596"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CE8CAC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Fondul activelor materiale pe termen lung (501)</w:t>
            </w:r>
          </w:p>
        </w:tc>
        <w:tc>
          <w:tcPr>
            <w:tcW w:w="993" w:type="dxa"/>
            <w:tcBorders>
              <w:top w:val="nil"/>
              <w:left w:val="nil"/>
              <w:bottom w:val="single" w:sz="4" w:space="0" w:color="auto"/>
              <w:right w:val="nil"/>
            </w:tcBorders>
            <w:shd w:val="clear" w:color="auto" w:fill="auto"/>
            <w:hideMark/>
          </w:tcPr>
          <w:p w14:paraId="59B7A1C9"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73</w:t>
            </w:r>
          </w:p>
        </w:tc>
        <w:tc>
          <w:tcPr>
            <w:tcW w:w="1559" w:type="dxa"/>
            <w:tcBorders>
              <w:top w:val="nil"/>
              <w:left w:val="single" w:sz="4" w:space="0" w:color="auto"/>
              <w:bottom w:val="single" w:sz="4" w:space="0" w:color="auto"/>
              <w:right w:val="single" w:sz="4" w:space="0" w:color="auto"/>
            </w:tcBorders>
            <w:shd w:val="clear" w:color="auto" w:fill="auto"/>
            <w:hideMark/>
          </w:tcPr>
          <w:p w14:paraId="74C67B07"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121523381</w:t>
            </w:r>
          </w:p>
        </w:tc>
        <w:tc>
          <w:tcPr>
            <w:tcW w:w="1603" w:type="dxa"/>
            <w:tcBorders>
              <w:top w:val="nil"/>
              <w:left w:val="nil"/>
              <w:bottom w:val="single" w:sz="4" w:space="0" w:color="auto"/>
              <w:right w:val="single" w:sz="4" w:space="0" w:color="auto"/>
            </w:tcBorders>
            <w:shd w:val="clear" w:color="auto" w:fill="auto"/>
            <w:hideMark/>
          </w:tcPr>
          <w:p w14:paraId="7D6AA1A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121977226</w:t>
            </w:r>
          </w:p>
        </w:tc>
      </w:tr>
      <w:tr w:rsidR="0032004C" w:rsidRPr="00B7675F" w14:paraId="095F4AB4"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209E6D6"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50E9619A"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Fondul obiectelor de mică valoare şi scurtă durată (502)</w:t>
            </w:r>
          </w:p>
        </w:tc>
        <w:tc>
          <w:tcPr>
            <w:tcW w:w="993" w:type="dxa"/>
            <w:tcBorders>
              <w:top w:val="nil"/>
              <w:left w:val="nil"/>
              <w:bottom w:val="single" w:sz="4" w:space="0" w:color="auto"/>
              <w:right w:val="nil"/>
            </w:tcBorders>
            <w:shd w:val="clear" w:color="auto" w:fill="auto"/>
            <w:hideMark/>
          </w:tcPr>
          <w:p w14:paraId="24524430"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74</w:t>
            </w:r>
          </w:p>
        </w:tc>
        <w:tc>
          <w:tcPr>
            <w:tcW w:w="1559" w:type="dxa"/>
            <w:tcBorders>
              <w:top w:val="nil"/>
              <w:left w:val="single" w:sz="4" w:space="0" w:color="auto"/>
              <w:bottom w:val="single" w:sz="4" w:space="0" w:color="auto"/>
              <w:right w:val="single" w:sz="4" w:space="0" w:color="auto"/>
            </w:tcBorders>
            <w:shd w:val="clear" w:color="auto" w:fill="auto"/>
            <w:hideMark/>
          </w:tcPr>
          <w:p w14:paraId="030EBDD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378242</w:t>
            </w:r>
          </w:p>
        </w:tc>
        <w:tc>
          <w:tcPr>
            <w:tcW w:w="1603" w:type="dxa"/>
            <w:tcBorders>
              <w:top w:val="nil"/>
              <w:left w:val="nil"/>
              <w:bottom w:val="single" w:sz="4" w:space="0" w:color="auto"/>
              <w:right w:val="single" w:sz="4" w:space="0" w:color="auto"/>
            </w:tcBorders>
            <w:shd w:val="clear" w:color="auto" w:fill="auto"/>
            <w:hideMark/>
          </w:tcPr>
          <w:p w14:paraId="67963AE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391905</w:t>
            </w:r>
          </w:p>
        </w:tc>
      </w:tr>
      <w:tr w:rsidR="0032004C" w:rsidRPr="00B7675F" w14:paraId="6824061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27C19324"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483684F3"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Fondul activelor în curs de execuție (501.03)</w:t>
            </w:r>
          </w:p>
        </w:tc>
        <w:tc>
          <w:tcPr>
            <w:tcW w:w="993" w:type="dxa"/>
            <w:tcBorders>
              <w:top w:val="nil"/>
              <w:left w:val="nil"/>
              <w:bottom w:val="single" w:sz="4" w:space="0" w:color="auto"/>
              <w:right w:val="nil"/>
            </w:tcBorders>
            <w:shd w:val="clear" w:color="auto" w:fill="auto"/>
            <w:hideMark/>
          </w:tcPr>
          <w:p w14:paraId="6E9732F2"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75</w:t>
            </w:r>
          </w:p>
        </w:tc>
        <w:tc>
          <w:tcPr>
            <w:tcW w:w="1559" w:type="dxa"/>
            <w:tcBorders>
              <w:top w:val="nil"/>
              <w:left w:val="single" w:sz="4" w:space="0" w:color="auto"/>
              <w:bottom w:val="single" w:sz="4" w:space="0" w:color="auto"/>
              <w:right w:val="single" w:sz="4" w:space="0" w:color="auto"/>
            </w:tcBorders>
            <w:shd w:val="clear" w:color="auto" w:fill="auto"/>
            <w:hideMark/>
          </w:tcPr>
          <w:p w14:paraId="398A517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0A65380D"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0</w:t>
            </w:r>
          </w:p>
        </w:tc>
      </w:tr>
      <w:tr w:rsidR="0032004C" w:rsidRPr="00B7675F" w14:paraId="45E21B72"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9098E9F"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8" w:space="0" w:color="auto"/>
              <w:right w:val="single" w:sz="8" w:space="0" w:color="auto"/>
            </w:tcBorders>
            <w:shd w:val="clear" w:color="auto" w:fill="auto"/>
            <w:hideMark/>
          </w:tcPr>
          <w:p w14:paraId="0EB13871" w14:textId="77777777" w:rsidR="0032004C" w:rsidRPr="00736448" w:rsidRDefault="0032004C" w:rsidP="00B372C7">
            <w:pPr>
              <w:spacing w:after="0" w:line="240" w:lineRule="auto"/>
              <w:jc w:val="both"/>
              <w:rPr>
                <w:rFonts w:asciiTheme="majorHAnsi" w:eastAsia="Times New Roman" w:hAnsiTheme="majorHAnsi" w:cs="Times New Roman"/>
                <w:color w:val="000000"/>
                <w:sz w:val="18"/>
                <w:szCs w:val="18"/>
                <w:lang w:val="ro-MD"/>
              </w:rPr>
            </w:pPr>
            <w:r w:rsidRPr="00736448">
              <w:rPr>
                <w:rFonts w:asciiTheme="majorHAnsi" w:eastAsia="Times New Roman" w:hAnsiTheme="majorHAnsi" w:cs="Times New Roman"/>
                <w:color w:val="000000"/>
                <w:sz w:val="18"/>
                <w:szCs w:val="18"/>
                <w:lang w:val="ro-MD"/>
              </w:rPr>
              <w:t>Fondul activelor nemateriale (503)</w:t>
            </w:r>
          </w:p>
        </w:tc>
        <w:tc>
          <w:tcPr>
            <w:tcW w:w="993" w:type="dxa"/>
            <w:tcBorders>
              <w:top w:val="nil"/>
              <w:left w:val="single" w:sz="4" w:space="0" w:color="auto"/>
              <w:bottom w:val="single" w:sz="4" w:space="0" w:color="auto"/>
              <w:right w:val="nil"/>
            </w:tcBorders>
            <w:shd w:val="clear" w:color="auto" w:fill="auto"/>
            <w:hideMark/>
          </w:tcPr>
          <w:p w14:paraId="3FCEEFE3"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76</w:t>
            </w:r>
          </w:p>
        </w:tc>
        <w:tc>
          <w:tcPr>
            <w:tcW w:w="1559" w:type="dxa"/>
            <w:tcBorders>
              <w:top w:val="nil"/>
              <w:left w:val="single" w:sz="4" w:space="0" w:color="auto"/>
              <w:bottom w:val="single" w:sz="4" w:space="0" w:color="auto"/>
              <w:right w:val="single" w:sz="4" w:space="0" w:color="auto"/>
            </w:tcBorders>
            <w:shd w:val="clear" w:color="auto" w:fill="auto"/>
            <w:hideMark/>
          </w:tcPr>
          <w:p w14:paraId="00D5B115"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1941595</w:t>
            </w:r>
          </w:p>
        </w:tc>
        <w:tc>
          <w:tcPr>
            <w:tcW w:w="1603" w:type="dxa"/>
            <w:tcBorders>
              <w:top w:val="nil"/>
              <w:left w:val="nil"/>
              <w:bottom w:val="single" w:sz="4" w:space="0" w:color="auto"/>
              <w:right w:val="single" w:sz="4" w:space="0" w:color="auto"/>
            </w:tcBorders>
            <w:shd w:val="clear" w:color="auto" w:fill="auto"/>
            <w:hideMark/>
          </w:tcPr>
          <w:p w14:paraId="20F72F66"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2020995</w:t>
            </w:r>
          </w:p>
        </w:tc>
      </w:tr>
      <w:tr w:rsidR="0032004C" w:rsidRPr="00B7675F" w14:paraId="7BB1EEE8"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0E43BD0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single" w:sz="4" w:space="0" w:color="auto"/>
              <w:left w:val="nil"/>
              <w:bottom w:val="single" w:sz="4" w:space="0" w:color="auto"/>
              <w:right w:val="single" w:sz="4" w:space="0" w:color="auto"/>
            </w:tcBorders>
            <w:shd w:val="clear" w:color="auto" w:fill="auto"/>
            <w:hideMark/>
          </w:tcPr>
          <w:p w14:paraId="57B72775"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s.5.1  (rd.73+rd.74+rd.75+rd.76)</w:t>
            </w:r>
          </w:p>
        </w:tc>
        <w:tc>
          <w:tcPr>
            <w:tcW w:w="993" w:type="dxa"/>
            <w:tcBorders>
              <w:top w:val="nil"/>
              <w:left w:val="nil"/>
              <w:bottom w:val="single" w:sz="4" w:space="0" w:color="auto"/>
              <w:right w:val="nil"/>
            </w:tcBorders>
            <w:shd w:val="clear" w:color="auto" w:fill="auto"/>
            <w:hideMark/>
          </w:tcPr>
          <w:p w14:paraId="287187A6"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77</w:t>
            </w:r>
          </w:p>
        </w:tc>
        <w:tc>
          <w:tcPr>
            <w:tcW w:w="1559" w:type="dxa"/>
            <w:tcBorders>
              <w:top w:val="nil"/>
              <w:left w:val="single" w:sz="4" w:space="0" w:color="auto"/>
              <w:bottom w:val="single" w:sz="4" w:space="0" w:color="auto"/>
              <w:right w:val="single" w:sz="4" w:space="0" w:color="auto"/>
            </w:tcBorders>
            <w:shd w:val="clear" w:color="auto" w:fill="auto"/>
            <w:hideMark/>
          </w:tcPr>
          <w:p w14:paraId="266DC479"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123843218</w:t>
            </w:r>
          </w:p>
        </w:tc>
        <w:tc>
          <w:tcPr>
            <w:tcW w:w="1603" w:type="dxa"/>
            <w:tcBorders>
              <w:top w:val="nil"/>
              <w:left w:val="nil"/>
              <w:bottom w:val="single" w:sz="4" w:space="0" w:color="auto"/>
              <w:right w:val="single" w:sz="4" w:space="0" w:color="auto"/>
            </w:tcBorders>
            <w:shd w:val="clear" w:color="auto" w:fill="auto"/>
            <w:hideMark/>
          </w:tcPr>
          <w:p w14:paraId="5C170F47"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124390126</w:t>
            </w:r>
          </w:p>
        </w:tc>
      </w:tr>
      <w:tr w:rsidR="0032004C" w:rsidRPr="00B7675F" w14:paraId="6AF10C15"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74272B7F"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5.2</w:t>
            </w:r>
          </w:p>
        </w:tc>
        <w:tc>
          <w:tcPr>
            <w:tcW w:w="4924" w:type="dxa"/>
            <w:tcBorders>
              <w:top w:val="nil"/>
              <w:left w:val="nil"/>
              <w:bottom w:val="single" w:sz="4" w:space="0" w:color="auto"/>
              <w:right w:val="single" w:sz="4" w:space="0" w:color="auto"/>
            </w:tcBorders>
            <w:shd w:val="clear" w:color="auto" w:fill="auto"/>
            <w:hideMark/>
          </w:tcPr>
          <w:p w14:paraId="1DBC92A9"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Diferenţa din reevaluare</w:t>
            </w:r>
          </w:p>
        </w:tc>
        <w:tc>
          <w:tcPr>
            <w:tcW w:w="993" w:type="dxa"/>
            <w:tcBorders>
              <w:top w:val="nil"/>
              <w:left w:val="nil"/>
              <w:bottom w:val="single" w:sz="4" w:space="0" w:color="auto"/>
              <w:right w:val="nil"/>
            </w:tcBorders>
            <w:shd w:val="clear" w:color="auto" w:fill="auto"/>
            <w:hideMark/>
          </w:tcPr>
          <w:p w14:paraId="66532A0B"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1F80E13B"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2E4D6A3A"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15A430AC"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3C6979BD"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35702818"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Total s.5.2  (+/-rd.78+/-rd.79) </w:t>
            </w:r>
          </w:p>
        </w:tc>
        <w:tc>
          <w:tcPr>
            <w:tcW w:w="993" w:type="dxa"/>
            <w:tcBorders>
              <w:top w:val="nil"/>
              <w:left w:val="nil"/>
              <w:bottom w:val="single" w:sz="4" w:space="0" w:color="auto"/>
              <w:right w:val="nil"/>
            </w:tcBorders>
            <w:shd w:val="clear" w:color="auto" w:fill="auto"/>
            <w:hideMark/>
          </w:tcPr>
          <w:p w14:paraId="2ABEF1CB"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80</w:t>
            </w:r>
          </w:p>
        </w:tc>
        <w:tc>
          <w:tcPr>
            <w:tcW w:w="1559" w:type="dxa"/>
            <w:tcBorders>
              <w:top w:val="nil"/>
              <w:left w:val="single" w:sz="4" w:space="0" w:color="auto"/>
              <w:bottom w:val="single" w:sz="4" w:space="0" w:color="auto"/>
              <w:right w:val="single" w:sz="4" w:space="0" w:color="auto"/>
            </w:tcBorders>
            <w:shd w:val="clear" w:color="auto" w:fill="auto"/>
            <w:hideMark/>
          </w:tcPr>
          <w:p w14:paraId="7A4EC0C0"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3A4574F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151420E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6EBF845"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5.3</w:t>
            </w:r>
          </w:p>
        </w:tc>
        <w:tc>
          <w:tcPr>
            <w:tcW w:w="4924" w:type="dxa"/>
            <w:tcBorders>
              <w:top w:val="nil"/>
              <w:left w:val="nil"/>
              <w:bottom w:val="single" w:sz="4" w:space="0" w:color="auto"/>
              <w:right w:val="single" w:sz="4" w:space="0" w:color="auto"/>
            </w:tcBorders>
            <w:shd w:val="clear" w:color="auto" w:fill="auto"/>
            <w:hideMark/>
          </w:tcPr>
          <w:p w14:paraId="35A05B57"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Rezerve </w:t>
            </w:r>
          </w:p>
        </w:tc>
        <w:tc>
          <w:tcPr>
            <w:tcW w:w="993" w:type="dxa"/>
            <w:tcBorders>
              <w:top w:val="nil"/>
              <w:left w:val="nil"/>
              <w:bottom w:val="single" w:sz="4" w:space="0" w:color="auto"/>
              <w:right w:val="nil"/>
            </w:tcBorders>
            <w:shd w:val="clear" w:color="auto" w:fill="auto"/>
            <w:hideMark/>
          </w:tcPr>
          <w:p w14:paraId="63DCDE23"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2B42D42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3DD0FA03"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4DAFD16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03E1EC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2A2F4CE6"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s.5.3  (rd.81+rd.82)</w:t>
            </w:r>
          </w:p>
        </w:tc>
        <w:tc>
          <w:tcPr>
            <w:tcW w:w="993" w:type="dxa"/>
            <w:tcBorders>
              <w:top w:val="nil"/>
              <w:left w:val="nil"/>
              <w:bottom w:val="single" w:sz="4" w:space="0" w:color="auto"/>
              <w:right w:val="nil"/>
            </w:tcBorders>
            <w:shd w:val="clear" w:color="auto" w:fill="auto"/>
            <w:hideMark/>
          </w:tcPr>
          <w:p w14:paraId="73A5EB85"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83</w:t>
            </w:r>
          </w:p>
        </w:tc>
        <w:tc>
          <w:tcPr>
            <w:tcW w:w="1559" w:type="dxa"/>
            <w:tcBorders>
              <w:top w:val="nil"/>
              <w:left w:val="single" w:sz="4" w:space="0" w:color="auto"/>
              <w:bottom w:val="single" w:sz="4" w:space="0" w:color="auto"/>
              <w:right w:val="single" w:sz="4" w:space="0" w:color="auto"/>
            </w:tcBorders>
            <w:shd w:val="clear" w:color="auto" w:fill="auto"/>
            <w:hideMark/>
          </w:tcPr>
          <w:p w14:paraId="3F493099"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75DA2AFB"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w:t>
            </w:r>
          </w:p>
        </w:tc>
      </w:tr>
      <w:tr w:rsidR="0032004C" w:rsidRPr="00B7675F" w14:paraId="385F8C70"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6D0022D1"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5.4</w:t>
            </w:r>
          </w:p>
        </w:tc>
        <w:tc>
          <w:tcPr>
            <w:tcW w:w="4924" w:type="dxa"/>
            <w:tcBorders>
              <w:top w:val="nil"/>
              <w:left w:val="nil"/>
              <w:bottom w:val="single" w:sz="4" w:space="0" w:color="auto"/>
              <w:right w:val="single" w:sz="4" w:space="0" w:color="auto"/>
            </w:tcBorders>
            <w:shd w:val="clear" w:color="auto" w:fill="auto"/>
            <w:hideMark/>
          </w:tcPr>
          <w:p w14:paraId="3944AF0D"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Excedent(+) (deficit)(-)</w:t>
            </w:r>
          </w:p>
        </w:tc>
        <w:tc>
          <w:tcPr>
            <w:tcW w:w="993" w:type="dxa"/>
            <w:tcBorders>
              <w:top w:val="nil"/>
              <w:left w:val="nil"/>
              <w:bottom w:val="single" w:sz="4" w:space="0" w:color="auto"/>
              <w:right w:val="nil"/>
            </w:tcBorders>
            <w:shd w:val="clear" w:color="auto" w:fill="auto"/>
            <w:hideMark/>
          </w:tcPr>
          <w:p w14:paraId="1AFC5AC5" w14:textId="77777777" w:rsidR="0032004C" w:rsidRPr="00736448" w:rsidRDefault="0032004C" w:rsidP="00B372C7">
            <w:pPr>
              <w:spacing w:after="0" w:line="240" w:lineRule="auto"/>
              <w:jc w:val="center"/>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559" w:type="dxa"/>
            <w:tcBorders>
              <w:top w:val="nil"/>
              <w:left w:val="single" w:sz="4" w:space="0" w:color="auto"/>
              <w:bottom w:val="single" w:sz="4" w:space="0" w:color="auto"/>
              <w:right w:val="single" w:sz="4" w:space="0" w:color="auto"/>
            </w:tcBorders>
            <w:shd w:val="clear" w:color="auto" w:fill="auto"/>
            <w:hideMark/>
          </w:tcPr>
          <w:p w14:paraId="5E32F142"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1603" w:type="dxa"/>
            <w:tcBorders>
              <w:top w:val="nil"/>
              <w:left w:val="nil"/>
              <w:bottom w:val="single" w:sz="4" w:space="0" w:color="auto"/>
              <w:right w:val="single" w:sz="4" w:space="0" w:color="auto"/>
            </w:tcBorders>
            <w:shd w:val="clear" w:color="auto" w:fill="auto"/>
            <w:hideMark/>
          </w:tcPr>
          <w:p w14:paraId="635E6BEF" w14:textId="77777777" w:rsidR="0032004C" w:rsidRPr="00736448" w:rsidRDefault="0032004C" w:rsidP="00B372C7">
            <w:pPr>
              <w:spacing w:after="0" w:line="240" w:lineRule="auto"/>
              <w:jc w:val="right"/>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r>
      <w:tr w:rsidR="0032004C" w:rsidRPr="00B7675F" w14:paraId="14535F91"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449B6BA5"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197D734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Total s.5.4  (+/-rd. 84+/- rd.85) </w:t>
            </w:r>
          </w:p>
        </w:tc>
        <w:tc>
          <w:tcPr>
            <w:tcW w:w="993" w:type="dxa"/>
            <w:tcBorders>
              <w:top w:val="nil"/>
              <w:left w:val="nil"/>
              <w:bottom w:val="single" w:sz="4" w:space="0" w:color="auto"/>
              <w:right w:val="nil"/>
            </w:tcBorders>
            <w:shd w:val="clear" w:color="auto" w:fill="auto"/>
            <w:hideMark/>
          </w:tcPr>
          <w:p w14:paraId="7CBD536B"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86</w:t>
            </w:r>
          </w:p>
        </w:tc>
        <w:tc>
          <w:tcPr>
            <w:tcW w:w="1559" w:type="dxa"/>
            <w:tcBorders>
              <w:top w:val="nil"/>
              <w:left w:val="single" w:sz="4" w:space="0" w:color="auto"/>
              <w:bottom w:val="single" w:sz="4" w:space="0" w:color="auto"/>
              <w:right w:val="single" w:sz="4" w:space="0" w:color="auto"/>
            </w:tcBorders>
            <w:shd w:val="clear" w:color="auto" w:fill="auto"/>
            <w:hideMark/>
          </w:tcPr>
          <w:p w14:paraId="06363925"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2014873104</w:t>
            </w:r>
          </w:p>
        </w:tc>
        <w:tc>
          <w:tcPr>
            <w:tcW w:w="1603" w:type="dxa"/>
            <w:tcBorders>
              <w:top w:val="nil"/>
              <w:left w:val="nil"/>
              <w:bottom w:val="single" w:sz="4" w:space="0" w:color="auto"/>
              <w:right w:val="single" w:sz="4" w:space="0" w:color="auto"/>
            </w:tcBorders>
            <w:shd w:val="clear" w:color="auto" w:fill="auto"/>
            <w:hideMark/>
          </w:tcPr>
          <w:p w14:paraId="693AEAEC"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1811770862</w:t>
            </w:r>
          </w:p>
        </w:tc>
      </w:tr>
      <w:tr w:rsidR="0032004C" w:rsidRPr="00B7675F" w14:paraId="04790FCE" w14:textId="77777777" w:rsidTr="00860800">
        <w:trPr>
          <w:trHeight w:val="20"/>
          <w:jc w:val="center"/>
        </w:trPr>
        <w:tc>
          <w:tcPr>
            <w:tcW w:w="600" w:type="dxa"/>
            <w:tcBorders>
              <w:top w:val="nil"/>
              <w:left w:val="single" w:sz="4" w:space="0" w:color="auto"/>
              <w:bottom w:val="single" w:sz="4" w:space="0" w:color="auto"/>
              <w:right w:val="single" w:sz="4" w:space="0" w:color="auto"/>
            </w:tcBorders>
            <w:shd w:val="clear" w:color="auto" w:fill="auto"/>
            <w:hideMark/>
          </w:tcPr>
          <w:p w14:paraId="5D85EC81"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75CEFEDB"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TOTAL capitolul 5 (rd. 77+/-rd.80+rd.83+/-rd.86)</w:t>
            </w:r>
          </w:p>
        </w:tc>
        <w:tc>
          <w:tcPr>
            <w:tcW w:w="993" w:type="dxa"/>
            <w:tcBorders>
              <w:top w:val="nil"/>
              <w:left w:val="nil"/>
              <w:bottom w:val="single" w:sz="4" w:space="0" w:color="auto"/>
              <w:right w:val="nil"/>
            </w:tcBorders>
            <w:shd w:val="clear" w:color="auto" w:fill="auto"/>
            <w:hideMark/>
          </w:tcPr>
          <w:p w14:paraId="21140A47"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87</w:t>
            </w:r>
          </w:p>
        </w:tc>
        <w:tc>
          <w:tcPr>
            <w:tcW w:w="1559" w:type="dxa"/>
            <w:tcBorders>
              <w:top w:val="nil"/>
              <w:left w:val="single" w:sz="4" w:space="0" w:color="auto"/>
              <w:bottom w:val="single" w:sz="4" w:space="0" w:color="auto"/>
              <w:right w:val="single" w:sz="4" w:space="0" w:color="auto"/>
            </w:tcBorders>
            <w:shd w:val="clear" w:color="auto" w:fill="auto"/>
            <w:hideMark/>
          </w:tcPr>
          <w:p w14:paraId="18DAFCDE"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2138716322</w:t>
            </w:r>
          </w:p>
        </w:tc>
        <w:tc>
          <w:tcPr>
            <w:tcW w:w="1603" w:type="dxa"/>
            <w:tcBorders>
              <w:top w:val="nil"/>
              <w:left w:val="nil"/>
              <w:bottom w:val="single" w:sz="4" w:space="0" w:color="auto"/>
              <w:right w:val="single" w:sz="4" w:space="0" w:color="auto"/>
            </w:tcBorders>
            <w:shd w:val="clear" w:color="auto" w:fill="auto"/>
            <w:hideMark/>
          </w:tcPr>
          <w:p w14:paraId="24239788"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1936160988</w:t>
            </w:r>
          </w:p>
        </w:tc>
      </w:tr>
      <w:tr w:rsidR="0032004C" w:rsidRPr="00B7675F" w14:paraId="677BD71D" w14:textId="77777777" w:rsidTr="00860800">
        <w:trPr>
          <w:trHeight w:val="20"/>
          <w:jc w:val="center"/>
        </w:trPr>
        <w:tc>
          <w:tcPr>
            <w:tcW w:w="600" w:type="dxa"/>
            <w:vMerge w:val="restart"/>
            <w:tcBorders>
              <w:top w:val="nil"/>
              <w:left w:val="single" w:sz="4" w:space="0" w:color="auto"/>
              <w:bottom w:val="single" w:sz="4" w:space="0" w:color="auto"/>
              <w:right w:val="single" w:sz="4" w:space="0" w:color="auto"/>
            </w:tcBorders>
            <w:shd w:val="clear" w:color="auto" w:fill="auto"/>
            <w:hideMark/>
          </w:tcPr>
          <w:p w14:paraId="33600BAF"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r w:rsidRPr="00736448">
              <w:rPr>
                <w:rFonts w:asciiTheme="majorHAnsi" w:eastAsia="Times New Roman" w:hAnsiTheme="majorHAnsi" w:cs="Times New Roman"/>
                <w:sz w:val="18"/>
                <w:szCs w:val="18"/>
                <w:lang w:val="ro-MD"/>
              </w:rPr>
              <w:t> </w:t>
            </w:r>
          </w:p>
        </w:tc>
        <w:tc>
          <w:tcPr>
            <w:tcW w:w="4924" w:type="dxa"/>
            <w:tcBorders>
              <w:top w:val="nil"/>
              <w:left w:val="nil"/>
              <w:bottom w:val="single" w:sz="4" w:space="0" w:color="auto"/>
              <w:right w:val="single" w:sz="4" w:space="0" w:color="auto"/>
            </w:tcBorders>
            <w:shd w:val="clear" w:color="auto" w:fill="auto"/>
            <w:hideMark/>
          </w:tcPr>
          <w:p w14:paraId="06ACF4B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TOTAL GENERAL – PASIV </w:t>
            </w:r>
          </w:p>
        </w:tc>
        <w:tc>
          <w:tcPr>
            <w:tcW w:w="993" w:type="dxa"/>
            <w:vMerge w:val="restart"/>
            <w:tcBorders>
              <w:top w:val="nil"/>
              <w:left w:val="single" w:sz="4" w:space="0" w:color="auto"/>
              <w:bottom w:val="single" w:sz="4" w:space="0" w:color="auto"/>
              <w:right w:val="nil"/>
            </w:tcBorders>
            <w:shd w:val="clear" w:color="auto" w:fill="auto"/>
            <w:hideMark/>
          </w:tcPr>
          <w:p w14:paraId="3435F165" w14:textId="77777777" w:rsidR="0032004C" w:rsidRPr="00736448" w:rsidRDefault="0032004C" w:rsidP="00B372C7">
            <w:pPr>
              <w:spacing w:after="0" w:line="240" w:lineRule="auto"/>
              <w:jc w:val="center"/>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88</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47A7767"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2505314335</w:t>
            </w:r>
          </w:p>
        </w:tc>
        <w:tc>
          <w:tcPr>
            <w:tcW w:w="1603" w:type="dxa"/>
            <w:vMerge w:val="restart"/>
            <w:tcBorders>
              <w:top w:val="nil"/>
              <w:left w:val="single" w:sz="4" w:space="0" w:color="auto"/>
              <w:bottom w:val="single" w:sz="4" w:space="0" w:color="auto"/>
              <w:right w:val="single" w:sz="4" w:space="0" w:color="auto"/>
            </w:tcBorders>
            <w:shd w:val="clear" w:color="auto" w:fill="auto"/>
            <w:hideMark/>
          </w:tcPr>
          <w:p w14:paraId="39435760" w14:textId="77777777" w:rsidR="0032004C" w:rsidRPr="00736448" w:rsidRDefault="0032004C" w:rsidP="00B372C7">
            <w:pPr>
              <w:spacing w:after="0" w:line="240" w:lineRule="auto"/>
              <w:jc w:val="right"/>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2298618245</w:t>
            </w:r>
          </w:p>
        </w:tc>
      </w:tr>
      <w:tr w:rsidR="0032004C" w:rsidRPr="00B7675F" w14:paraId="739CC7E1" w14:textId="77777777" w:rsidTr="00860800">
        <w:trPr>
          <w:trHeight w:val="20"/>
          <w:jc w:val="center"/>
        </w:trPr>
        <w:tc>
          <w:tcPr>
            <w:tcW w:w="600" w:type="dxa"/>
            <w:vMerge/>
            <w:tcBorders>
              <w:top w:val="nil"/>
              <w:left w:val="single" w:sz="4" w:space="0" w:color="auto"/>
              <w:bottom w:val="single" w:sz="4" w:space="0" w:color="auto"/>
              <w:right w:val="single" w:sz="4" w:space="0" w:color="auto"/>
            </w:tcBorders>
            <w:vAlign w:val="center"/>
            <w:hideMark/>
          </w:tcPr>
          <w:p w14:paraId="14F85A31" w14:textId="77777777" w:rsidR="0032004C" w:rsidRPr="00736448" w:rsidRDefault="0032004C" w:rsidP="00B372C7">
            <w:pPr>
              <w:spacing w:after="0" w:line="240" w:lineRule="auto"/>
              <w:rPr>
                <w:rFonts w:asciiTheme="majorHAnsi" w:eastAsia="Times New Roman" w:hAnsiTheme="majorHAnsi" w:cs="Times New Roman"/>
                <w:sz w:val="18"/>
                <w:szCs w:val="18"/>
                <w:lang w:val="ro-MD"/>
              </w:rPr>
            </w:pPr>
          </w:p>
        </w:tc>
        <w:tc>
          <w:tcPr>
            <w:tcW w:w="4924" w:type="dxa"/>
            <w:tcBorders>
              <w:top w:val="nil"/>
              <w:left w:val="nil"/>
              <w:bottom w:val="single" w:sz="4" w:space="0" w:color="auto"/>
              <w:right w:val="single" w:sz="4" w:space="0" w:color="auto"/>
            </w:tcBorders>
            <w:shd w:val="clear" w:color="auto" w:fill="auto"/>
            <w:hideMark/>
          </w:tcPr>
          <w:p w14:paraId="16A8B76F"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r w:rsidRPr="00736448">
              <w:rPr>
                <w:rFonts w:asciiTheme="majorHAnsi" w:eastAsia="Times New Roman" w:hAnsiTheme="majorHAnsi" w:cs="Times New Roman"/>
                <w:b/>
                <w:bCs/>
                <w:sz w:val="18"/>
                <w:szCs w:val="18"/>
                <w:lang w:val="ro-MD"/>
              </w:rPr>
              <w:t xml:space="preserve">(rd. 68+rd.72+rd.87) </w:t>
            </w:r>
          </w:p>
        </w:tc>
        <w:tc>
          <w:tcPr>
            <w:tcW w:w="993" w:type="dxa"/>
            <w:vMerge/>
            <w:tcBorders>
              <w:top w:val="nil"/>
              <w:left w:val="single" w:sz="4" w:space="0" w:color="auto"/>
              <w:bottom w:val="single" w:sz="4" w:space="0" w:color="auto"/>
              <w:right w:val="nil"/>
            </w:tcBorders>
            <w:vAlign w:val="center"/>
            <w:hideMark/>
          </w:tcPr>
          <w:p w14:paraId="6191E88D"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p>
        </w:tc>
        <w:tc>
          <w:tcPr>
            <w:tcW w:w="1559" w:type="dxa"/>
            <w:vMerge/>
            <w:tcBorders>
              <w:top w:val="nil"/>
              <w:left w:val="single" w:sz="4" w:space="0" w:color="auto"/>
              <w:bottom w:val="single" w:sz="4" w:space="0" w:color="auto"/>
              <w:right w:val="single" w:sz="4" w:space="0" w:color="auto"/>
            </w:tcBorders>
            <w:vAlign w:val="center"/>
            <w:hideMark/>
          </w:tcPr>
          <w:p w14:paraId="35935126"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p>
        </w:tc>
        <w:tc>
          <w:tcPr>
            <w:tcW w:w="1603" w:type="dxa"/>
            <w:vMerge/>
            <w:tcBorders>
              <w:top w:val="nil"/>
              <w:left w:val="single" w:sz="4" w:space="0" w:color="auto"/>
              <w:bottom w:val="single" w:sz="4" w:space="0" w:color="auto"/>
              <w:right w:val="single" w:sz="4" w:space="0" w:color="auto"/>
            </w:tcBorders>
            <w:vAlign w:val="center"/>
            <w:hideMark/>
          </w:tcPr>
          <w:p w14:paraId="6F9CF62B" w14:textId="77777777" w:rsidR="0032004C" w:rsidRPr="00736448" w:rsidRDefault="0032004C" w:rsidP="00B372C7">
            <w:pPr>
              <w:spacing w:after="0" w:line="240" w:lineRule="auto"/>
              <w:rPr>
                <w:rFonts w:asciiTheme="majorHAnsi" w:eastAsia="Times New Roman" w:hAnsiTheme="majorHAnsi" w:cs="Times New Roman"/>
                <w:b/>
                <w:bCs/>
                <w:sz w:val="18"/>
                <w:szCs w:val="18"/>
                <w:lang w:val="ro-MD"/>
              </w:rPr>
            </w:pPr>
          </w:p>
        </w:tc>
      </w:tr>
    </w:tbl>
    <w:p w14:paraId="095E7D5C" w14:textId="77777777" w:rsidR="0032004C" w:rsidRPr="00736448" w:rsidRDefault="0032004C" w:rsidP="00D874AE">
      <w:pPr>
        <w:rPr>
          <w:rFonts w:cstheme="majorHAnsi"/>
          <w:b/>
          <w:color w:val="000000" w:themeColor="text1"/>
          <w:sz w:val="24"/>
          <w:szCs w:val="24"/>
          <w:lang w:val="ro-MD"/>
        </w:rPr>
      </w:pPr>
    </w:p>
    <w:p w14:paraId="4F460129" w14:textId="77777777" w:rsidR="00E52459" w:rsidRPr="00736448" w:rsidRDefault="00E52459" w:rsidP="008F764B">
      <w:pPr>
        <w:rPr>
          <w:rFonts w:cstheme="majorHAnsi"/>
          <w:b/>
          <w:color w:val="000000" w:themeColor="text1"/>
          <w:sz w:val="24"/>
          <w:szCs w:val="24"/>
          <w:lang w:val="ro-MD"/>
        </w:rPr>
      </w:pPr>
    </w:p>
    <w:sectPr w:rsidR="00E52459" w:rsidRPr="00736448" w:rsidSect="00860800">
      <w:type w:val="continuous"/>
      <w:pgSz w:w="12240" w:h="15840"/>
      <w:pgMar w:top="993" w:right="851" w:bottom="1140"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8FDFE" w14:textId="77777777" w:rsidR="0082127C" w:rsidRDefault="0082127C" w:rsidP="009351E2">
      <w:pPr>
        <w:spacing w:after="0" w:line="240" w:lineRule="auto"/>
      </w:pPr>
      <w:r>
        <w:separator/>
      </w:r>
    </w:p>
  </w:endnote>
  <w:endnote w:type="continuationSeparator" w:id="0">
    <w:p w14:paraId="502E1DC5" w14:textId="77777777" w:rsidR="0082127C" w:rsidRDefault="0082127C" w:rsidP="00935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rPr>
      <w:id w:val="-1459638755"/>
      <w:docPartObj>
        <w:docPartGallery w:val="Page Numbers (Bottom of Page)"/>
        <w:docPartUnique/>
      </w:docPartObj>
    </w:sdtPr>
    <w:sdtEndPr>
      <w:rPr>
        <w:noProof/>
      </w:rPr>
    </w:sdtEndPr>
    <w:sdtContent>
      <w:p w14:paraId="42B2D18C" w14:textId="042783EC" w:rsidR="00FB7074" w:rsidRPr="0018370A" w:rsidRDefault="00FB7074">
        <w:pPr>
          <w:pStyle w:val="ae"/>
          <w:jc w:val="right"/>
          <w:rPr>
            <w:rFonts w:asciiTheme="majorHAnsi" w:hAnsiTheme="majorHAnsi" w:cstheme="majorHAnsi"/>
          </w:rPr>
        </w:pPr>
        <w:r w:rsidRPr="0018370A">
          <w:rPr>
            <w:rFonts w:asciiTheme="majorHAnsi" w:hAnsiTheme="majorHAnsi" w:cstheme="majorHAnsi"/>
          </w:rPr>
          <w:fldChar w:fldCharType="begin"/>
        </w:r>
        <w:r w:rsidRPr="0018370A">
          <w:rPr>
            <w:rFonts w:asciiTheme="majorHAnsi" w:hAnsiTheme="majorHAnsi" w:cstheme="majorHAnsi"/>
          </w:rPr>
          <w:instrText xml:space="preserve"> PAGE   \* MERGEFORMAT </w:instrText>
        </w:r>
        <w:r w:rsidRPr="0018370A">
          <w:rPr>
            <w:rFonts w:asciiTheme="majorHAnsi" w:hAnsiTheme="majorHAnsi" w:cstheme="majorHAnsi"/>
          </w:rPr>
          <w:fldChar w:fldCharType="separate"/>
        </w:r>
        <w:r w:rsidR="0071520C">
          <w:rPr>
            <w:rFonts w:asciiTheme="majorHAnsi" w:hAnsiTheme="majorHAnsi" w:cstheme="majorHAnsi"/>
            <w:noProof/>
          </w:rPr>
          <w:t>79</w:t>
        </w:r>
        <w:r w:rsidRPr="0018370A">
          <w:rPr>
            <w:rFonts w:asciiTheme="majorHAnsi" w:hAnsiTheme="majorHAnsi" w:cstheme="majorHAnsi"/>
            <w:noProof/>
          </w:rPr>
          <w:fldChar w:fldCharType="end"/>
        </w:r>
      </w:p>
    </w:sdtContent>
  </w:sdt>
  <w:p w14:paraId="474A947C" w14:textId="77777777" w:rsidR="00FB7074" w:rsidRDefault="00FB707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F2550" w14:textId="77777777" w:rsidR="0082127C" w:rsidRDefault="0082127C" w:rsidP="009351E2">
      <w:pPr>
        <w:spacing w:after="0" w:line="240" w:lineRule="auto"/>
      </w:pPr>
      <w:r>
        <w:separator/>
      </w:r>
    </w:p>
  </w:footnote>
  <w:footnote w:type="continuationSeparator" w:id="0">
    <w:p w14:paraId="47DCA458" w14:textId="77777777" w:rsidR="0082127C" w:rsidRDefault="0082127C" w:rsidP="009351E2">
      <w:pPr>
        <w:spacing w:after="0" w:line="240" w:lineRule="auto"/>
      </w:pPr>
      <w:r>
        <w:continuationSeparator/>
      </w:r>
    </w:p>
  </w:footnote>
  <w:footnote w:id="1">
    <w:p w14:paraId="2D891D75" w14:textId="34E7EED6" w:rsidR="00FB7074" w:rsidRPr="002A764D" w:rsidRDefault="00FB7074" w:rsidP="002A764D">
      <w:pPr>
        <w:pStyle w:val="a8"/>
        <w:jc w:val="both"/>
        <w:rPr>
          <w:rFonts w:asciiTheme="majorHAnsi" w:hAnsiTheme="majorHAnsi" w:cstheme="majorHAnsi"/>
          <w:noProof/>
          <w:sz w:val="16"/>
          <w:szCs w:val="16"/>
          <w:highlight w:val="yellow"/>
          <w:lang w:val="ro-RO"/>
        </w:rPr>
      </w:pPr>
      <w:r w:rsidRPr="002A764D">
        <w:rPr>
          <w:rStyle w:val="a5"/>
          <w:rFonts w:asciiTheme="majorHAnsi" w:hAnsiTheme="majorHAnsi" w:cstheme="majorHAnsi"/>
          <w:sz w:val="16"/>
          <w:szCs w:val="16"/>
          <w:lang w:val="ro-RO"/>
        </w:rPr>
        <w:footnoteRef/>
      </w:r>
      <w:r w:rsidRPr="002A764D">
        <w:rPr>
          <w:rFonts w:asciiTheme="majorHAnsi" w:hAnsiTheme="majorHAnsi" w:cstheme="majorHAnsi"/>
          <w:sz w:val="16"/>
          <w:szCs w:val="16"/>
          <w:lang w:val="ro-RO"/>
        </w:rPr>
        <w:t xml:space="preserve"> </w:t>
      </w:r>
      <w:r w:rsidRPr="002A764D">
        <w:rPr>
          <w:rFonts w:asciiTheme="majorHAnsi" w:hAnsiTheme="majorHAnsi" w:cstheme="majorHAnsi"/>
          <w:noProof/>
          <w:sz w:val="16"/>
          <w:szCs w:val="16"/>
          <w:lang w:val="ro-RO"/>
        </w:rPr>
        <w:t>Raportul privind executarea indicatorilor generali ai bugetului asigurărilor sociale de stat – Formularul nr.1 CNAS (conform Anexei nr.1 la Legea bugetului asigurărilor sociale de stat); Raportul privind executarea subprogramelor de cheltuieli ale bugetului asigurărilor sociale de stat – Formularul nr.2 CNAS (conform Anexei nr.2 la Legea bugetului asigurărilor sociale de stat); Raportul privind executarea bugetului asigurărilor sociale de stat – Formularul nr.4 CNAS; Raportul privind executarea bugetului asigurărilor sociale de stat la partea de cheltuieli şi active nefinanciare – Formularul nr.4.1 CNAS; Raport privind executarea bugetului asigurărilor sociale de stat la partea de venituri – Formularul nr. 4.2 CNAS</w:t>
      </w:r>
      <w:r w:rsidRPr="00653E85">
        <w:rPr>
          <w:rFonts w:asciiTheme="majorHAnsi" w:hAnsiTheme="majorHAnsi" w:cstheme="majorHAnsi"/>
          <w:noProof/>
          <w:sz w:val="16"/>
          <w:szCs w:val="16"/>
          <w:lang w:val="ro-RO"/>
        </w:rPr>
        <w:t xml:space="preserve">; </w:t>
      </w:r>
      <w:r w:rsidRPr="002A764D">
        <w:rPr>
          <w:rFonts w:asciiTheme="majorHAnsi" w:hAnsiTheme="majorHAnsi" w:cstheme="majorHAnsi"/>
          <w:noProof/>
          <w:sz w:val="16"/>
          <w:szCs w:val="16"/>
          <w:lang w:val="ro-RO"/>
        </w:rPr>
        <w:t xml:space="preserve">Raportul privind executarea bugetului asigurărilor sociale de stat (descrierea narativă). </w:t>
      </w:r>
    </w:p>
  </w:footnote>
  <w:footnote w:id="2">
    <w:p w14:paraId="003BD40B" w14:textId="77777777" w:rsidR="00FB7074" w:rsidRPr="00672F87" w:rsidRDefault="00FB7074" w:rsidP="002A764D">
      <w:pPr>
        <w:pStyle w:val="a3"/>
        <w:jc w:val="both"/>
        <w:rPr>
          <w:rFonts w:asciiTheme="majorHAnsi" w:hAnsiTheme="majorHAnsi" w:cstheme="majorHAnsi"/>
          <w:sz w:val="16"/>
          <w:szCs w:val="16"/>
          <w:lang w:val="ro-RO"/>
        </w:rPr>
      </w:pPr>
      <w:r w:rsidRPr="002A764D">
        <w:rPr>
          <w:rStyle w:val="a5"/>
          <w:rFonts w:asciiTheme="majorHAnsi" w:hAnsiTheme="majorHAnsi" w:cstheme="majorHAnsi"/>
          <w:sz w:val="16"/>
          <w:szCs w:val="16"/>
          <w:lang w:val="ro-RO"/>
        </w:rPr>
        <w:footnoteRef/>
      </w:r>
      <w:r w:rsidRPr="002A764D">
        <w:rPr>
          <w:rFonts w:asciiTheme="majorHAnsi" w:hAnsiTheme="majorHAnsi" w:cstheme="majorHAnsi"/>
          <w:sz w:val="16"/>
          <w:szCs w:val="16"/>
          <w:lang w:val="ro-RO"/>
        </w:rPr>
        <w:t xml:space="preserve"> </w:t>
      </w:r>
      <w:r w:rsidRPr="002A764D">
        <w:rPr>
          <w:rFonts w:asciiTheme="majorHAnsi" w:hAnsiTheme="majorHAnsi" w:cstheme="majorHAnsi"/>
          <w:noProof/>
          <w:sz w:val="16"/>
          <w:szCs w:val="16"/>
          <w:lang w:val="ro-RO"/>
        </w:rPr>
        <w:t>Ordinul ministrului Finanțelor nr.38 din 17.02.2017 „Cu privire la aprobarea formularelor Rapoartelor privind executarea bugetului asigurărilor sociale de stat şi Normelor metodologice privind modul de î</w:t>
      </w:r>
      <w:r w:rsidRPr="00672F87">
        <w:rPr>
          <w:rFonts w:asciiTheme="majorHAnsi" w:hAnsiTheme="majorHAnsi" w:cstheme="majorHAnsi"/>
          <w:noProof/>
          <w:sz w:val="16"/>
          <w:szCs w:val="16"/>
          <w:lang w:val="ro-RO"/>
        </w:rPr>
        <w:t>ntocmire a acestora” (cu modificările și completările ulterioare), (în continuare – Ordinul ministrului Finanțelor nr.38 din 17.02.2017).</w:t>
      </w:r>
    </w:p>
  </w:footnote>
  <w:footnote w:id="3">
    <w:p w14:paraId="124268DD" w14:textId="77777777" w:rsidR="00FB7074" w:rsidRPr="00653E85" w:rsidRDefault="00FB7074" w:rsidP="002A764D">
      <w:pPr>
        <w:pStyle w:val="a3"/>
        <w:jc w:val="both"/>
        <w:rPr>
          <w:rFonts w:asciiTheme="majorHAnsi" w:hAnsiTheme="majorHAnsi" w:cstheme="majorHAnsi"/>
          <w:sz w:val="16"/>
          <w:szCs w:val="16"/>
          <w:lang w:val="ro-RO"/>
        </w:rPr>
      </w:pPr>
      <w:r w:rsidRPr="00653E85">
        <w:rPr>
          <w:rStyle w:val="a5"/>
          <w:rFonts w:asciiTheme="majorHAnsi" w:hAnsiTheme="majorHAnsi" w:cstheme="majorHAnsi"/>
          <w:sz w:val="16"/>
          <w:szCs w:val="16"/>
          <w:lang w:val="ro-RO"/>
        </w:rPr>
        <w:footnoteRef/>
      </w:r>
      <w:r w:rsidRPr="00653E85">
        <w:rPr>
          <w:rFonts w:asciiTheme="majorHAnsi" w:hAnsiTheme="majorHAnsi" w:cstheme="majorHAnsi"/>
          <w:sz w:val="16"/>
          <w:szCs w:val="16"/>
          <w:lang w:val="ro-RO"/>
        </w:rPr>
        <w:t xml:space="preserve"> Hotărârea Curții de Conturi nr.2 din 24.01.2020 „Cu privire la Cadrul Declarațiilor Profesionale ale INTOSAI”.</w:t>
      </w:r>
    </w:p>
  </w:footnote>
  <w:footnote w:id="4">
    <w:p w14:paraId="568BE4C4" w14:textId="0B9C5208" w:rsidR="00FB7074" w:rsidRPr="00653E85" w:rsidRDefault="00FB7074" w:rsidP="00653E85">
      <w:pPr>
        <w:pStyle w:val="a3"/>
        <w:jc w:val="both"/>
        <w:rPr>
          <w:rFonts w:asciiTheme="majorHAnsi" w:hAnsiTheme="majorHAnsi" w:cstheme="majorHAnsi"/>
          <w:sz w:val="16"/>
          <w:szCs w:val="16"/>
          <w:lang w:val="ro-RO"/>
        </w:rPr>
      </w:pPr>
      <w:r w:rsidRPr="00653E85">
        <w:rPr>
          <w:rStyle w:val="a5"/>
          <w:rFonts w:asciiTheme="majorHAnsi" w:hAnsiTheme="majorHAnsi" w:cstheme="majorHAnsi"/>
          <w:sz w:val="16"/>
          <w:szCs w:val="16"/>
          <w:lang w:val="ro-RO"/>
        </w:rPr>
        <w:footnoteRef/>
      </w:r>
      <w:r w:rsidRPr="00653E85">
        <w:rPr>
          <w:rFonts w:asciiTheme="majorHAnsi" w:hAnsiTheme="majorHAnsi" w:cstheme="majorHAnsi"/>
          <w:sz w:val="16"/>
          <w:szCs w:val="16"/>
          <w:lang w:val="ro-RO"/>
        </w:rPr>
        <w:t xml:space="preserve"> Ordinul CNAS nr.191-A din 29.09.2017, anexa nr.2 la  Instrucțiunea privind eviden</w:t>
      </w:r>
      <w:r>
        <w:rPr>
          <w:rFonts w:asciiTheme="majorHAnsi" w:hAnsiTheme="majorHAnsi" w:cstheme="majorHAnsi"/>
          <w:sz w:val="16"/>
          <w:szCs w:val="16"/>
          <w:lang w:val="ro-RO"/>
        </w:rPr>
        <w:t>ț</w:t>
      </w:r>
      <w:r w:rsidRPr="00653E85">
        <w:rPr>
          <w:rFonts w:asciiTheme="majorHAnsi" w:hAnsiTheme="majorHAnsi" w:cstheme="majorHAnsi"/>
          <w:sz w:val="16"/>
          <w:szCs w:val="16"/>
          <w:lang w:val="ro-RO"/>
        </w:rPr>
        <w:t>a contabilă a CNAS</w:t>
      </w:r>
      <w:r>
        <w:rPr>
          <w:rFonts w:asciiTheme="majorHAnsi" w:hAnsiTheme="majorHAnsi" w:cstheme="majorHAnsi"/>
          <w:sz w:val="16"/>
          <w:szCs w:val="16"/>
          <w:lang w:val="ro-RO"/>
        </w:rPr>
        <w:t>.</w:t>
      </w:r>
    </w:p>
  </w:footnote>
  <w:footnote w:id="5">
    <w:p w14:paraId="4FD40E8A" w14:textId="715DDA64" w:rsidR="00FB7074" w:rsidRPr="00672F87" w:rsidRDefault="00FB7074" w:rsidP="00653E85">
      <w:pPr>
        <w:pStyle w:val="a3"/>
        <w:jc w:val="both"/>
        <w:rPr>
          <w:rFonts w:asciiTheme="majorHAnsi" w:hAnsiTheme="majorHAnsi" w:cstheme="majorHAnsi"/>
          <w:sz w:val="16"/>
          <w:szCs w:val="16"/>
          <w:lang w:val="ro-RO"/>
        </w:rPr>
      </w:pPr>
      <w:r w:rsidRPr="00653E85">
        <w:rPr>
          <w:rFonts w:asciiTheme="majorHAnsi" w:hAnsiTheme="majorHAnsi" w:cstheme="majorHAnsi"/>
          <w:sz w:val="16"/>
          <w:szCs w:val="16"/>
          <w:vertAlign w:val="superscript"/>
          <w:lang w:val="ro-RO"/>
        </w:rPr>
        <w:footnoteRef/>
      </w:r>
      <w:r w:rsidRPr="00653E85">
        <w:rPr>
          <w:rFonts w:asciiTheme="majorHAnsi" w:hAnsiTheme="majorHAnsi" w:cstheme="majorHAnsi"/>
          <w:sz w:val="16"/>
          <w:szCs w:val="16"/>
          <w:vertAlign w:val="superscript"/>
          <w:lang w:val="ro-RO"/>
        </w:rPr>
        <w:t xml:space="preserve"> </w:t>
      </w:r>
      <w:r w:rsidRPr="00672F87">
        <w:rPr>
          <w:rFonts w:asciiTheme="majorHAnsi" w:hAnsiTheme="majorHAnsi" w:cstheme="majorHAnsi"/>
          <w:sz w:val="16"/>
          <w:szCs w:val="16"/>
          <w:lang w:val="ro-RO"/>
        </w:rPr>
        <w:t>Legea contabilității nr.113/2007</w:t>
      </w:r>
      <w:r>
        <w:rPr>
          <w:rFonts w:asciiTheme="majorHAnsi" w:hAnsiTheme="majorHAnsi" w:cstheme="majorHAnsi"/>
          <w:sz w:val="16"/>
          <w:szCs w:val="16"/>
          <w:lang w:val="ro-RO"/>
        </w:rPr>
        <w:t>.</w:t>
      </w:r>
    </w:p>
  </w:footnote>
  <w:footnote w:id="6">
    <w:p w14:paraId="153EAE16" w14:textId="0130736D" w:rsidR="00FB7074" w:rsidRPr="00653E85" w:rsidRDefault="00FB7074" w:rsidP="00653E85">
      <w:pPr>
        <w:pStyle w:val="a3"/>
        <w:jc w:val="both"/>
        <w:rPr>
          <w:rFonts w:asciiTheme="majorHAnsi" w:hAnsiTheme="majorHAnsi" w:cstheme="majorHAnsi"/>
          <w:sz w:val="16"/>
          <w:szCs w:val="16"/>
          <w:lang w:val="ro-RO"/>
        </w:rPr>
      </w:pPr>
      <w:r w:rsidRPr="00672F87">
        <w:rPr>
          <w:rStyle w:val="a5"/>
          <w:rFonts w:asciiTheme="majorHAnsi" w:hAnsiTheme="majorHAnsi" w:cstheme="majorHAnsi"/>
          <w:sz w:val="16"/>
          <w:szCs w:val="16"/>
          <w:lang w:val="ro-RO"/>
        </w:rPr>
        <w:footnoteRef/>
      </w:r>
      <w:r w:rsidRPr="00672F87">
        <w:rPr>
          <w:rFonts w:asciiTheme="majorHAnsi" w:hAnsiTheme="majorHAnsi" w:cstheme="majorHAnsi"/>
          <w:sz w:val="16"/>
          <w:szCs w:val="16"/>
          <w:lang w:val="ro-RO"/>
        </w:rPr>
        <w:t xml:space="preserve"> Hotărârea Guvernului nr.71 din 22.02.2023 </w:t>
      </w:r>
      <w:r>
        <w:rPr>
          <w:rFonts w:asciiTheme="majorHAnsi" w:hAnsiTheme="majorHAnsi" w:cstheme="majorHAnsi"/>
          <w:sz w:val="16"/>
          <w:szCs w:val="16"/>
          <w:lang w:val="ro-RO"/>
        </w:rPr>
        <w:t>„C</w:t>
      </w:r>
      <w:r w:rsidRPr="00672F87">
        <w:rPr>
          <w:rFonts w:asciiTheme="majorHAnsi" w:hAnsiTheme="majorHAnsi" w:cstheme="majorHAnsi"/>
          <w:sz w:val="16"/>
          <w:szCs w:val="16"/>
          <w:lang w:val="ro-RO"/>
        </w:rPr>
        <w:t>u</w:t>
      </w:r>
      <w:r w:rsidRPr="00653E85">
        <w:rPr>
          <w:rFonts w:asciiTheme="majorHAnsi" w:hAnsiTheme="majorHAnsi" w:cstheme="majorHAnsi"/>
          <w:sz w:val="16"/>
          <w:szCs w:val="16"/>
          <w:lang w:val="ro-RO"/>
        </w:rPr>
        <w:t xml:space="preserve"> privire la aprobarea Strategiei de dezvoltare a managementului finanțelor publice pentru anii 2023-2030</w:t>
      </w:r>
      <w:r>
        <w:rPr>
          <w:rFonts w:asciiTheme="majorHAnsi" w:hAnsiTheme="majorHAnsi" w:cstheme="majorHAnsi"/>
          <w:sz w:val="16"/>
          <w:szCs w:val="16"/>
          <w:lang w:val="ro-RO"/>
        </w:rPr>
        <w:t>”</w:t>
      </w:r>
      <w:r w:rsidRPr="00653E85">
        <w:rPr>
          <w:rFonts w:asciiTheme="majorHAnsi" w:hAnsiTheme="majorHAnsi" w:cstheme="majorHAnsi"/>
          <w:sz w:val="16"/>
          <w:szCs w:val="16"/>
          <w:lang w:val="ro-RO"/>
        </w:rPr>
        <w:t>.</w:t>
      </w:r>
    </w:p>
  </w:footnote>
  <w:footnote w:id="7">
    <w:p w14:paraId="42C210D3" w14:textId="72AE25A4" w:rsidR="00FB7074" w:rsidRPr="00C322EA" w:rsidRDefault="00FB7074" w:rsidP="00F77382">
      <w:pPr>
        <w:pStyle w:val="a3"/>
        <w:jc w:val="both"/>
        <w:rPr>
          <w:rFonts w:asciiTheme="majorHAnsi" w:hAnsiTheme="majorHAnsi" w:cstheme="majorHAnsi"/>
          <w:sz w:val="16"/>
          <w:szCs w:val="16"/>
          <w:lang w:val="ro-MD"/>
        </w:rPr>
      </w:pPr>
      <w:r w:rsidRPr="00C322EA">
        <w:rPr>
          <w:rStyle w:val="a5"/>
          <w:rFonts w:asciiTheme="majorHAnsi" w:hAnsiTheme="majorHAnsi" w:cstheme="majorHAnsi"/>
          <w:sz w:val="16"/>
          <w:szCs w:val="16"/>
          <w:lang w:val="ro-MD"/>
        </w:rPr>
        <w:footnoteRef/>
      </w:r>
      <w:r w:rsidRPr="00C322EA">
        <w:rPr>
          <w:rFonts w:asciiTheme="majorHAnsi" w:hAnsiTheme="majorHAnsi" w:cstheme="majorHAnsi"/>
          <w:sz w:val="16"/>
          <w:szCs w:val="16"/>
          <w:lang w:val="ro-MD"/>
        </w:rPr>
        <w:t xml:space="preserve"> </w:t>
      </w:r>
      <w:r w:rsidRPr="00C322EA">
        <w:rPr>
          <w:rFonts w:asciiTheme="majorHAnsi" w:eastAsia="Times New Roman" w:hAnsiTheme="majorHAnsi" w:cstheme="majorHAnsi"/>
          <w:sz w:val="16"/>
          <w:szCs w:val="16"/>
          <w:lang w:val="ro-MD"/>
        </w:rPr>
        <w:t>Art.1 din Legea nr.489-XIV din 08.07.1999 privind sistemul public de asigurări sociale</w:t>
      </w:r>
      <w:r>
        <w:rPr>
          <w:rFonts w:asciiTheme="majorHAnsi" w:eastAsia="Times New Roman" w:hAnsiTheme="majorHAnsi" w:cstheme="majorHAnsi"/>
          <w:sz w:val="16"/>
          <w:szCs w:val="16"/>
          <w:lang w:val="ro-MD"/>
        </w:rPr>
        <w:t>.</w:t>
      </w:r>
    </w:p>
  </w:footnote>
  <w:footnote w:id="8">
    <w:p w14:paraId="2A0C3DEE" w14:textId="4C128AD4" w:rsidR="00FB7074" w:rsidRPr="00C322EA" w:rsidRDefault="00FB7074" w:rsidP="00F77382">
      <w:pPr>
        <w:pStyle w:val="a3"/>
        <w:jc w:val="both"/>
        <w:rPr>
          <w:rFonts w:asciiTheme="majorHAnsi" w:eastAsia="Times New Roman" w:hAnsiTheme="majorHAnsi" w:cstheme="majorHAnsi"/>
          <w:sz w:val="16"/>
          <w:szCs w:val="16"/>
          <w:lang w:val="ro-MD"/>
        </w:rPr>
      </w:pPr>
      <w:r w:rsidRPr="00C322EA">
        <w:rPr>
          <w:rStyle w:val="a5"/>
          <w:rFonts w:asciiTheme="majorHAnsi" w:hAnsiTheme="majorHAnsi" w:cstheme="majorHAnsi"/>
          <w:sz w:val="16"/>
          <w:szCs w:val="16"/>
          <w:lang w:val="ro-MD"/>
        </w:rPr>
        <w:footnoteRef/>
      </w:r>
      <w:r w:rsidRPr="00C322EA">
        <w:rPr>
          <w:rFonts w:asciiTheme="majorHAnsi" w:hAnsiTheme="majorHAnsi" w:cstheme="majorHAnsi"/>
          <w:sz w:val="16"/>
          <w:szCs w:val="16"/>
          <w:lang w:val="ro-MD"/>
        </w:rPr>
        <w:t xml:space="preserve"> </w:t>
      </w:r>
      <w:r w:rsidRPr="00C322EA">
        <w:rPr>
          <w:rFonts w:asciiTheme="majorHAnsi" w:eastAsia="Times New Roman" w:hAnsiTheme="majorHAnsi" w:cstheme="majorHAnsi"/>
          <w:sz w:val="16"/>
          <w:szCs w:val="16"/>
          <w:lang w:val="ro-MD"/>
        </w:rPr>
        <w:t>Art.10 din Legea nr.489-XIV din 08.07.1999 privind sistemul public de asigurări sociale</w:t>
      </w:r>
      <w:r>
        <w:rPr>
          <w:rFonts w:asciiTheme="majorHAnsi" w:eastAsia="Times New Roman" w:hAnsiTheme="majorHAnsi" w:cstheme="majorHAnsi"/>
          <w:sz w:val="16"/>
          <w:szCs w:val="16"/>
          <w:lang w:val="ro-MD"/>
        </w:rPr>
        <w:t>.</w:t>
      </w:r>
    </w:p>
  </w:footnote>
  <w:footnote w:id="9">
    <w:p w14:paraId="32B08DAE" w14:textId="592DA988" w:rsidR="00FB7074" w:rsidRPr="00C322EA" w:rsidRDefault="00FB7074" w:rsidP="00F77382">
      <w:pPr>
        <w:pStyle w:val="a3"/>
        <w:jc w:val="both"/>
        <w:rPr>
          <w:rFonts w:asciiTheme="majorHAnsi" w:hAnsiTheme="majorHAnsi" w:cstheme="majorHAnsi"/>
          <w:sz w:val="16"/>
          <w:szCs w:val="16"/>
          <w:lang w:val="ro-MD"/>
        </w:rPr>
      </w:pPr>
      <w:r w:rsidRPr="00C322EA">
        <w:rPr>
          <w:rStyle w:val="a5"/>
          <w:rFonts w:asciiTheme="majorHAnsi" w:hAnsiTheme="majorHAnsi" w:cstheme="majorHAnsi"/>
          <w:sz w:val="16"/>
          <w:szCs w:val="16"/>
          <w:lang w:val="ro-MD"/>
        </w:rPr>
        <w:footnoteRef/>
      </w:r>
      <w:r w:rsidRPr="00C322EA">
        <w:rPr>
          <w:rFonts w:asciiTheme="majorHAnsi" w:hAnsiTheme="majorHAnsi" w:cstheme="majorHAnsi"/>
          <w:sz w:val="16"/>
          <w:szCs w:val="16"/>
          <w:lang w:val="ro-MD"/>
        </w:rPr>
        <w:t xml:space="preserve"> </w:t>
      </w:r>
      <w:r w:rsidRPr="00C322EA">
        <w:rPr>
          <w:rFonts w:asciiTheme="majorHAnsi" w:eastAsia="Times New Roman" w:hAnsiTheme="majorHAnsi" w:cstheme="majorHAnsi"/>
          <w:sz w:val="16"/>
          <w:szCs w:val="16"/>
          <w:lang w:val="ro-MD"/>
        </w:rPr>
        <w:t>Art.22 din Legea finanțelor publice şi responsabilității bugetar-fiscale</w:t>
      </w:r>
      <w:r>
        <w:rPr>
          <w:rFonts w:asciiTheme="majorHAnsi" w:eastAsia="Times New Roman" w:hAnsiTheme="majorHAnsi" w:cstheme="majorHAnsi"/>
          <w:sz w:val="16"/>
          <w:szCs w:val="16"/>
          <w:lang w:val="ro-MD"/>
        </w:rPr>
        <w:t xml:space="preserve"> </w:t>
      </w:r>
      <w:r w:rsidRPr="00C322EA">
        <w:rPr>
          <w:rFonts w:asciiTheme="majorHAnsi" w:eastAsia="Times New Roman" w:hAnsiTheme="majorHAnsi" w:cstheme="majorHAnsi"/>
          <w:sz w:val="16"/>
          <w:szCs w:val="16"/>
          <w:lang w:val="ro-MD"/>
        </w:rPr>
        <w:t>nr.181 din 25.07.2014</w:t>
      </w:r>
      <w:r>
        <w:rPr>
          <w:rFonts w:asciiTheme="majorHAnsi" w:eastAsia="Times New Roman" w:hAnsiTheme="majorHAnsi" w:cstheme="majorHAnsi"/>
          <w:sz w:val="16"/>
          <w:szCs w:val="16"/>
          <w:lang w:val="ro-MD"/>
        </w:rPr>
        <w:t>.</w:t>
      </w:r>
    </w:p>
  </w:footnote>
  <w:footnote w:id="10">
    <w:p w14:paraId="3A382B38" w14:textId="19037F10" w:rsidR="00FB7074" w:rsidRPr="00617E4A" w:rsidRDefault="00FB7074" w:rsidP="00AC6A9E">
      <w:pPr>
        <w:pStyle w:val="a3"/>
        <w:rPr>
          <w:rFonts w:asciiTheme="majorHAnsi" w:hAnsiTheme="majorHAnsi" w:cstheme="majorHAnsi"/>
          <w:sz w:val="16"/>
          <w:szCs w:val="16"/>
          <w:lang w:val="ro-MD"/>
        </w:rPr>
      </w:pPr>
      <w:r w:rsidRPr="00617E4A">
        <w:rPr>
          <w:rFonts w:asciiTheme="majorHAnsi" w:hAnsiTheme="majorHAnsi" w:cstheme="majorHAnsi"/>
          <w:sz w:val="16"/>
          <w:szCs w:val="16"/>
          <w:vertAlign w:val="superscript"/>
          <w:lang w:val="ro-MD"/>
        </w:rPr>
        <w:footnoteRef/>
      </w:r>
      <w:r>
        <w:rPr>
          <w:rFonts w:asciiTheme="majorHAnsi" w:hAnsiTheme="majorHAnsi" w:cstheme="majorHAnsi"/>
          <w:sz w:val="16"/>
          <w:szCs w:val="16"/>
          <w:lang w:val="ro-MD"/>
        </w:rPr>
        <w:t xml:space="preserve"> Legea finanțelor publice și responsabilității bugetar-fiscale nr.181 din 25.07.2014.</w:t>
      </w:r>
    </w:p>
  </w:footnote>
  <w:footnote w:id="11">
    <w:p w14:paraId="17DEE979" w14:textId="362E4E20" w:rsidR="00FB7074" w:rsidRPr="001D2280" w:rsidRDefault="00FB7074" w:rsidP="00856C28">
      <w:pPr>
        <w:pStyle w:val="a3"/>
        <w:jc w:val="both"/>
        <w:rPr>
          <w:rFonts w:asciiTheme="majorHAnsi" w:hAnsiTheme="majorHAnsi" w:cstheme="majorHAnsi"/>
          <w:sz w:val="16"/>
          <w:szCs w:val="16"/>
          <w:lang w:val="ro-MD"/>
        </w:rPr>
      </w:pPr>
      <w:r w:rsidRPr="00812372">
        <w:rPr>
          <w:rStyle w:val="a5"/>
          <w:rFonts w:asciiTheme="majorHAnsi" w:hAnsiTheme="majorHAnsi" w:cstheme="majorHAnsi"/>
          <w:sz w:val="16"/>
          <w:szCs w:val="16"/>
          <w:lang w:val="ro-MD"/>
        </w:rPr>
        <w:footnoteRef/>
      </w:r>
      <w:r>
        <w:rPr>
          <w:rFonts w:asciiTheme="majorHAnsi" w:hAnsiTheme="majorHAnsi" w:cstheme="majorHAnsi"/>
          <w:sz w:val="16"/>
          <w:szCs w:val="16"/>
          <w:lang w:val="ro-MD"/>
        </w:rPr>
        <w:t xml:space="preserve"> Legea nr.113/2022, Legea nr.261/2022 și Hotărârea Guvernului nr.784/2022 „Privind redistribuirea unor alocații aprobate prin Legea bugetului asigurărilor sociale de stat pe anul 2022 nr.206/2021 și prin Legea bugetului de stat pentru anul 2022 nr.205/2021.</w:t>
      </w:r>
    </w:p>
  </w:footnote>
  <w:footnote w:id="12">
    <w:p w14:paraId="7370BFFB" w14:textId="53BE5996" w:rsidR="00FB7074" w:rsidRPr="00403833" w:rsidRDefault="00FB7074" w:rsidP="005E7DC9">
      <w:pPr>
        <w:pStyle w:val="a3"/>
        <w:rPr>
          <w:rFonts w:asciiTheme="majorHAnsi" w:hAnsiTheme="majorHAnsi" w:cstheme="majorHAnsi"/>
          <w:lang w:val="ro-MD"/>
        </w:rPr>
      </w:pPr>
      <w:r w:rsidRPr="00403833">
        <w:rPr>
          <w:rStyle w:val="a5"/>
          <w:rFonts w:asciiTheme="majorHAnsi" w:hAnsiTheme="majorHAnsi" w:cstheme="majorHAnsi"/>
          <w:sz w:val="16"/>
          <w:szCs w:val="16"/>
          <w:lang w:val="ro-RO"/>
        </w:rPr>
        <w:footnoteRef/>
      </w:r>
      <w:r w:rsidRPr="00403833">
        <w:rPr>
          <w:rFonts w:asciiTheme="majorHAnsi" w:hAnsiTheme="majorHAnsi" w:cstheme="majorHAnsi"/>
          <w:lang w:val="ro-RO"/>
        </w:rPr>
        <w:t xml:space="preserve"> </w:t>
      </w:r>
      <w:r w:rsidRPr="00403833">
        <w:rPr>
          <w:rFonts w:asciiTheme="majorHAnsi" w:hAnsiTheme="majorHAnsi" w:cstheme="majorHAnsi"/>
          <w:sz w:val="16"/>
          <w:szCs w:val="16"/>
          <w:lang w:val="ro-RO"/>
        </w:rPr>
        <w:t>Raportul privind executarea bugetului asigurărilor sociale de stat la situația de 1 ianuarie 2023 (Formularul nr.4 CNAS).</w:t>
      </w:r>
    </w:p>
  </w:footnote>
  <w:footnote w:id="13">
    <w:p w14:paraId="4781F958" w14:textId="38FC065E" w:rsidR="00FB7074" w:rsidRPr="00736448" w:rsidRDefault="00FB7074" w:rsidP="00736448">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6448">
        <w:rPr>
          <w:rFonts w:asciiTheme="majorHAnsi" w:hAnsiTheme="majorHAnsi" w:cstheme="majorHAnsi"/>
          <w:sz w:val="16"/>
          <w:szCs w:val="16"/>
          <w:lang w:val="ro-RO"/>
        </w:rPr>
        <w:t xml:space="preserve"> Anexa nr.1 la Legea nr. 489-XIV din 08.07.1999 privind sistemul public de asigurări sociale. </w:t>
      </w:r>
    </w:p>
  </w:footnote>
  <w:footnote w:id="14">
    <w:p w14:paraId="604773DE" w14:textId="670090F9" w:rsidR="00FB7074" w:rsidRPr="00732D62" w:rsidRDefault="00FB7074" w:rsidP="00736448">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2D62">
        <w:rPr>
          <w:rFonts w:asciiTheme="majorHAnsi" w:hAnsiTheme="majorHAnsi" w:cstheme="majorHAnsi"/>
          <w:sz w:val="16"/>
          <w:szCs w:val="16"/>
          <w:lang w:val="ro-RO"/>
        </w:rPr>
        <w:t xml:space="preserve"> Legea nr. 22/2018 privind exercitarea unei activități necalificate cu caracter ocazional</w:t>
      </w:r>
      <w:r>
        <w:rPr>
          <w:rFonts w:asciiTheme="majorHAnsi" w:hAnsiTheme="majorHAnsi" w:cstheme="majorHAnsi"/>
          <w:sz w:val="16"/>
          <w:szCs w:val="16"/>
          <w:lang w:val="ro-RO"/>
        </w:rPr>
        <w:t>.</w:t>
      </w:r>
    </w:p>
  </w:footnote>
  <w:footnote w:id="15">
    <w:p w14:paraId="3034EFC1" w14:textId="1BFBAD9F" w:rsidR="00FB7074" w:rsidRPr="00736448" w:rsidRDefault="00FB7074" w:rsidP="00736448">
      <w:pPr>
        <w:pStyle w:val="a3"/>
        <w:jc w:val="both"/>
        <w:rPr>
          <w:rFonts w:asciiTheme="majorHAnsi" w:hAnsiTheme="majorHAnsi" w:cstheme="majorHAnsi"/>
          <w:lang w:val="ro-RO"/>
        </w:rPr>
      </w:pPr>
      <w:r w:rsidRPr="00736448">
        <w:rPr>
          <w:rStyle w:val="a5"/>
          <w:rFonts w:asciiTheme="majorHAnsi" w:hAnsiTheme="majorHAnsi" w:cstheme="majorHAnsi"/>
          <w:sz w:val="16"/>
          <w:szCs w:val="16"/>
          <w:lang w:val="ro-RO"/>
        </w:rPr>
        <w:footnoteRef/>
      </w:r>
      <w:r w:rsidRPr="00732D62">
        <w:rPr>
          <w:rFonts w:asciiTheme="majorHAnsi" w:hAnsiTheme="majorHAnsi" w:cstheme="majorHAnsi"/>
          <w:sz w:val="16"/>
          <w:szCs w:val="16"/>
          <w:lang w:val="ro-RO"/>
        </w:rPr>
        <w:t xml:space="preserve"> Legea </w:t>
      </w:r>
      <w:r>
        <w:rPr>
          <w:rFonts w:asciiTheme="majorHAnsi" w:hAnsiTheme="majorHAnsi" w:cstheme="majorHAnsi"/>
          <w:sz w:val="16"/>
          <w:szCs w:val="16"/>
          <w:lang w:val="ro-RO"/>
        </w:rPr>
        <w:t xml:space="preserve">nr. </w:t>
      </w:r>
      <w:r w:rsidRPr="00732D62">
        <w:rPr>
          <w:rFonts w:asciiTheme="majorHAnsi" w:hAnsiTheme="majorHAnsi" w:cstheme="majorHAnsi"/>
          <w:sz w:val="16"/>
          <w:szCs w:val="16"/>
          <w:lang w:val="ro-RO"/>
        </w:rPr>
        <w:t>160/2022 pentru modificarea unor acte normative</w:t>
      </w:r>
      <w:r>
        <w:rPr>
          <w:rFonts w:asciiTheme="majorHAnsi" w:hAnsiTheme="majorHAnsi" w:cstheme="majorHAnsi"/>
          <w:sz w:val="16"/>
          <w:szCs w:val="16"/>
          <w:lang w:val="ro-RO"/>
        </w:rPr>
        <w:t>.</w:t>
      </w:r>
    </w:p>
  </w:footnote>
  <w:footnote w:id="16">
    <w:p w14:paraId="79DE8C5C" w14:textId="378D0D81" w:rsidR="00FB7074" w:rsidRPr="00732D62" w:rsidRDefault="00FB7074" w:rsidP="00736448">
      <w:pPr>
        <w:pStyle w:val="a3"/>
        <w:jc w:val="both"/>
        <w:rPr>
          <w:rFonts w:asciiTheme="majorHAnsi" w:hAnsiTheme="majorHAnsi" w:cstheme="majorHAnsi"/>
          <w:sz w:val="16"/>
          <w:szCs w:val="16"/>
          <w:lang w:val="ro-RO"/>
        </w:rPr>
      </w:pPr>
      <w:r w:rsidRPr="00732D62">
        <w:rPr>
          <w:rFonts w:asciiTheme="majorHAnsi" w:hAnsiTheme="majorHAnsi" w:cstheme="majorHAnsi"/>
          <w:sz w:val="16"/>
          <w:szCs w:val="16"/>
          <w:vertAlign w:val="superscript"/>
          <w:lang w:val="ro-RO"/>
        </w:rPr>
        <w:footnoteRef/>
      </w:r>
      <w:r w:rsidRPr="00732D62">
        <w:rPr>
          <w:rFonts w:asciiTheme="majorHAnsi" w:hAnsiTheme="majorHAnsi" w:cstheme="majorHAnsi"/>
          <w:sz w:val="16"/>
          <w:szCs w:val="16"/>
          <w:lang w:val="ro-RO"/>
        </w:rPr>
        <w:t xml:space="preserve"> Art.5</w:t>
      </w:r>
      <w:r>
        <w:rPr>
          <w:rFonts w:asciiTheme="majorHAnsi" w:hAnsiTheme="majorHAnsi" w:cstheme="majorHAnsi"/>
          <w:sz w:val="16"/>
          <w:szCs w:val="16"/>
          <w:lang w:val="ro-RO"/>
        </w:rPr>
        <w:t xml:space="preserve"> alin.</w:t>
      </w:r>
      <w:r w:rsidRPr="00732D62">
        <w:rPr>
          <w:rFonts w:asciiTheme="majorHAnsi" w:hAnsiTheme="majorHAnsi" w:cstheme="majorHAnsi"/>
          <w:sz w:val="16"/>
          <w:szCs w:val="16"/>
          <w:lang w:val="ro-RO"/>
        </w:rPr>
        <w:t>(1) din Legea bugetului asigurărilor sociale de stat pe anul 2022 nr.206 din 06.12.2021.</w:t>
      </w:r>
    </w:p>
  </w:footnote>
  <w:footnote w:id="17">
    <w:p w14:paraId="69BBB009" w14:textId="394BE109" w:rsidR="00FB7074" w:rsidRPr="00732D62" w:rsidRDefault="00FB7074" w:rsidP="00736448">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2D62">
        <w:rPr>
          <w:rFonts w:asciiTheme="majorHAnsi" w:hAnsiTheme="majorHAnsi" w:cstheme="majorHAnsi"/>
          <w:sz w:val="16"/>
          <w:szCs w:val="16"/>
          <w:lang w:val="ro-RO"/>
        </w:rPr>
        <w:t xml:space="preserve"> Art.5</w:t>
      </w:r>
      <w:r>
        <w:rPr>
          <w:rFonts w:asciiTheme="majorHAnsi" w:hAnsiTheme="majorHAnsi" w:cstheme="majorHAnsi"/>
          <w:sz w:val="16"/>
          <w:szCs w:val="16"/>
          <w:lang w:val="ro-RO"/>
        </w:rPr>
        <w:t xml:space="preserve"> alin.</w:t>
      </w:r>
      <w:r w:rsidRPr="00732D62">
        <w:rPr>
          <w:rFonts w:asciiTheme="majorHAnsi" w:hAnsiTheme="majorHAnsi" w:cstheme="majorHAnsi"/>
          <w:sz w:val="16"/>
          <w:szCs w:val="16"/>
          <w:lang w:val="ro-RO"/>
        </w:rPr>
        <w:t>(3) din Legea bugetului asigurărilor sociale de stat pe anul 2022 nr.206 din 06.12.2021.</w:t>
      </w:r>
    </w:p>
  </w:footnote>
  <w:footnote w:id="18">
    <w:p w14:paraId="605D4AF8" w14:textId="2C644D01" w:rsidR="00FB7074" w:rsidRPr="00732D62" w:rsidRDefault="00FB7074" w:rsidP="00736448">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2D62">
        <w:rPr>
          <w:rFonts w:asciiTheme="majorHAnsi" w:hAnsiTheme="majorHAnsi" w:cstheme="majorHAnsi"/>
          <w:sz w:val="16"/>
          <w:szCs w:val="16"/>
          <w:lang w:val="ro-RO"/>
        </w:rPr>
        <w:t xml:space="preserve"> Raportul privind executarea bugetului asigurărilor sociale de stat la situația de 1 ianuarie 2023 (Formularul nr.4.2 CNAS).</w:t>
      </w:r>
    </w:p>
  </w:footnote>
  <w:footnote w:id="19">
    <w:p w14:paraId="7611F60A" w14:textId="32EC252A" w:rsidR="00FB7074" w:rsidRPr="00736448" w:rsidRDefault="00FB7074" w:rsidP="00736448">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2D62">
        <w:rPr>
          <w:rFonts w:asciiTheme="majorHAnsi" w:hAnsiTheme="majorHAnsi" w:cstheme="majorHAnsi"/>
          <w:sz w:val="16"/>
          <w:szCs w:val="16"/>
          <w:lang w:val="ro-RO"/>
        </w:rPr>
        <w:t xml:space="preserve"> Raportul privind executarea bugetului asigurărilor sociale de stat la situația de 1 ianuarie 2023 (Formularul nr.4.2 CNAS).</w:t>
      </w:r>
    </w:p>
  </w:footnote>
  <w:footnote w:id="20">
    <w:p w14:paraId="366A2979" w14:textId="694E8CEE" w:rsidR="00FB7074" w:rsidRPr="00DC7E48" w:rsidRDefault="00FB7074" w:rsidP="005E7DC9">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rPr>
        <w:footnoteRef/>
      </w:r>
      <w:r w:rsidRPr="00736448">
        <w:rPr>
          <w:rFonts w:asciiTheme="majorHAnsi" w:hAnsiTheme="majorHAnsi" w:cstheme="majorHAnsi"/>
          <w:sz w:val="16"/>
          <w:szCs w:val="16"/>
          <w:lang w:val="ro-RO"/>
        </w:rPr>
        <w:t xml:space="preserve"> </w:t>
      </w:r>
      <w:r w:rsidRPr="00DC7E48">
        <w:rPr>
          <w:rFonts w:asciiTheme="majorHAnsi" w:hAnsiTheme="majorHAnsi" w:cstheme="majorHAnsi"/>
          <w:sz w:val="16"/>
          <w:szCs w:val="16"/>
          <w:lang w:val="ro-MD"/>
        </w:rPr>
        <w:t xml:space="preserve">Hotărârea Guvernului nr.457 din 29.12.2021 </w:t>
      </w:r>
      <w:r>
        <w:rPr>
          <w:rFonts w:asciiTheme="majorHAnsi" w:hAnsiTheme="majorHAnsi" w:cstheme="majorHAnsi"/>
          <w:sz w:val="16"/>
          <w:szCs w:val="16"/>
          <w:lang w:val="ro-MD"/>
        </w:rPr>
        <w:t>„P</w:t>
      </w:r>
      <w:r w:rsidRPr="00DC7E48">
        <w:rPr>
          <w:rFonts w:asciiTheme="majorHAnsi" w:hAnsiTheme="majorHAnsi" w:cstheme="majorHAnsi"/>
          <w:sz w:val="16"/>
          <w:szCs w:val="16"/>
          <w:lang w:val="ro-MD"/>
        </w:rPr>
        <w:t xml:space="preserve">entru modificarea anexei nr. 1 la Regulamentul cu privire la modul de stabilire și plată a indemnizațiilor adresate familiilor cu copii, aprobat prin Hotărârea Guvernului nr. 1478 din 15.11.2002 </w:t>
      </w:r>
      <w:r>
        <w:rPr>
          <w:rFonts w:asciiTheme="majorHAnsi" w:hAnsiTheme="majorHAnsi" w:cstheme="majorHAnsi"/>
          <w:sz w:val="16"/>
          <w:szCs w:val="16"/>
          <w:lang w:val="ro-MD"/>
        </w:rPr>
        <w:t>„C</w:t>
      </w:r>
      <w:r w:rsidRPr="00DC7E48">
        <w:rPr>
          <w:rFonts w:asciiTheme="majorHAnsi" w:hAnsiTheme="majorHAnsi" w:cstheme="majorHAnsi"/>
          <w:sz w:val="16"/>
          <w:szCs w:val="16"/>
          <w:lang w:val="ro-MD"/>
        </w:rPr>
        <w:t>u privire la indemnizațiile adresate familiilor cu copii</w:t>
      </w:r>
      <w:r>
        <w:rPr>
          <w:rFonts w:asciiTheme="majorHAnsi" w:hAnsiTheme="majorHAnsi" w:cstheme="majorHAnsi"/>
          <w:sz w:val="16"/>
          <w:szCs w:val="16"/>
          <w:lang w:val="ro-MD"/>
        </w:rPr>
        <w:t>””</w:t>
      </w:r>
      <w:r w:rsidRPr="00DC7E48">
        <w:rPr>
          <w:rFonts w:asciiTheme="majorHAnsi" w:hAnsiTheme="majorHAnsi" w:cstheme="majorHAnsi"/>
          <w:sz w:val="16"/>
          <w:szCs w:val="16"/>
          <w:lang w:val="ro-MD"/>
        </w:rPr>
        <w:t>.</w:t>
      </w:r>
    </w:p>
  </w:footnote>
  <w:footnote w:id="21">
    <w:p w14:paraId="397B6B8F" w14:textId="05818013" w:rsidR="00FB7074" w:rsidRPr="00736448" w:rsidRDefault="00FB7074" w:rsidP="009B0B3C">
      <w:pPr>
        <w:pStyle w:val="tt"/>
        <w:contextualSpacing/>
        <w:jc w:val="both"/>
        <w:rPr>
          <w:rFonts w:asciiTheme="majorHAnsi" w:hAnsiTheme="majorHAnsi" w:cstheme="majorHAnsi"/>
          <w:b w:val="0"/>
          <w:sz w:val="16"/>
          <w:szCs w:val="16"/>
        </w:rPr>
      </w:pPr>
      <w:r w:rsidRPr="00736448">
        <w:rPr>
          <w:rStyle w:val="a5"/>
          <w:rFonts w:asciiTheme="majorHAnsi" w:eastAsiaTheme="majorEastAsia" w:hAnsiTheme="majorHAnsi" w:cstheme="majorHAnsi"/>
          <w:b w:val="0"/>
          <w:sz w:val="16"/>
          <w:szCs w:val="16"/>
        </w:rPr>
        <w:footnoteRef/>
      </w:r>
      <w:r w:rsidRPr="004C1F58">
        <w:rPr>
          <w:rFonts w:asciiTheme="majorHAnsi" w:hAnsiTheme="majorHAnsi" w:cstheme="majorHAnsi"/>
          <w:b w:val="0"/>
          <w:sz w:val="16"/>
          <w:szCs w:val="16"/>
        </w:rPr>
        <w:t xml:space="preserve"> </w:t>
      </w:r>
      <w:r w:rsidRPr="00736448">
        <w:rPr>
          <w:rFonts w:asciiTheme="majorHAnsi" w:hAnsiTheme="majorHAnsi" w:cstheme="majorHAnsi"/>
          <w:b w:val="0"/>
          <w:sz w:val="16"/>
          <w:szCs w:val="16"/>
        </w:rPr>
        <w:t>Art.62 alin.(2) din Legea  finanțelor publice şi responsabilității bugetar-fiscale nr.181 din 25.07.2014.</w:t>
      </w:r>
    </w:p>
  </w:footnote>
  <w:footnote w:id="22">
    <w:p w14:paraId="4EDA1182" w14:textId="12998A69" w:rsidR="00FB7074" w:rsidRPr="004C1F58" w:rsidRDefault="00FB7074" w:rsidP="009B0B3C">
      <w:pPr>
        <w:pStyle w:val="a3"/>
        <w:contextualSpacing/>
        <w:rPr>
          <w:rFonts w:asciiTheme="majorHAnsi" w:hAnsiTheme="majorHAnsi"/>
          <w:sz w:val="16"/>
          <w:szCs w:val="16"/>
          <w:lang w:val="ro-MD"/>
        </w:rPr>
      </w:pPr>
      <w:r w:rsidRPr="00736448">
        <w:rPr>
          <w:rStyle w:val="a5"/>
          <w:rFonts w:asciiTheme="majorHAnsi" w:hAnsiTheme="majorHAnsi"/>
          <w:sz w:val="16"/>
          <w:szCs w:val="16"/>
          <w:lang w:val="ro-MD"/>
        </w:rPr>
        <w:footnoteRef/>
      </w:r>
      <w:r w:rsidRPr="00736448">
        <w:rPr>
          <w:rFonts w:asciiTheme="majorHAnsi" w:hAnsiTheme="majorHAnsi"/>
          <w:sz w:val="16"/>
          <w:szCs w:val="16"/>
          <w:lang w:val="ro-MD"/>
        </w:rPr>
        <w:t xml:space="preserve"> </w:t>
      </w:r>
      <w:r w:rsidRPr="004C1F58">
        <w:rPr>
          <w:rFonts w:asciiTheme="majorHAnsi" w:hAnsiTheme="majorHAnsi"/>
          <w:sz w:val="16"/>
          <w:szCs w:val="16"/>
          <w:lang w:val="ro-MD"/>
        </w:rPr>
        <w:t>Scrisoarea CNAS nr.780 din 14.02.2022</w:t>
      </w:r>
      <w:r>
        <w:rPr>
          <w:rFonts w:asciiTheme="majorHAnsi" w:hAnsiTheme="majorHAnsi"/>
          <w:sz w:val="16"/>
          <w:szCs w:val="16"/>
          <w:lang w:val="ro-MD"/>
        </w:rPr>
        <w:t>.</w:t>
      </w:r>
    </w:p>
  </w:footnote>
  <w:footnote w:id="23">
    <w:p w14:paraId="0A8C4196" w14:textId="3AF6CD5F" w:rsidR="00FB7074" w:rsidRPr="00736448" w:rsidRDefault="00FB7074" w:rsidP="00883E08">
      <w:pPr>
        <w:pStyle w:val="a3"/>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Scrisoarea MMPS nr.16/1242 din 12.04.2023</w:t>
      </w:r>
      <w:r>
        <w:rPr>
          <w:rFonts w:asciiTheme="majorHAnsi" w:hAnsiTheme="majorHAnsi" w:cstheme="majorHAnsi"/>
          <w:sz w:val="16"/>
          <w:szCs w:val="16"/>
          <w:lang w:val="ro-MD"/>
        </w:rPr>
        <w:t>.</w:t>
      </w:r>
    </w:p>
  </w:footnote>
  <w:footnote w:id="24">
    <w:p w14:paraId="41BCD4A2" w14:textId="541B04CF" w:rsidR="00FB7074" w:rsidRPr="00736448" w:rsidRDefault="00FB7074" w:rsidP="00883E0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3 și art. 6</w:t>
      </w:r>
      <w:r>
        <w:rPr>
          <w:rFonts w:asciiTheme="majorHAnsi" w:hAnsiTheme="majorHAnsi" w:cstheme="majorHAnsi"/>
          <w:sz w:val="16"/>
          <w:szCs w:val="16"/>
          <w:lang w:val="ro-MD"/>
        </w:rPr>
        <w:t xml:space="preserve"> din</w:t>
      </w:r>
      <w:r w:rsidRPr="00736448">
        <w:rPr>
          <w:rFonts w:asciiTheme="majorHAnsi" w:hAnsiTheme="majorHAnsi" w:cstheme="majorHAnsi"/>
          <w:sz w:val="16"/>
          <w:szCs w:val="16"/>
          <w:lang w:val="ro-MD"/>
        </w:rPr>
        <w:t xml:space="preserve"> Legea nr. 139 din 15.06.2012 cu privire la ajutorul de stat</w:t>
      </w:r>
      <w:r>
        <w:rPr>
          <w:rFonts w:asciiTheme="majorHAnsi" w:hAnsiTheme="majorHAnsi" w:cstheme="majorHAnsi"/>
          <w:sz w:val="16"/>
          <w:szCs w:val="16"/>
          <w:lang w:val="ro-MD"/>
        </w:rPr>
        <w:t>.</w:t>
      </w:r>
    </w:p>
  </w:footnote>
  <w:footnote w:id="25">
    <w:p w14:paraId="04362D16" w14:textId="1DE594A6" w:rsidR="00FB7074" w:rsidRPr="00736448" w:rsidRDefault="00FB7074" w:rsidP="00883E08">
      <w:pPr>
        <w:pStyle w:val="a3"/>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19 </w:t>
      </w:r>
      <w:r>
        <w:rPr>
          <w:rFonts w:asciiTheme="majorHAnsi" w:hAnsiTheme="majorHAnsi" w:cstheme="majorHAnsi"/>
          <w:sz w:val="16"/>
          <w:szCs w:val="16"/>
          <w:lang w:val="ro-MD"/>
        </w:rPr>
        <w:t xml:space="preserve">din </w:t>
      </w:r>
      <w:r w:rsidRPr="00736448">
        <w:rPr>
          <w:rFonts w:asciiTheme="majorHAnsi" w:hAnsiTheme="majorHAnsi" w:cstheme="majorHAnsi"/>
          <w:sz w:val="16"/>
          <w:szCs w:val="16"/>
          <w:lang w:val="ro-MD"/>
        </w:rPr>
        <w:t>Legea nr. 139 din 15.06.2012 cu privire la ajutorul de stat</w:t>
      </w:r>
      <w:r>
        <w:rPr>
          <w:rFonts w:asciiTheme="majorHAnsi" w:hAnsiTheme="majorHAnsi" w:cstheme="majorHAnsi"/>
          <w:sz w:val="16"/>
          <w:szCs w:val="16"/>
          <w:lang w:val="ro-MD"/>
        </w:rPr>
        <w:t>.</w:t>
      </w:r>
    </w:p>
  </w:footnote>
  <w:footnote w:id="26">
    <w:p w14:paraId="2D6C5D7D" w14:textId="76AB7287" w:rsidR="00FB7074" w:rsidRPr="00B62DE4" w:rsidRDefault="00FB7074" w:rsidP="001C5AAB">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B62DE4">
        <w:rPr>
          <w:rFonts w:asciiTheme="majorHAnsi" w:hAnsiTheme="majorHAnsi" w:cstheme="majorHAnsi"/>
          <w:sz w:val="16"/>
          <w:szCs w:val="16"/>
          <w:lang w:val="ro-MD"/>
        </w:rPr>
        <w:t xml:space="preserve">Art. 3 </w:t>
      </w:r>
      <w:r>
        <w:rPr>
          <w:rFonts w:asciiTheme="majorHAnsi" w:hAnsiTheme="majorHAnsi" w:cstheme="majorHAnsi"/>
          <w:sz w:val="16"/>
          <w:szCs w:val="16"/>
          <w:lang w:val="ro-MD"/>
        </w:rPr>
        <w:t xml:space="preserve">din </w:t>
      </w:r>
      <w:r w:rsidRPr="00B62DE4">
        <w:rPr>
          <w:rFonts w:asciiTheme="majorHAnsi" w:hAnsiTheme="majorHAnsi" w:cstheme="majorHAnsi"/>
          <w:sz w:val="16"/>
          <w:szCs w:val="16"/>
          <w:lang w:val="ro-MD"/>
        </w:rPr>
        <w:t xml:space="preserve">Legea </w:t>
      </w:r>
      <w:r>
        <w:rPr>
          <w:rFonts w:asciiTheme="majorHAnsi" w:hAnsiTheme="majorHAnsi" w:cstheme="majorHAnsi"/>
          <w:sz w:val="16"/>
          <w:szCs w:val="16"/>
          <w:lang w:val="ro-MD"/>
        </w:rPr>
        <w:t>nr.</w:t>
      </w:r>
      <w:r w:rsidRPr="00B62DE4">
        <w:rPr>
          <w:rFonts w:asciiTheme="majorHAnsi" w:hAnsiTheme="majorHAnsi" w:cstheme="majorHAnsi"/>
          <w:sz w:val="16"/>
          <w:szCs w:val="16"/>
          <w:lang w:val="ro-MD"/>
        </w:rPr>
        <w:t>489 din 08.07.1999 privind sistemul public de asigurări sociale</w:t>
      </w:r>
      <w:r>
        <w:rPr>
          <w:rFonts w:asciiTheme="majorHAnsi" w:hAnsiTheme="majorHAnsi" w:cstheme="majorHAnsi"/>
          <w:sz w:val="16"/>
          <w:szCs w:val="16"/>
          <w:lang w:val="ro-MD"/>
        </w:rPr>
        <w:t>.</w:t>
      </w:r>
    </w:p>
  </w:footnote>
  <w:footnote w:id="27">
    <w:p w14:paraId="0295CC6B" w14:textId="0F379D05" w:rsidR="00FB7074" w:rsidRPr="00E76BA8" w:rsidRDefault="00FB7074" w:rsidP="001C5AAB">
      <w:pPr>
        <w:pStyle w:val="a3"/>
        <w:contextualSpacing/>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Pr>
          <w:rFonts w:asciiTheme="majorHAnsi" w:eastAsia="Times New Roman" w:hAnsiTheme="majorHAnsi" w:cstheme="majorHAnsi"/>
          <w:bCs/>
          <w:sz w:val="16"/>
          <w:szCs w:val="16"/>
          <w:lang w:val="ro-MD" w:eastAsia="ro-RO"/>
        </w:rPr>
        <w:t>P</w:t>
      </w:r>
      <w:r w:rsidRPr="00736448">
        <w:rPr>
          <w:rFonts w:asciiTheme="majorHAnsi" w:eastAsia="Times New Roman" w:hAnsiTheme="majorHAnsi" w:cstheme="majorHAnsi"/>
          <w:bCs/>
          <w:sz w:val="16"/>
          <w:szCs w:val="16"/>
          <w:lang w:val="ro-MD" w:eastAsia="ro-RO"/>
        </w:rPr>
        <w:t>ersoanele angajate prin contract individual de muncă, persoanele aflate în raporturi de serviciu în baza actului administrativ ori prin alte tipuri de contracte civile în vederea executării de lucrări sau prestării de servicii, cu excepția celor specificate la pct. 1.2–1.5; pentru angajații și/sau alte persoane fizice, în baza</w:t>
      </w:r>
      <w:r w:rsidRPr="00E76BA8">
        <w:rPr>
          <w:rFonts w:asciiTheme="majorHAnsi" w:eastAsia="Times New Roman" w:hAnsiTheme="majorHAnsi" w:cstheme="majorHAnsi"/>
          <w:bCs/>
          <w:sz w:val="16"/>
          <w:szCs w:val="16"/>
          <w:lang w:val="ro-RO" w:eastAsia="ro-RO"/>
        </w:rPr>
        <w:t xml:space="preserve"> contractelor civile, în vederea executării de lucrări sau prestării de servicii, în cazul rezidenților parcurilor pentru tehnologia informației; pentru cetățenii Republicii Moldova angajați prin contract în proiecte, în instituții și organizații internaționale, indiferent de sursa de finanțare a activităților, în cazul în care acordurile internaționale la care Republica Moldova este parte nu prevăd scutirea de plată a contribuțiilor de asigurări sociale de stat obligatorii; pentru persoanele care desfășoară activitate în funcții elective ori sunt numite în cadrul autorităților executive; pentru judecători, procurori, Avocați ai Poporului; </w:t>
      </w:r>
      <w:r>
        <w:rPr>
          <w:rFonts w:asciiTheme="majorHAnsi" w:eastAsia="Times New Roman" w:hAnsiTheme="majorHAnsi" w:cstheme="majorHAnsi"/>
          <w:bCs/>
          <w:sz w:val="16"/>
          <w:szCs w:val="16"/>
          <w:lang w:val="ro-RO" w:eastAsia="ro-RO"/>
        </w:rPr>
        <w:t>A</w:t>
      </w:r>
      <w:r w:rsidRPr="00E76BA8">
        <w:rPr>
          <w:rFonts w:asciiTheme="majorHAnsi" w:eastAsia="Times New Roman" w:hAnsiTheme="majorHAnsi" w:cstheme="majorHAnsi"/>
          <w:bCs/>
          <w:sz w:val="16"/>
          <w:szCs w:val="16"/>
          <w:lang w:val="ro-RO" w:eastAsia="ro-RO"/>
        </w:rPr>
        <w:t xml:space="preserve">nexa </w:t>
      </w:r>
      <w:r>
        <w:rPr>
          <w:rFonts w:asciiTheme="majorHAnsi" w:eastAsia="Times New Roman" w:hAnsiTheme="majorHAnsi" w:cstheme="majorHAnsi"/>
          <w:bCs/>
          <w:sz w:val="16"/>
          <w:szCs w:val="16"/>
          <w:lang w:val="ro-RO" w:eastAsia="ro-RO"/>
        </w:rPr>
        <w:t>nr.</w:t>
      </w:r>
      <w:r w:rsidRPr="00E76BA8">
        <w:rPr>
          <w:rFonts w:asciiTheme="majorHAnsi" w:eastAsia="Times New Roman" w:hAnsiTheme="majorHAnsi" w:cstheme="majorHAnsi"/>
          <w:bCs/>
          <w:sz w:val="16"/>
          <w:szCs w:val="16"/>
          <w:lang w:val="ro-RO" w:eastAsia="ro-RO"/>
        </w:rPr>
        <w:t>1</w:t>
      </w:r>
      <w:r>
        <w:rPr>
          <w:rFonts w:asciiTheme="majorHAnsi" w:eastAsia="Times New Roman" w:hAnsiTheme="majorHAnsi" w:cstheme="majorHAnsi"/>
          <w:bCs/>
          <w:sz w:val="16"/>
          <w:szCs w:val="16"/>
          <w:lang w:val="ro-RO" w:eastAsia="ro-RO"/>
        </w:rPr>
        <w:t xml:space="preserve"> la</w:t>
      </w:r>
      <w:r w:rsidRPr="00E76BA8">
        <w:rPr>
          <w:rFonts w:asciiTheme="majorHAnsi" w:eastAsia="Times New Roman" w:hAnsiTheme="majorHAnsi" w:cstheme="majorHAnsi"/>
          <w:bCs/>
          <w:sz w:val="16"/>
          <w:szCs w:val="16"/>
          <w:lang w:val="ro-RO" w:eastAsia="ro-RO"/>
        </w:rPr>
        <w:t xml:space="preserve"> Legea </w:t>
      </w:r>
      <w:r>
        <w:rPr>
          <w:rFonts w:asciiTheme="majorHAnsi" w:eastAsia="Times New Roman" w:hAnsiTheme="majorHAnsi" w:cstheme="majorHAnsi"/>
          <w:bCs/>
          <w:sz w:val="16"/>
          <w:szCs w:val="16"/>
          <w:lang w:val="ro-RO" w:eastAsia="ro-RO"/>
        </w:rPr>
        <w:t>nr.</w:t>
      </w:r>
      <w:r w:rsidRPr="00E76BA8">
        <w:rPr>
          <w:rFonts w:asciiTheme="majorHAnsi" w:eastAsia="Times New Roman" w:hAnsiTheme="majorHAnsi" w:cstheme="majorHAnsi"/>
          <w:bCs/>
          <w:sz w:val="16"/>
          <w:szCs w:val="16"/>
          <w:lang w:val="ro-RO" w:eastAsia="ro-RO"/>
        </w:rPr>
        <w:t>489/1999</w:t>
      </w:r>
      <w:r>
        <w:rPr>
          <w:rFonts w:asciiTheme="majorHAnsi" w:eastAsia="Times New Roman" w:hAnsiTheme="majorHAnsi" w:cstheme="majorHAnsi"/>
          <w:bCs/>
          <w:sz w:val="16"/>
          <w:szCs w:val="16"/>
          <w:lang w:val="ro-RO" w:eastAsia="ro-RO"/>
        </w:rPr>
        <w:t xml:space="preserve"> </w:t>
      </w:r>
      <w:r w:rsidRPr="00B62DE4">
        <w:rPr>
          <w:rFonts w:asciiTheme="majorHAnsi" w:hAnsiTheme="majorHAnsi" w:cstheme="majorHAnsi"/>
          <w:sz w:val="16"/>
          <w:szCs w:val="16"/>
          <w:lang w:val="ro-MD"/>
        </w:rPr>
        <w:t>privind sistemul public de asigurări sociale</w:t>
      </w:r>
      <w:r>
        <w:rPr>
          <w:rFonts w:asciiTheme="majorHAnsi" w:eastAsia="Times New Roman" w:hAnsiTheme="majorHAnsi" w:cstheme="majorHAnsi"/>
          <w:bCs/>
          <w:sz w:val="16"/>
          <w:szCs w:val="16"/>
          <w:lang w:val="ro-RO" w:eastAsia="ro-RO"/>
        </w:rPr>
        <w:t>.</w:t>
      </w:r>
    </w:p>
  </w:footnote>
  <w:footnote w:id="28">
    <w:p w14:paraId="390D3AAA" w14:textId="241A9E09" w:rsidR="00FB7074" w:rsidRPr="00E76BA8" w:rsidRDefault="00FB7074">
      <w:pPr>
        <w:pStyle w:val="a3"/>
        <w:rPr>
          <w:rFonts w:asciiTheme="majorHAnsi" w:hAnsiTheme="majorHAnsi" w:cstheme="majorHAnsi"/>
          <w:sz w:val="16"/>
          <w:szCs w:val="16"/>
          <w:lang w:val="ro-MD"/>
        </w:rPr>
      </w:pPr>
      <w:r w:rsidRPr="00736448">
        <w:rPr>
          <w:rFonts w:asciiTheme="majorHAnsi" w:eastAsia="Times New Roman" w:hAnsiTheme="majorHAnsi" w:cstheme="majorHAnsi"/>
          <w:bCs/>
          <w:sz w:val="16"/>
          <w:szCs w:val="16"/>
          <w:vertAlign w:val="superscript"/>
          <w:lang w:val="ro-RO" w:eastAsia="ro-RO"/>
        </w:rPr>
        <w:footnoteRef/>
      </w:r>
      <w:r w:rsidRPr="00E76BA8">
        <w:rPr>
          <w:rFonts w:asciiTheme="majorHAnsi" w:eastAsia="Times New Roman" w:hAnsiTheme="majorHAnsi" w:cstheme="majorHAnsi"/>
          <w:bCs/>
          <w:sz w:val="16"/>
          <w:szCs w:val="16"/>
          <w:lang w:val="ro-RO" w:eastAsia="ro-RO"/>
        </w:rPr>
        <w:t xml:space="preserve"> </w:t>
      </w:r>
      <w:r w:rsidRPr="00736448">
        <w:rPr>
          <w:rFonts w:asciiTheme="majorHAnsi" w:eastAsia="Times New Roman" w:hAnsiTheme="majorHAnsi" w:cstheme="majorHAnsi"/>
          <w:bCs/>
          <w:color w:val="1F3864" w:themeColor="accent5" w:themeShade="80"/>
          <w:sz w:val="16"/>
          <w:szCs w:val="16"/>
          <w:u w:val="single"/>
          <w:lang w:val="ro-RO" w:eastAsia="ro-RO"/>
        </w:rPr>
        <w:t>www.statistica.md</w:t>
      </w:r>
    </w:p>
  </w:footnote>
  <w:footnote w:id="29">
    <w:p w14:paraId="3D035860" w14:textId="2DF84FCF" w:rsidR="00FB7074" w:rsidRPr="00DC7634" w:rsidRDefault="00FB7074" w:rsidP="000C7D59">
      <w:pPr>
        <w:pStyle w:val="a3"/>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hyperlink r:id="rId1" w:history="1">
        <w:r w:rsidRPr="00DC7634">
          <w:rPr>
            <w:rStyle w:val="af2"/>
            <w:rFonts w:asciiTheme="majorHAnsi" w:hAnsiTheme="majorHAnsi" w:cstheme="majorHAnsi"/>
            <w:sz w:val="16"/>
            <w:szCs w:val="16"/>
            <w:lang w:val="ro-MD"/>
          </w:rPr>
          <w:t>www.statistica.md</w:t>
        </w:r>
      </w:hyperlink>
      <w:r w:rsidRPr="00DC7634">
        <w:rPr>
          <w:rFonts w:asciiTheme="majorHAnsi" w:hAnsiTheme="majorHAnsi" w:cstheme="majorHAnsi"/>
          <w:sz w:val="16"/>
          <w:szCs w:val="16"/>
          <w:lang w:val="ro-MD"/>
        </w:rPr>
        <w:t>; Raportul de activitate a</w:t>
      </w:r>
      <w:r>
        <w:rPr>
          <w:rFonts w:asciiTheme="majorHAnsi" w:hAnsiTheme="majorHAnsi" w:cstheme="majorHAnsi"/>
          <w:sz w:val="16"/>
          <w:szCs w:val="16"/>
          <w:lang w:val="ro-MD"/>
        </w:rPr>
        <w:t>l</w:t>
      </w:r>
      <w:r w:rsidRPr="00DC7634">
        <w:rPr>
          <w:rFonts w:asciiTheme="majorHAnsi" w:hAnsiTheme="majorHAnsi" w:cstheme="majorHAnsi"/>
          <w:sz w:val="16"/>
          <w:szCs w:val="16"/>
          <w:lang w:val="ro-MD"/>
        </w:rPr>
        <w:t xml:space="preserve"> ISM pe anul 2022</w:t>
      </w:r>
      <w:r>
        <w:rPr>
          <w:rFonts w:asciiTheme="majorHAnsi" w:hAnsiTheme="majorHAnsi" w:cstheme="majorHAnsi"/>
          <w:sz w:val="16"/>
          <w:szCs w:val="16"/>
          <w:lang w:val="ro-MD"/>
        </w:rPr>
        <w:t>,</w:t>
      </w:r>
      <w:r w:rsidRPr="00DC7634">
        <w:rPr>
          <w:rFonts w:asciiTheme="majorHAnsi" w:hAnsiTheme="majorHAnsi" w:cstheme="majorHAnsi"/>
          <w:sz w:val="16"/>
          <w:szCs w:val="16"/>
          <w:lang w:val="ro-MD"/>
        </w:rPr>
        <w:t xml:space="preserve"> </w:t>
      </w:r>
      <w:r w:rsidRPr="00736448">
        <w:rPr>
          <w:rFonts w:asciiTheme="majorHAnsi" w:hAnsiTheme="majorHAnsi" w:cstheme="majorHAnsi"/>
          <w:color w:val="1F3864" w:themeColor="accent5" w:themeShade="80"/>
          <w:sz w:val="16"/>
          <w:szCs w:val="16"/>
          <w:u w:val="single"/>
          <w:lang w:val="ro-MD"/>
        </w:rPr>
        <w:t>https://ism.gov.md/</w:t>
      </w:r>
    </w:p>
  </w:footnote>
  <w:footnote w:id="30">
    <w:p w14:paraId="011E9347" w14:textId="55CF214C" w:rsidR="00FB7074" w:rsidRPr="00E76BA8" w:rsidRDefault="00FB7074" w:rsidP="00EF49E8">
      <w:pPr>
        <w:pStyle w:val="a8"/>
        <w:jc w:val="both"/>
        <w:rPr>
          <w:rFonts w:asciiTheme="majorHAnsi" w:hAnsiTheme="majorHAnsi" w:cstheme="majorHAnsi"/>
          <w:noProof/>
          <w:sz w:val="16"/>
          <w:szCs w:val="16"/>
          <w:lang w:val="ro-RO"/>
        </w:rPr>
      </w:pPr>
      <w:r w:rsidRPr="00736448">
        <w:rPr>
          <w:rFonts w:asciiTheme="majorHAnsi" w:hAnsiTheme="majorHAnsi" w:cstheme="majorHAnsi"/>
          <w:noProof/>
          <w:sz w:val="16"/>
          <w:szCs w:val="16"/>
          <w:vertAlign w:val="superscript"/>
          <w:lang w:val="ro-RO"/>
        </w:rPr>
        <w:footnoteRef/>
      </w:r>
      <w:r w:rsidRPr="00E76BA8">
        <w:rPr>
          <w:rFonts w:asciiTheme="majorHAnsi" w:hAnsiTheme="majorHAnsi" w:cstheme="majorHAnsi"/>
          <w:noProof/>
          <w:sz w:val="16"/>
          <w:szCs w:val="16"/>
          <w:lang w:val="ro-RO"/>
        </w:rPr>
        <w:t xml:space="preserve"> </w:t>
      </w:r>
      <w:bookmarkStart w:id="4" w:name="_Toc450123757"/>
      <w:r w:rsidRPr="00E76BA8">
        <w:rPr>
          <w:rFonts w:asciiTheme="majorHAnsi" w:hAnsiTheme="majorHAnsi" w:cstheme="majorHAnsi"/>
          <w:noProof/>
          <w:sz w:val="16"/>
          <w:szCs w:val="16"/>
          <w:lang w:val="ro-RO"/>
        </w:rPr>
        <w:t>Hotărârea Curții de Conturi nr.20 din 03</w:t>
      </w:r>
      <w:r>
        <w:rPr>
          <w:rFonts w:asciiTheme="majorHAnsi" w:hAnsiTheme="majorHAnsi" w:cstheme="majorHAnsi"/>
          <w:noProof/>
          <w:sz w:val="16"/>
          <w:szCs w:val="16"/>
          <w:lang w:val="ro-RO"/>
        </w:rPr>
        <w:t>.06.</w:t>
      </w:r>
      <w:r w:rsidRPr="00E76BA8">
        <w:rPr>
          <w:rFonts w:asciiTheme="majorHAnsi" w:hAnsiTheme="majorHAnsi" w:cstheme="majorHAnsi"/>
          <w:noProof/>
          <w:sz w:val="16"/>
          <w:szCs w:val="16"/>
          <w:lang w:val="ro-RO"/>
        </w:rPr>
        <w:t xml:space="preserve">2021 </w:t>
      </w:r>
      <w:r>
        <w:rPr>
          <w:rFonts w:asciiTheme="majorHAnsi" w:hAnsiTheme="majorHAnsi" w:cstheme="majorHAnsi"/>
          <w:noProof/>
          <w:sz w:val="16"/>
          <w:szCs w:val="16"/>
          <w:lang w:val="ro-RO"/>
        </w:rPr>
        <w:t>„C</w:t>
      </w:r>
      <w:r w:rsidRPr="00E76BA8">
        <w:rPr>
          <w:rFonts w:asciiTheme="majorHAnsi" w:hAnsiTheme="majorHAnsi" w:cstheme="majorHAnsi"/>
          <w:noProof/>
          <w:sz w:val="16"/>
          <w:szCs w:val="16"/>
          <w:lang w:val="ro-RO"/>
        </w:rPr>
        <w:t>u privire la Raportul auditului financiar al Raportului Guvernului privind executarea bugetului asigurărilor sociale de stat în anul 2020</w:t>
      </w:r>
      <w:r>
        <w:rPr>
          <w:rFonts w:asciiTheme="majorHAnsi" w:hAnsiTheme="majorHAnsi" w:cstheme="majorHAnsi"/>
          <w:noProof/>
          <w:sz w:val="16"/>
          <w:szCs w:val="16"/>
          <w:lang w:val="ro-RO"/>
        </w:rPr>
        <w:t>”</w:t>
      </w:r>
      <w:r w:rsidRPr="00E76BA8">
        <w:rPr>
          <w:rFonts w:asciiTheme="majorHAnsi" w:hAnsiTheme="majorHAnsi" w:cstheme="majorHAnsi"/>
          <w:noProof/>
          <w:sz w:val="16"/>
          <w:szCs w:val="16"/>
          <w:lang w:val="ro-RO"/>
        </w:rPr>
        <w:t xml:space="preserve"> și Hotărârea nr.</w:t>
      </w:r>
      <w:bookmarkEnd w:id="4"/>
      <w:r w:rsidRPr="00E76BA8">
        <w:rPr>
          <w:rFonts w:asciiTheme="majorHAnsi" w:hAnsiTheme="majorHAnsi" w:cstheme="majorHAnsi"/>
          <w:noProof/>
          <w:sz w:val="16"/>
          <w:szCs w:val="16"/>
          <w:lang w:val="ro-RO"/>
        </w:rPr>
        <w:t xml:space="preserve"> 17 din 24</w:t>
      </w:r>
      <w:r>
        <w:rPr>
          <w:rFonts w:asciiTheme="majorHAnsi" w:hAnsiTheme="majorHAnsi" w:cstheme="majorHAnsi"/>
          <w:noProof/>
          <w:sz w:val="16"/>
          <w:szCs w:val="16"/>
          <w:lang w:val="ro-RO"/>
        </w:rPr>
        <w:t>.05.</w:t>
      </w:r>
      <w:r w:rsidRPr="00E76BA8">
        <w:rPr>
          <w:rFonts w:asciiTheme="majorHAnsi" w:hAnsiTheme="majorHAnsi" w:cstheme="majorHAnsi"/>
          <w:noProof/>
          <w:sz w:val="16"/>
          <w:szCs w:val="16"/>
          <w:lang w:val="ro-RO"/>
        </w:rPr>
        <w:t xml:space="preserve">2022 </w:t>
      </w:r>
      <w:r>
        <w:rPr>
          <w:rFonts w:asciiTheme="majorHAnsi" w:hAnsiTheme="majorHAnsi" w:cstheme="majorHAnsi"/>
          <w:noProof/>
          <w:sz w:val="16"/>
          <w:szCs w:val="16"/>
          <w:lang w:val="ro-RO"/>
        </w:rPr>
        <w:t>„C</w:t>
      </w:r>
      <w:r w:rsidRPr="00E76BA8">
        <w:rPr>
          <w:rFonts w:asciiTheme="majorHAnsi" w:hAnsiTheme="majorHAnsi" w:cstheme="majorHAnsi"/>
          <w:noProof/>
          <w:sz w:val="16"/>
          <w:szCs w:val="16"/>
          <w:lang w:val="ro-RO"/>
        </w:rPr>
        <w:t xml:space="preserve">u privire la Raportul auditului financiar al Raportului </w:t>
      </w:r>
      <w:r w:rsidRPr="00D65E5D">
        <w:rPr>
          <w:rFonts w:asciiTheme="majorHAnsi" w:hAnsiTheme="majorHAnsi" w:cstheme="majorHAnsi"/>
          <w:noProof/>
          <w:sz w:val="16"/>
          <w:szCs w:val="16"/>
          <w:lang w:val="ro-RO"/>
        </w:rPr>
        <w:t xml:space="preserve"> </w:t>
      </w:r>
      <w:r w:rsidRPr="00736448">
        <w:rPr>
          <w:rFonts w:asciiTheme="majorHAnsi" w:hAnsiTheme="majorHAnsi" w:cstheme="majorHAnsi"/>
          <w:noProof/>
          <w:sz w:val="16"/>
          <w:szCs w:val="16"/>
          <w:lang w:val="ro-RO"/>
        </w:rPr>
        <w:t xml:space="preserve">Guvernului privind </w:t>
      </w:r>
      <w:r w:rsidRPr="00D65E5D">
        <w:rPr>
          <w:rFonts w:asciiTheme="majorHAnsi" w:hAnsiTheme="majorHAnsi" w:cstheme="majorHAnsi"/>
          <w:noProof/>
          <w:sz w:val="16"/>
          <w:szCs w:val="16"/>
          <w:lang w:val="ro-RO"/>
        </w:rPr>
        <w:t>executarea bugetului asigurărilor sociale de stat în anul 2021</w:t>
      </w:r>
      <w:r>
        <w:rPr>
          <w:rFonts w:asciiTheme="majorHAnsi" w:hAnsiTheme="majorHAnsi" w:cstheme="majorHAnsi"/>
          <w:noProof/>
          <w:sz w:val="16"/>
          <w:szCs w:val="16"/>
          <w:lang w:val="ro-RO"/>
        </w:rPr>
        <w:t>”.</w:t>
      </w:r>
    </w:p>
  </w:footnote>
  <w:footnote w:id="31">
    <w:p w14:paraId="20C2F510" w14:textId="43DD0797"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1 din Legea nr. 489 din 08.07.1999 privind sistemul public de asigurări sociale</w:t>
      </w:r>
      <w:r>
        <w:rPr>
          <w:rFonts w:asciiTheme="majorHAnsi" w:hAnsiTheme="majorHAnsi" w:cstheme="majorHAnsi"/>
          <w:sz w:val="16"/>
          <w:szCs w:val="16"/>
          <w:lang w:val="ro-MD"/>
        </w:rPr>
        <w:t>.</w:t>
      </w:r>
    </w:p>
  </w:footnote>
  <w:footnote w:id="32">
    <w:p w14:paraId="7240358F" w14:textId="063D367B"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Avocații, notarii, executorii judecătorești, administratori</w:t>
      </w:r>
      <w:r>
        <w:rPr>
          <w:rFonts w:asciiTheme="majorHAnsi" w:hAnsiTheme="majorHAnsi" w:cstheme="majorHAnsi"/>
          <w:sz w:val="16"/>
          <w:szCs w:val="16"/>
          <w:lang w:val="ro-MD"/>
        </w:rPr>
        <w:t>i</w:t>
      </w:r>
      <w:r w:rsidRPr="00736448">
        <w:rPr>
          <w:rFonts w:asciiTheme="majorHAnsi" w:hAnsiTheme="majorHAnsi" w:cstheme="majorHAnsi"/>
          <w:sz w:val="16"/>
          <w:szCs w:val="16"/>
          <w:lang w:val="ro-MD"/>
        </w:rPr>
        <w:t xml:space="preserve"> autorizați, mediatori</w:t>
      </w:r>
      <w:r>
        <w:rPr>
          <w:rFonts w:asciiTheme="majorHAnsi" w:hAnsiTheme="majorHAnsi" w:cstheme="majorHAnsi"/>
          <w:sz w:val="16"/>
          <w:szCs w:val="16"/>
          <w:lang w:val="ro-MD"/>
        </w:rPr>
        <w:t>i.</w:t>
      </w:r>
    </w:p>
  </w:footnote>
  <w:footnote w:id="33">
    <w:p w14:paraId="2453AB7B" w14:textId="76476BF5"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Legea nr.220-XVI din 19.10.2007 privind înregistrarea de stat a persoanelor juridice şi a întreprinzătorilor individuali.</w:t>
      </w:r>
    </w:p>
  </w:footnote>
  <w:footnote w:id="34">
    <w:p w14:paraId="38E66354" w14:textId="27F8EC92" w:rsidR="00FB7074" w:rsidRPr="00FE54EB" w:rsidRDefault="00FB7074" w:rsidP="00736448">
      <w:pPr>
        <w:pStyle w:val="a3"/>
        <w:jc w:val="both"/>
        <w:rPr>
          <w:rFonts w:asciiTheme="majorHAnsi" w:hAnsiTheme="majorHAnsi" w:cstheme="majorHAnsi"/>
          <w:sz w:val="16"/>
          <w:szCs w:val="16"/>
          <w:lang w:val="ro-MD"/>
        </w:rPr>
      </w:pPr>
      <w:r w:rsidRPr="00FE54EB">
        <w:rPr>
          <w:rStyle w:val="a5"/>
          <w:rFonts w:asciiTheme="majorHAnsi" w:hAnsiTheme="majorHAnsi" w:cstheme="majorHAnsi"/>
          <w:sz w:val="16"/>
          <w:szCs w:val="16"/>
          <w:lang w:val="ro-MD"/>
        </w:rPr>
        <w:footnoteRef/>
      </w:r>
      <w:r w:rsidRPr="00FE54EB">
        <w:rPr>
          <w:rFonts w:asciiTheme="majorHAnsi" w:hAnsiTheme="majorHAnsi" w:cstheme="majorHAnsi"/>
          <w:sz w:val="16"/>
          <w:szCs w:val="16"/>
          <w:lang w:val="ro-MD"/>
        </w:rPr>
        <w:t xml:space="preserve"> Art. 5 alin. (2) din Legea bugetului asigurărilor sociale de stat pentru anul 2021. nr. 255 din 16.12.2020</w:t>
      </w:r>
    </w:p>
  </w:footnote>
  <w:footnote w:id="35">
    <w:p w14:paraId="797D5897" w14:textId="4C5C8702" w:rsidR="00FB7074" w:rsidRPr="00FE54EB" w:rsidRDefault="00FB7074" w:rsidP="00736448">
      <w:pPr>
        <w:pStyle w:val="a3"/>
        <w:jc w:val="both"/>
        <w:rPr>
          <w:rFonts w:asciiTheme="majorHAnsi" w:hAnsiTheme="majorHAnsi" w:cstheme="majorHAnsi"/>
          <w:sz w:val="16"/>
          <w:szCs w:val="16"/>
          <w:lang w:val="ro-MD"/>
        </w:rPr>
      </w:pPr>
      <w:r w:rsidRPr="00FE54EB">
        <w:rPr>
          <w:rStyle w:val="a5"/>
          <w:rFonts w:asciiTheme="majorHAnsi" w:hAnsiTheme="majorHAnsi" w:cstheme="majorHAnsi"/>
          <w:sz w:val="16"/>
          <w:szCs w:val="16"/>
          <w:lang w:val="ro-MD"/>
        </w:rPr>
        <w:footnoteRef/>
      </w:r>
      <w:r w:rsidRPr="00FE54EB">
        <w:rPr>
          <w:rFonts w:asciiTheme="majorHAnsi" w:hAnsiTheme="majorHAnsi" w:cstheme="majorHAnsi"/>
          <w:sz w:val="16"/>
          <w:szCs w:val="16"/>
          <w:lang w:val="ro-MD"/>
        </w:rPr>
        <w:t xml:space="preserve"> Art. 3 alin. (2) Legea nr. 206 Legea bugetului asigurărilor sociale de stat pentru anul 2022 din 06.12.2021</w:t>
      </w:r>
    </w:p>
  </w:footnote>
  <w:footnote w:id="36">
    <w:p w14:paraId="58BC9935" w14:textId="7C04CF2D" w:rsidR="00FB7074" w:rsidRPr="00FE54EB" w:rsidRDefault="00FB7074" w:rsidP="00736448">
      <w:pPr>
        <w:pStyle w:val="a3"/>
        <w:jc w:val="both"/>
        <w:rPr>
          <w:rFonts w:asciiTheme="majorHAnsi" w:hAnsiTheme="majorHAnsi" w:cstheme="majorHAnsi"/>
          <w:sz w:val="16"/>
          <w:szCs w:val="16"/>
          <w:lang w:val="ro-MD"/>
        </w:rPr>
      </w:pPr>
      <w:r w:rsidRPr="00FE54EB">
        <w:rPr>
          <w:rStyle w:val="a5"/>
          <w:rFonts w:asciiTheme="majorHAnsi" w:hAnsiTheme="majorHAnsi" w:cstheme="majorHAnsi"/>
          <w:sz w:val="16"/>
          <w:szCs w:val="16"/>
          <w:lang w:val="ro-MD"/>
        </w:rPr>
        <w:footnoteRef/>
      </w:r>
      <w:r w:rsidRPr="00FE54EB">
        <w:rPr>
          <w:rFonts w:asciiTheme="majorHAnsi" w:hAnsiTheme="majorHAnsi" w:cstheme="majorHAnsi"/>
          <w:sz w:val="16"/>
          <w:szCs w:val="16"/>
          <w:lang w:val="ro-MD"/>
        </w:rPr>
        <w:t xml:space="preserve"> Cap. II, pct. 8 din Regulamentul privind evidența plătitorilor de contribuții la bugetul asigurărilor sociale de stat, aprobat prin Ordinul CNAS nr. 275-A din 27.11.2015, cu modificările ulterioare.</w:t>
      </w:r>
    </w:p>
  </w:footnote>
  <w:footnote w:id="37">
    <w:p w14:paraId="564E65F0" w14:textId="3E3DD2D5" w:rsidR="00FB7074" w:rsidRPr="00736448" w:rsidRDefault="00FB7074" w:rsidP="00736448">
      <w:pPr>
        <w:pStyle w:val="a3"/>
        <w:jc w:val="both"/>
        <w:rPr>
          <w:rFonts w:asciiTheme="majorHAnsi" w:hAnsiTheme="majorHAnsi" w:cstheme="majorHAnsi"/>
          <w:sz w:val="16"/>
          <w:szCs w:val="16"/>
          <w:lang w:val="ro-MD"/>
        </w:rPr>
      </w:pPr>
      <w:r w:rsidRPr="00FE54EB">
        <w:rPr>
          <w:rStyle w:val="a5"/>
          <w:rFonts w:asciiTheme="majorHAnsi" w:hAnsiTheme="majorHAnsi" w:cstheme="majorHAnsi"/>
          <w:sz w:val="16"/>
          <w:szCs w:val="16"/>
          <w:lang w:val="ro-MD"/>
        </w:rPr>
        <w:footnoteRef/>
      </w:r>
      <w:r w:rsidRPr="00FE54EB">
        <w:rPr>
          <w:rFonts w:asciiTheme="majorHAnsi" w:hAnsiTheme="majorHAnsi" w:cstheme="majorHAnsi"/>
          <w:sz w:val="16"/>
          <w:szCs w:val="16"/>
          <w:lang w:val="ro-MD"/>
        </w:rPr>
        <w:t xml:space="preserve"> Art. 263 alin. (2) din Codul contravențional.</w:t>
      </w:r>
    </w:p>
  </w:footnote>
  <w:footnote w:id="38">
    <w:p w14:paraId="18A9804E" w14:textId="50F6BFD5"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34 pct. 2</w:t>
      </w:r>
      <w:r w:rsidRPr="00736448">
        <w:rPr>
          <w:rFonts w:asciiTheme="majorHAnsi" w:hAnsiTheme="majorHAnsi" w:cstheme="majorHAnsi"/>
          <w:sz w:val="16"/>
          <w:szCs w:val="16"/>
          <w:vertAlign w:val="superscript"/>
          <w:lang w:val="ro-MD"/>
        </w:rPr>
        <w:t>7</w:t>
      </w:r>
      <w:r w:rsidRPr="00736448">
        <w:rPr>
          <w:rFonts w:asciiTheme="majorHAnsi" w:hAnsiTheme="majorHAnsi" w:cstheme="majorHAnsi"/>
          <w:sz w:val="16"/>
          <w:szCs w:val="16"/>
          <w:lang w:val="ro-MD"/>
        </w:rPr>
        <w:t xml:space="preserve"> din Codul </w:t>
      </w:r>
      <w:r>
        <w:rPr>
          <w:rFonts w:asciiTheme="majorHAnsi" w:hAnsiTheme="majorHAnsi" w:cstheme="majorHAnsi"/>
          <w:sz w:val="16"/>
          <w:szCs w:val="16"/>
          <w:lang w:val="ro-MD"/>
        </w:rPr>
        <w:t>c</w:t>
      </w:r>
      <w:r w:rsidRPr="00736448">
        <w:rPr>
          <w:rFonts w:asciiTheme="majorHAnsi" w:hAnsiTheme="majorHAnsi" w:cstheme="majorHAnsi"/>
          <w:sz w:val="16"/>
          <w:szCs w:val="16"/>
          <w:lang w:val="ro-MD"/>
        </w:rPr>
        <w:t>ontravențional</w:t>
      </w:r>
      <w:r>
        <w:rPr>
          <w:rFonts w:asciiTheme="majorHAnsi" w:hAnsiTheme="majorHAnsi" w:cstheme="majorHAnsi"/>
          <w:sz w:val="16"/>
          <w:szCs w:val="16"/>
          <w:lang w:val="ro-MD"/>
        </w:rPr>
        <w:t>.</w:t>
      </w:r>
    </w:p>
  </w:footnote>
  <w:footnote w:id="39">
    <w:p w14:paraId="39ABFB31" w14:textId="27B9BA35"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5 alin.(1) lit. a) din Legea nr. 489 din 08.07.1999</w:t>
      </w:r>
      <w:r>
        <w:rPr>
          <w:rFonts w:asciiTheme="majorHAnsi" w:hAnsiTheme="majorHAnsi" w:cstheme="majorHAnsi"/>
          <w:sz w:val="16"/>
          <w:szCs w:val="16"/>
          <w:lang w:val="ro-MD"/>
        </w:rPr>
        <w:t>.</w:t>
      </w:r>
    </w:p>
  </w:footnote>
  <w:footnote w:id="40">
    <w:p w14:paraId="15D04BE3" w14:textId="1AE58A6A"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3 alin. (2) din Legea BASS pe anul 2022 nr. 206 din 06.12.2021</w:t>
      </w:r>
      <w:r>
        <w:rPr>
          <w:rFonts w:asciiTheme="majorHAnsi" w:hAnsiTheme="majorHAnsi" w:cstheme="majorHAnsi"/>
          <w:sz w:val="16"/>
          <w:szCs w:val="16"/>
          <w:lang w:val="ro-MD"/>
        </w:rPr>
        <w:t>.</w:t>
      </w:r>
    </w:p>
  </w:footnote>
  <w:footnote w:id="41">
    <w:p w14:paraId="72FC0912" w14:textId="3E6F08FA"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Pct. 1.6</w:t>
      </w:r>
      <w:r w:rsidRPr="00736448">
        <w:rPr>
          <w:rFonts w:asciiTheme="majorHAnsi" w:hAnsiTheme="majorHAnsi" w:cstheme="majorHAnsi"/>
          <w:sz w:val="16"/>
          <w:szCs w:val="16"/>
          <w:vertAlign w:val="superscript"/>
          <w:lang w:val="ro-MD"/>
        </w:rPr>
        <w:t xml:space="preserve">1 </w:t>
      </w:r>
      <w:r w:rsidRPr="00736448">
        <w:rPr>
          <w:rFonts w:asciiTheme="majorHAnsi" w:hAnsiTheme="majorHAnsi" w:cstheme="majorHAnsi"/>
          <w:sz w:val="16"/>
          <w:szCs w:val="16"/>
          <w:lang w:val="ro-MD"/>
        </w:rPr>
        <w:t xml:space="preserve">din </w:t>
      </w:r>
      <w:r>
        <w:rPr>
          <w:rFonts w:asciiTheme="majorHAnsi" w:hAnsiTheme="majorHAnsi" w:cstheme="majorHAnsi"/>
          <w:sz w:val="16"/>
          <w:szCs w:val="16"/>
          <w:lang w:val="ro-MD"/>
        </w:rPr>
        <w:t>A</w:t>
      </w:r>
      <w:r w:rsidRPr="00736448">
        <w:rPr>
          <w:rFonts w:asciiTheme="majorHAnsi" w:hAnsiTheme="majorHAnsi" w:cstheme="majorHAnsi"/>
          <w:sz w:val="16"/>
          <w:szCs w:val="16"/>
          <w:lang w:val="ro-MD"/>
        </w:rPr>
        <w:t xml:space="preserve">nexa nr. 1 </w:t>
      </w:r>
      <w:r>
        <w:rPr>
          <w:rFonts w:asciiTheme="majorHAnsi" w:hAnsiTheme="majorHAnsi" w:cstheme="majorHAnsi"/>
          <w:sz w:val="16"/>
          <w:szCs w:val="16"/>
          <w:lang w:val="ro-MD"/>
        </w:rPr>
        <w:t>la</w:t>
      </w:r>
      <w:r w:rsidRPr="00736448">
        <w:rPr>
          <w:rFonts w:asciiTheme="majorHAnsi" w:hAnsiTheme="majorHAnsi" w:cstheme="majorHAnsi"/>
          <w:sz w:val="16"/>
          <w:szCs w:val="16"/>
          <w:lang w:val="ro-MD"/>
        </w:rPr>
        <w:t xml:space="preserve"> Legea nr. 489 din 08.07.1999</w:t>
      </w:r>
      <w:r>
        <w:rPr>
          <w:rFonts w:asciiTheme="majorHAnsi" w:hAnsiTheme="majorHAnsi" w:cstheme="majorHAnsi"/>
          <w:sz w:val="16"/>
          <w:szCs w:val="16"/>
          <w:lang w:val="ro-MD"/>
        </w:rPr>
        <w:t xml:space="preserve"> </w:t>
      </w:r>
      <w:r w:rsidRPr="00166730">
        <w:rPr>
          <w:rFonts w:asciiTheme="majorHAnsi" w:hAnsiTheme="majorHAnsi" w:cstheme="majorHAnsi"/>
          <w:sz w:val="16"/>
          <w:szCs w:val="16"/>
          <w:lang w:val="ro-MD"/>
        </w:rPr>
        <w:t>privind sistemul public de asigurări sociale</w:t>
      </w:r>
      <w:r w:rsidRPr="00736448">
        <w:rPr>
          <w:rFonts w:asciiTheme="majorHAnsi" w:hAnsiTheme="majorHAnsi" w:cstheme="majorHAnsi"/>
          <w:sz w:val="16"/>
          <w:szCs w:val="16"/>
          <w:lang w:val="ro-MD"/>
        </w:rPr>
        <w:t>.</w:t>
      </w:r>
    </w:p>
  </w:footnote>
  <w:footnote w:id="42">
    <w:p w14:paraId="49F4EDED" w14:textId="6A3FFE9E" w:rsidR="00FB7074" w:rsidRPr="00736448" w:rsidRDefault="00FB7074" w:rsidP="005E7DC9">
      <w:pPr>
        <w:pStyle w:val="a3"/>
        <w:rPr>
          <w:rFonts w:asciiTheme="majorHAnsi" w:hAnsiTheme="majorHAnsi" w:cstheme="majorHAnsi"/>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Art. 35 alin. (1) din Legea nr. 489 din 08.07.1999</w:t>
      </w:r>
      <w:r>
        <w:rPr>
          <w:rFonts w:asciiTheme="majorHAnsi" w:hAnsiTheme="majorHAnsi" w:cstheme="majorHAnsi"/>
          <w:sz w:val="16"/>
          <w:szCs w:val="16"/>
          <w:lang w:val="ro-MD"/>
        </w:rPr>
        <w:t xml:space="preserve"> </w:t>
      </w:r>
      <w:r w:rsidRPr="00166730">
        <w:rPr>
          <w:rFonts w:asciiTheme="majorHAnsi" w:hAnsiTheme="majorHAnsi" w:cstheme="majorHAnsi"/>
          <w:sz w:val="16"/>
          <w:szCs w:val="16"/>
          <w:lang w:val="ro-MD"/>
        </w:rPr>
        <w:t>privind sistemul public de asigurări sociale</w:t>
      </w:r>
      <w:r>
        <w:rPr>
          <w:rFonts w:asciiTheme="majorHAnsi" w:hAnsiTheme="majorHAnsi" w:cstheme="majorHAnsi"/>
          <w:sz w:val="16"/>
          <w:szCs w:val="16"/>
          <w:lang w:val="ro-MD"/>
        </w:rPr>
        <w:t>.</w:t>
      </w:r>
    </w:p>
  </w:footnote>
  <w:footnote w:id="43">
    <w:p w14:paraId="29340C59" w14:textId="77777777" w:rsidR="00FB7074" w:rsidRPr="00736448" w:rsidRDefault="00FB7074" w:rsidP="001F56F8">
      <w:pPr>
        <w:pStyle w:val="a3"/>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Regulamentul cu privire la modul de stabilire și plată a ajutorului social, aprobat prin Hotărârea Guvernului nr.1167 din 16.10.2008.</w:t>
      </w:r>
    </w:p>
  </w:footnote>
  <w:footnote w:id="44">
    <w:p w14:paraId="19E7BACE" w14:textId="3A593821" w:rsidR="00FB7074" w:rsidRPr="00703636" w:rsidRDefault="00FB7074" w:rsidP="00FF23BF">
      <w:pPr>
        <w:pStyle w:val="a3"/>
        <w:jc w:val="both"/>
        <w:rPr>
          <w:rFonts w:asciiTheme="majorHAnsi" w:hAnsiTheme="majorHAnsi" w:cstheme="majorHAnsi"/>
          <w:sz w:val="16"/>
          <w:szCs w:val="16"/>
        </w:rPr>
      </w:pPr>
      <w:r w:rsidRPr="00E76BA8">
        <w:rPr>
          <w:rStyle w:val="a5"/>
          <w:rFonts w:asciiTheme="majorHAnsi" w:hAnsiTheme="majorHAnsi" w:cstheme="majorHAnsi"/>
          <w:sz w:val="16"/>
          <w:szCs w:val="16"/>
        </w:rPr>
        <w:footnoteRef/>
      </w:r>
      <w:r w:rsidRPr="00E76BA8">
        <w:rPr>
          <w:rFonts w:asciiTheme="majorHAnsi" w:hAnsiTheme="majorHAnsi" w:cstheme="majorHAnsi"/>
          <w:sz w:val="16"/>
          <w:szCs w:val="16"/>
        </w:rPr>
        <w:t xml:space="preserve"> </w:t>
      </w:r>
      <w:r w:rsidRPr="00E76BA8">
        <w:rPr>
          <w:rFonts w:asciiTheme="majorHAnsi" w:hAnsiTheme="majorHAnsi" w:cstheme="majorHAnsi"/>
          <w:sz w:val="16"/>
          <w:szCs w:val="16"/>
          <w:lang w:val="ro-RO"/>
        </w:rPr>
        <w:t xml:space="preserve">Hotărârea Guvernului nr. 802 din 28.10.2011 </w:t>
      </w:r>
      <w:r>
        <w:rPr>
          <w:rFonts w:asciiTheme="majorHAnsi" w:hAnsiTheme="majorHAnsi" w:cstheme="majorHAnsi"/>
          <w:sz w:val="16"/>
          <w:szCs w:val="16"/>
          <w:lang w:val="ro-RO"/>
        </w:rPr>
        <w:t>„C</w:t>
      </w:r>
      <w:r w:rsidRPr="00E76BA8">
        <w:rPr>
          <w:rFonts w:asciiTheme="majorHAnsi" w:hAnsiTheme="majorHAnsi" w:cstheme="majorHAnsi"/>
          <w:sz w:val="16"/>
          <w:szCs w:val="16"/>
          <w:lang w:val="ro-RO"/>
        </w:rPr>
        <w:t xml:space="preserve">u </w:t>
      </w:r>
      <w:r w:rsidRPr="00FE54EB">
        <w:rPr>
          <w:rFonts w:asciiTheme="majorHAnsi" w:hAnsiTheme="majorHAnsi" w:cstheme="majorHAnsi"/>
          <w:sz w:val="16"/>
          <w:szCs w:val="16"/>
          <w:lang w:val="ro-RO"/>
        </w:rPr>
        <w:t xml:space="preserve">privire la </w:t>
      </w:r>
      <w:r w:rsidRPr="00FE54EB">
        <w:rPr>
          <w:rFonts w:asciiTheme="majorHAnsi" w:hAnsiTheme="majorHAnsi" w:cstheme="majorHAnsi"/>
          <w:sz w:val="16"/>
          <w:szCs w:val="16"/>
        </w:rPr>
        <w:t>organizarea şi funcţionarea Inspectoratului Social de Stat</w:t>
      </w:r>
      <w:r w:rsidRPr="00FE54EB">
        <w:rPr>
          <w:rFonts w:asciiTheme="majorHAnsi" w:hAnsiTheme="majorHAnsi" w:cstheme="majorHAnsi"/>
          <w:sz w:val="16"/>
          <w:szCs w:val="16"/>
          <w:lang w:val="ro-RO"/>
        </w:rPr>
        <w:t>”.</w:t>
      </w:r>
    </w:p>
  </w:footnote>
  <w:footnote w:id="45">
    <w:p w14:paraId="1118C046" w14:textId="2FEFC81D" w:rsidR="00FB7074" w:rsidRPr="00E76BA8" w:rsidRDefault="00FB7074" w:rsidP="00683C4B">
      <w:pPr>
        <w:pStyle w:val="a3"/>
        <w:rPr>
          <w:rFonts w:asciiTheme="majorHAnsi" w:hAnsiTheme="majorHAnsi" w:cstheme="majorHAnsi"/>
          <w:sz w:val="16"/>
          <w:szCs w:val="16"/>
          <w:lang w:val="ro-RO"/>
        </w:rPr>
      </w:pPr>
      <w:r w:rsidRPr="00E76BA8">
        <w:rPr>
          <w:rStyle w:val="a5"/>
          <w:rFonts w:asciiTheme="majorHAnsi" w:hAnsiTheme="majorHAnsi" w:cstheme="majorHAnsi"/>
          <w:sz w:val="16"/>
          <w:szCs w:val="16"/>
          <w:lang w:val="ro-RO"/>
        </w:rPr>
        <w:footnoteRef/>
      </w:r>
      <w:r w:rsidRPr="00E76BA8">
        <w:rPr>
          <w:rFonts w:asciiTheme="majorHAnsi" w:hAnsiTheme="majorHAnsi" w:cstheme="majorHAnsi"/>
          <w:sz w:val="16"/>
          <w:szCs w:val="16"/>
          <w:lang w:val="ro-RO"/>
        </w:rPr>
        <w:t xml:space="preserve"> Legea nr.156/1998 privind sistemul public de pensii</w:t>
      </w:r>
      <w:r>
        <w:rPr>
          <w:rFonts w:asciiTheme="majorHAnsi" w:hAnsiTheme="majorHAnsi" w:cstheme="majorHAnsi"/>
          <w:sz w:val="16"/>
          <w:szCs w:val="16"/>
          <w:lang w:val="ro-RO"/>
        </w:rPr>
        <w:t>.</w:t>
      </w:r>
    </w:p>
  </w:footnote>
  <w:footnote w:id="46">
    <w:p w14:paraId="3726083E" w14:textId="4C976295" w:rsidR="00FB7074" w:rsidRPr="006A3B64" w:rsidRDefault="00FB7074" w:rsidP="00736448">
      <w:pPr>
        <w:pStyle w:val="a3"/>
        <w:jc w:val="both"/>
        <w:rPr>
          <w:rFonts w:asciiTheme="majorHAnsi" w:hAnsiTheme="majorHAnsi" w:cstheme="majorHAnsi"/>
          <w:sz w:val="16"/>
          <w:szCs w:val="16"/>
          <w:lang w:val="ro-RO"/>
        </w:rPr>
      </w:pPr>
      <w:r w:rsidRPr="006A3B64">
        <w:rPr>
          <w:rStyle w:val="a5"/>
          <w:rFonts w:asciiTheme="majorHAnsi" w:hAnsiTheme="majorHAnsi" w:cstheme="majorHAnsi"/>
          <w:sz w:val="16"/>
          <w:szCs w:val="16"/>
          <w:lang w:val="ro-RO"/>
        </w:rPr>
        <w:footnoteRef/>
      </w:r>
      <w:r w:rsidRPr="006A3B64">
        <w:rPr>
          <w:rFonts w:asciiTheme="majorHAnsi" w:hAnsiTheme="majorHAnsi" w:cstheme="majorHAnsi"/>
          <w:sz w:val="16"/>
          <w:szCs w:val="16"/>
          <w:lang w:val="ro-RO"/>
        </w:rPr>
        <w:t xml:space="preserve"> Art. 9 din Legea nr. 156/1998 privind sistemul public de pensii</w:t>
      </w:r>
      <w:r>
        <w:rPr>
          <w:rFonts w:asciiTheme="majorHAnsi" w:hAnsiTheme="majorHAnsi" w:cstheme="majorHAnsi"/>
          <w:sz w:val="16"/>
          <w:szCs w:val="16"/>
          <w:lang w:val="ro-RO"/>
        </w:rPr>
        <w:t>.</w:t>
      </w:r>
    </w:p>
  </w:footnote>
  <w:footnote w:id="47">
    <w:p w14:paraId="4916FF2D" w14:textId="66ADDEE5" w:rsidR="00FB7074" w:rsidRPr="006A3B64" w:rsidRDefault="00FB7074" w:rsidP="00736448">
      <w:pPr>
        <w:pStyle w:val="a3"/>
        <w:jc w:val="both"/>
        <w:rPr>
          <w:rFonts w:asciiTheme="majorHAnsi" w:hAnsiTheme="majorHAnsi" w:cstheme="majorHAnsi"/>
          <w:sz w:val="16"/>
          <w:szCs w:val="16"/>
          <w:lang w:val="ro-RO"/>
        </w:rPr>
      </w:pPr>
      <w:r w:rsidRPr="006A3B64">
        <w:rPr>
          <w:rStyle w:val="a5"/>
          <w:rFonts w:asciiTheme="majorHAnsi" w:hAnsiTheme="majorHAnsi" w:cstheme="majorHAnsi"/>
          <w:sz w:val="16"/>
          <w:szCs w:val="16"/>
          <w:lang w:val="ro-RO"/>
        </w:rPr>
        <w:footnoteRef/>
      </w:r>
      <w:r w:rsidRPr="006A3B64">
        <w:rPr>
          <w:rFonts w:asciiTheme="majorHAnsi" w:hAnsiTheme="majorHAnsi" w:cstheme="majorHAnsi"/>
          <w:sz w:val="16"/>
          <w:szCs w:val="16"/>
          <w:lang w:val="ro-RO"/>
        </w:rPr>
        <w:t xml:space="preserve"> Art. 15</w:t>
      </w:r>
      <w:r w:rsidRPr="006A3B64">
        <w:rPr>
          <w:rFonts w:asciiTheme="majorHAnsi" w:hAnsiTheme="majorHAnsi" w:cstheme="majorHAnsi"/>
          <w:sz w:val="16"/>
          <w:szCs w:val="16"/>
          <w:vertAlign w:val="superscript"/>
          <w:lang w:val="ro-RO"/>
        </w:rPr>
        <w:t xml:space="preserve">2  </w:t>
      </w:r>
      <w:r w:rsidRPr="006A3B64">
        <w:rPr>
          <w:rFonts w:asciiTheme="majorHAnsi" w:hAnsiTheme="majorHAnsi" w:cstheme="majorHAnsi"/>
          <w:sz w:val="16"/>
          <w:szCs w:val="16"/>
          <w:lang w:val="ro-RO"/>
        </w:rPr>
        <w:t>din Legea nr.156/1998 privind sistemul public de pensii</w:t>
      </w:r>
      <w:r>
        <w:rPr>
          <w:rFonts w:asciiTheme="majorHAnsi" w:hAnsiTheme="majorHAnsi" w:cstheme="majorHAnsi"/>
          <w:sz w:val="16"/>
          <w:szCs w:val="16"/>
          <w:lang w:val="ro-RO"/>
        </w:rPr>
        <w:t>.</w:t>
      </w:r>
    </w:p>
  </w:footnote>
  <w:footnote w:id="48">
    <w:p w14:paraId="7D94EB22" w14:textId="374CDF31" w:rsidR="00FB7074" w:rsidRPr="00736448" w:rsidRDefault="00FB7074" w:rsidP="006A3B64">
      <w:pPr>
        <w:pStyle w:val="a3"/>
        <w:jc w:val="both"/>
        <w:rPr>
          <w:rFonts w:asciiTheme="majorHAnsi" w:hAnsiTheme="majorHAnsi" w:cstheme="majorHAnsi"/>
          <w:sz w:val="16"/>
          <w:szCs w:val="16"/>
          <w:lang w:val="ro-RO"/>
        </w:rPr>
      </w:pPr>
      <w:r w:rsidRPr="006A3B64">
        <w:rPr>
          <w:rStyle w:val="a5"/>
          <w:rFonts w:asciiTheme="majorHAnsi" w:hAnsiTheme="majorHAnsi" w:cstheme="majorHAnsi"/>
          <w:sz w:val="16"/>
          <w:szCs w:val="16"/>
          <w:lang w:val="ro-RO"/>
        </w:rPr>
        <w:footnoteRef/>
      </w:r>
      <w:r w:rsidRPr="006A3B64">
        <w:rPr>
          <w:rFonts w:asciiTheme="majorHAnsi" w:hAnsiTheme="majorHAnsi" w:cstheme="majorHAnsi"/>
          <w:sz w:val="16"/>
          <w:szCs w:val="16"/>
          <w:lang w:val="ro-RO"/>
        </w:rPr>
        <w:t xml:space="preserve"> Art. 37 din Legea nr. 156</w:t>
      </w:r>
      <w:r>
        <w:rPr>
          <w:rFonts w:asciiTheme="majorHAnsi" w:hAnsiTheme="majorHAnsi" w:cstheme="majorHAnsi"/>
          <w:sz w:val="16"/>
          <w:szCs w:val="16"/>
          <w:lang w:val="ro-RO"/>
        </w:rPr>
        <w:t>/</w:t>
      </w:r>
      <w:r w:rsidRPr="006A3B64">
        <w:rPr>
          <w:rFonts w:asciiTheme="majorHAnsi" w:hAnsiTheme="majorHAnsi" w:cstheme="majorHAnsi"/>
          <w:sz w:val="16"/>
          <w:szCs w:val="16"/>
          <w:lang w:val="ro-RO"/>
        </w:rPr>
        <w:t>1998</w:t>
      </w:r>
      <w:r>
        <w:rPr>
          <w:rFonts w:asciiTheme="majorHAnsi" w:hAnsiTheme="majorHAnsi" w:cstheme="majorHAnsi"/>
          <w:sz w:val="16"/>
          <w:szCs w:val="16"/>
          <w:lang w:val="ro-RO"/>
        </w:rPr>
        <w:t xml:space="preserve"> </w:t>
      </w:r>
      <w:r w:rsidRPr="006A3B64">
        <w:rPr>
          <w:rFonts w:asciiTheme="majorHAnsi" w:hAnsiTheme="majorHAnsi" w:cstheme="majorHAnsi"/>
          <w:sz w:val="16"/>
          <w:szCs w:val="16"/>
          <w:lang w:val="ro-RO"/>
        </w:rPr>
        <w:t>privind sistemul public de pensii.</w:t>
      </w:r>
    </w:p>
  </w:footnote>
  <w:footnote w:id="49">
    <w:p w14:paraId="550D6FE9" w14:textId="77777777" w:rsidR="00FB7074" w:rsidRPr="00736448" w:rsidRDefault="00FB7074" w:rsidP="006A3B64">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6448">
        <w:rPr>
          <w:rFonts w:asciiTheme="majorHAnsi" w:hAnsiTheme="majorHAnsi" w:cstheme="majorHAnsi"/>
          <w:sz w:val="16"/>
          <w:szCs w:val="16"/>
          <w:lang w:val="ro-RO"/>
        </w:rPr>
        <w:t xml:space="preserve"> Acord adițional nr.193.02/19 din 25.02.2019 </w:t>
      </w:r>
      <w:r w:rsidRPr="00736448">
        <w:rPr>
          <w:rFonts w:asciiTheme="majorHAnsi" w:eastAsia="Calibri" w:hAnsiTheme="majorHAnsi" w:cstheme="majorHAnsi"/>
          <w:noProof/>
          <w:sz w:val="16"/>
          <w:szCs w:val="16"/>
          <w:lang w:val="ro-RO"/>
        </w:rPr>
        <w:t>cu privire la modificarea Acordului de colaborare privind utilizarea platformei de interoperabilitate (MConnect).</w:t>
      </w:r>
    </w:p>
  </w:footnote>
  <w:footnote w:id="50">
    <w:p w14:paraId="7F8B2185" w14:textId="1B1B3923" w:rsidR="00FB7074" w:rsidRPr="00343137" w:rsidRDefault="00FB7074" w:rsidP="00683C4B">
      <w:pPr>
        <w:pStyle w:val="a3"/>
        <w:rPr>
          <w:rFonts w:asciiTheme="majorHAnsi" w:hAnsiTheme="majorHAnsi" w:cstheme="majorHAnsi"/>
          <w:sz w:val="16"/>
          <w:szCs w:val="16"/>
          <w:lang w:val="ro-MD"/>
        </w:rPr>
      </w:pPr>
      <w:r w:rsidRPr="00736448">
        <w:rPr>
          <w:rStyle w:val="a5"/>
          <w:rFonts w:asciiTheme="majorHAnsi" w:hAnsiTheme="majorHAnsi" w:cstheme="majorHAnsi"/>
          <w:sz w:val="16"/>
          <w:szCs w:val="16"/>
        </w:rPr>
        <w:footnoteRef/>
      </w:r>
      <w:r w:rsidRPr="00343137">
        <w:rPr>
          <w:rFonts w:asciiTheme="majorHAnsi" w:hAnsiTheme="majorHAnsi" w:cstheme="majorHAnsi"/>
          <w:sz w:val="16"/>
          <w:szCs w:val="16"/>
          <w:lang w:val="ro-MD"/>
        </w:rPr>
        <w:t xml:space="preserve"> Hotărârea  Guvernului nr. 1442 din 19.12.2006 </w:t>
      </w:r>
      <w:r>
        <w:rPr>
          <w:rFonts w:asciiTheme="majorHAnsi" w:hAnsiTheme="majorHAnsi" w:cstheme="majorHAnsi"/>
          <w:sz w:val="16"/>
          <w:szCs w:val="16"/>
          <w:lang w:val="ro-MD"/>
        </w:rPr>
        <w:t>„P</w:t>
      </w:r>
      <w:r w:rsidRPr="00343137">
        <w:rPr>
          <w:rFonts w:asciiTheme="majorHAnsi" w:hAnsiTheme="majorHAnsi" w:cstheme="majorHAnsi"/>
          <w:sz w:val="16"/>
          <w:szCs w:val="16"/>
          <w:lang w:val="ro-MD"/>
        </w:rPr>
        <w:t>entru aprobarea Regulamentului privind modul de stabilire și plată a ajutorului de deces</w:t>
      </w:r>
      <w:r>
        <w:rPr>
          <w:rFonts w:asciiTheme="majorHAnsi" w:hAnsiTheme="majorHAnsi" w:cstheme="majorHAnsi"/>
          <w:sz w:val="16"/>
          <w:szCs w:val="16"/>
          <w:lang w:val="ro-MD"/>
        </w:rPr>
        <w:t>”</w:t>
      </w:r>
      <w:r w:rsidRPr="00343137">
        <w:rPr>
          <w:rFonts w:asciiTheme="majorHAnsi" w:hAnsiTheme="majorHAnsi" w:cstheme="majorHAnsi"/>
          <w:sz w:val="16"/>
          <w:szCs w:val="16"/>
          <w:lang w:val="ro-MD"/>
        </w:rPr>
        <w:t>.</w:t>
      </w:r>
    </w:p>
  </w:footnote>
  <w:footnote w:id="51">
    <w:p w14:paraId="1791F064" w14:textId="77777777" w:rsidR="00FB7074" w:rsidRPr="00343137" w:rsidRDefault="00FB7074" w:rsidP="00683C4B">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343137">
        <w:rPr>
          <w:rFonts w:asciiTheme="majorHAnsi" w:hAnsiTheme="majorHAnsi" w:cstheme="majorHAnsi"/>
          <w:sz w:val="16"/>
          <w:szCs w:val="16"/>
          <w:lang w:val="ro-RO"/>
        </w:rPr>
        <w:t xml:space="preserve"> Regulamentul cu privire la organizarea și funcționarea Casei Naționale de Asigurări Sociale, aprobat prin Hotărârea Guvernului nr. 230 din 10.04.2020.</w:t>
      </w:r>
    </w:p>
  </w:footnote>
  <w:footnote w:id="52">
    <w:p w14:paraId="54BFF695" w14:textId="7E6BC17D" w:rsidR="00FB7074" w:rsidRPr="00343137" w:rsidRDefault="00FB7074" w:rsidP="0043090E">
      <w:pPr>
        <w:pStyle w:val="a3"/>
        <w:contextualSpacing/>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343137">
        <w:rPr>
          <w:rFonts w:asciiTheme="majorHAnsi" w:hAnsiTheme="majorHAnsi" w:cstheme="majorHAnsi"/>
          <w:sz w:val="16"/>
          <w:szCs w:val="16"/>
          <w:lang w:val="ro-RO"/>
        </w:rPr>
        <w:t xml:space="preserve"> Hotărârea Guvernului nr. 314 din 22.05.2017 </w:t>
      </w:r>
      <w:r>
        <w:rPr>
          <w:rFonts w:asciiTheme="majorHAnsi" w:hAnsiTheme="majorHAnsi" w:cstheme="majorHAnsi"/>
          <w:sz w:val="16"/>
          <w:szCs w:val="16"/>
          <w:lang w:val="ro-RO"/>
        </w:rPr>
        <w:t>„P</w:t>
      </w:r>
      <w:r w:rsidRPr="00343137">
        <w:rPr>
          <w:rFonts w:asciiTheme="majorHAnsi" w:hAnsiTheme="majorHAnsi" w:cstheme="majorHAnsi"/>
          <w:sz w:val="16"/>
          <w:szCs w:val="16"/>
          <w:lang w:val="ro-RO"/>
        </w:rPr>
        <w:t>rivind constituirea Agenției Servicii Publice</w:t>
      </w:r>
      <w:r>
        <w:rPr>
          <w:rFonts w:asciiTheme="majorHAnsi" w:hAnsiTheme="majorHAnsi" w:cstheme="majorHAnsi"/>
          <w:sz w:val="16"/>
          <w:szCs w:val="16"/>
          <w:lang w:val="ro-RO"/>
        </w:rPr>
        <w:t>”</w:t>
      </w:r>
      <w:r w:rsidRPr="00343137">
        <w:rPr>
          <w:rFonts w:asciiTheme="majorHAnsi" w:hAnsiTheme="majorHAnsi" w:cstheme="majorHAnsi"/>
          <w:sz w:val="16"/>
          <w:szCs w:val="16"/>
          <w:lang w:val="ro-RO"/>
        </w:rPr>
        <w:t>.</w:t>
      </w:r>
    </w:p>
  </w:footnote>
  <w:footnote w:id="53">
    <w:p w14:paraId="63638C31" w14:textId="06EAC715" w:rsidR="00FB7074" w:rsidRPr="00736448" w:rsidRDefault="00FB7074" w:rsidP="00DA74E9">
      <w:pPr>
        <w:pStyle w:val="4"/>
        <w:rPr>
          <w:i/>
          <w:sz w:val="16"/>
          <w:szCs w:val="16"/>
        </w:rPr>
      </w:pPr>
      <w:r w:rsidRPr="00343137">
        <w:rPr>
          <w:rStyle w:val="a5"/>
          <w:sz w:val="16"/>
          <w:szCs w:val="16"/>
          <w:lang w:val="ro-RO"/>
        </w:rPr>
        <w:footnoteRef/>
      </w:r>
      <w:r w:rsidRPr="00736448">
        <w:rPr>
          <w:sz w:val="16"/>
          <w:szCs w:val="16"/>
        </w:rPr>
        <w:t xml:space="preserve"> Hotărârea Guvernului nr. 760 din 18.08.2010 </w:t>
      </w:r>
      <w:r>
        <w:rPr>
          <w:sz w:val="16"/>
          <w:szCs w:val="16"/>
        </w:rPr>
        <w:t>„C</w:t>
      </w:r>
      <w:r w:rsidRPr="00736448">
        <w:rPr>
          <w:sz w:val="16"/>
          <w:szCs w:val="16"/>
        </w:rPr>
        <w:t>u privire la Instituția publică „Agenția de Guvernare Electronică”</w:t>
      </w:r>
      <w:r>
        <w:rPr>
          <w:sz w:val="16"/>
          <w:szCs w:val="16"/>
        </w:rPr>
        <w:t>”</w:t>
      </w:r>
      <w:r w:rsidRPr="00736448">
        <w:rPr>
          <w:sz w:val="16"/>
          <w:szCs w:val="16"/>
        </w:rPr>
        <w:t>.</w:t>
      </w:r>
    </w:p>
  </w:footnote>
  <w:footnote w:id="54">
    <w:p w14:paraId="72B98675" w14:textId="77E42F0B" w:rsidR="00FB7074" w:rsidRPr="00343137" w:rsidRDefault="00FB7074" w:rsidP="008E0C6B">
      <w:pPr>
        <w:pStyle w:val="a3"/>
        <w:contextualSpacing/>
        <w:rPr>
          <w:rFonts w:asciiTheme="majorHAnsi" w:hAnsiTheme="majorHAnsi" w:cstheme="majorHAnsi"/>
          <w:sz w:val="16"/>
          <w:szCs w:val="16"/>
          <w:lang w:val="ro-MD"/>
        </w:rPr>
      </w:pPr>
      <w:r w:rsidRPr="00343137">
        <w:rPr>
          <w:rStyle w:val="a5"/>
          <w:rFonts w:asciiTheme="majorHAnsi" w:hAnsiTheme="majorHAnsi" w:cstheme="majorHAnsi"/>
          <w:sz w:val="16"/>
          <w:szCs w:val="16"/>
        </w:rPr>
        <w:footnoteRef/>
      </w:r>
      <w:r w:rsidRPr="00343137">
        <w:rPr>
          <w:rFonts w:asciiTheme="majorHAnsi" w:hAnsiTheme="majorHAnsi" w:cstheme="majorHAnsi"/>
          <w:sz w:val="16"/>
          <w:szCs w:val="16"/>
        </w:rPr>
        <w:t xml:space="preserve"> </w:t>
      </w:r>
      <w:r w:rsidRPr="00343137">
        <w:rPr>
          <w:rFonts w:asciiTheme="majorHAnsi" w:hAnsiTheme="majorHAnsi" w:cstheme="majorHAnsi"/>
          <w:color w:val="000000" w:themeColor="text1"/>
          <w:sz w:val="16"/>
          <w:szCs w:val="16"/>
          <w:lang w:val="ro-RO"/>
        </w:rPr>
        <w:t xml:space="preserve">Hotărârea Guvernului </w:t>
      </w:r>
      <w:r>
        <w:rPr>
          <w:rFonts w:asciiTheme="majorHAnsi" w:hAnsiTheme="majorHAnsi" w:cstheme="majorHAnsi"/>
          <w:color w:val="000000" w:themeColor="text1"/>
          <w:sz w:val="16"/>
          <w:szCs w:val="16"/>
          <w:lang w:val="ro-RO"/>
        </w:rPr>
        <w:t>nr.</w:t>
      </w:r>
      <w:r w:rsidRPr="00343137">
        <w:rPr>
          <w:rFonts w:asciiTheme="majorHAnsi" w:hAnsiTheme="majorHAnsi" w:cstheme="majorHAnsi"/>
          <w:color w:val="000000" w:themeColor="text1"/>
          <w:sz w:val="16"/>
          <w:szCs w:val="16"/>
          <w:lang w:val="ro-RO"/>
        </w:rPr>
        <w:t>426/2018 </w:t>
      </w:r>
      <w:r>
        <w:rPr>
          <w:rFonts w:asciiTheme="majorHAnsi" w:hAnsiTheme="majorHAnsi" w:cstheme="majorHAnsi"/>
          <w:color w:val="000000" w:themeColor="text1"/>
          <w:sz w:val="16"/>
          <w:szCs w:val="16"/>
          <w:lang w:val="ro-RO"/>
        </w:rPr>
        <w:t>„</w:t>
      </w:r>
      <w:r>
        <w:rPr>
          <w:rStyle w:val="af0"/>
          <w:rFonts w:asciiTheme="majorHAnsi" w:hAnsiTheme="majorHAnsi" w:cstheme="majorHAnsi"/>
          <w:b w:val="0"/>
          <w:color w:val="000000" w:themeColor="text1"/>
          <w:sz w:val="16"/>
          <w:szCs w:val="16"/>
          <w:lang w:val="ro-RO"/>
        </w:rPr>
        <w:t>C</w:t>
      </w:r>
      <w:r w:rsidRPr="00343137">
        <w:rPr>
          <w:rStyle w:val="af0"/>
          <w:rFonts w:asciiTheme="majorHAnsi" w:hAnsiTheme="majorHAnsi" w:cstheme="majorHAnsi"/>
          <w:b w:val="0"/>
          <w:color w:val="000000" w:themeColor="text1"/>
          <w:sz w:val="16"/>
          <w:szCs w:val="16"/>
          <w:lang w:val="ro-RO"/>
        </w:rPr>
        <w:t>u privire la unele aspecte ce țin de evidența stagiului de muncă</w:t>
      </w:r>
      <w:r>
        <w:rPr>
          <w:rStyle w:val="af0"/>
          <w:rFonts w:asciiTheme="majorHAnsi" w:hAnsiTheme="majorHAnsi" w:cstheme="majorHAnsi"/>
          <w:b w:val="0"/>
          <w:color w:val="000000" w:themeColor="text1"/>
          <w:sz w:val="16"/>
          <w:szCs w:val="16"/>
          <w:lang w:val="ro-RO"/>
        </w:rPr>
        <w:t>”.</w:t>
      </w:r>
    </w:p>
  </w:footnote>
  <w:footnote w:id="55">
    <w:p w14:paraId="29D14200" w14:textId="41EA391C" w:rsidR="00FB7074" w:rsidRPr="00736448" w:rsidRDefault="00FB7074" w:rsidP="008E0C6B">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Pr>
          <w:rFonts w:asciiTheme="majorHAnsi" w:hAnsiTheme="majorHAnsi" w:cstheme="majorHAnsi"/>
          <w:sz w:val="16"/>
          <w:szCs w:val="16"/>
          <w:lang w:val="ro-MD"/>
        </w:rPr>
        <w:t>P</w:t>
      </w:r>
      <w:r w:rsidRPr="00736448">
        <w:rPr>
          <w:rFonts w:asciiTheme="majorHAnsi" w:hAnsiTheme="majorHAnsi" w:cstheme="majorHAnsi"/>
          <w:sz w:val="16"/>
          <w:szCs w:val="16"/>
          <w:lang w:val="ro-MD"/>
        </w:rPr>
        <w:t xml:space="preserve">ct. 1 al Hotărârii Guvernului </w:t>
      </w:r>
      <w:r>
        <w:rPr>
          <w:rFonts w:asciiTheme="majorHAnsi" w:hAnsiTheme="majorHAnsi" w:cstheme="majorHAnsi"/>
          <w:sz w:val="16"/>
          <w:szCs w:val="16"/>
          <w:lang w:val="ro-MD"/>
        </w:rPr>
        <w:t>nr.</w:t>
      </w:r>
      <w:r w:rsidRPr="00736448">
        <w:rPr>
          <w:rFonts w:asciiTheme="majorHAnsi" w:hAnsiTheme="majorHAnsi" w:cstheme="majorHAnsi"/>
          <w:sz w:val="16"/>
          <w:szCs w:val="16"/>
          <w:lang w:val="ro-MD"/>
        </w:rPr>
        <w:t xml:space="preserve">426/2018 </w:t>
      </w:r>
      <w:r>
        <w:rPr>
          <w:rFonts w:asciiTheme="majorHAnsi" w:hAnsiTheme="majorHAnsi" w:cstheme="majorHAnsi"/>
          <w:sz w:val="16"/>
          <w:szCs w:val="16"/>
          <w:lang w:val="ro-MD"/>
        </w:rPr>
        <w:t>„C</w:t>
      </w:r>
      <w:r w:rsidRPr="00736448">
        <w:rPr>
          <w:rFonts w:asciiTheme="majorHAnsi" w:hAnsiTheme="majorHAnsi" w:cstheme="majorHAnsi"/>
          <w:sz w:val="16"/>
          <w:szCs w:val="16"/>
          <w:lang w:val="ro-MD"/>
        </w:rPr>
        <w:t>u privire la unele aspecte ce țin de evidența stagiului de muncă şi la abrogarea Hotărârii Guvernului nr.1449 din 24 decembrie 2007</w:t>
      </w:r>
      <w:r>
        <w:rPr>
          <w:rFonts w:asciiTheme="majorHAnsi" w:hAnsiTheme="majorHAnsi" w:cstheme="majorHAnsi"/>
          <w:sz w:val="16"/>
          <w:szCs w:val="16"/>
          <w:lang w:val="ro-MD"/>
        </w:rPr>
        <w:t>!”.</w:t>
      </w:r>
    </w:p>
  </w:footnote>
  <w:footnote w:id="56">
    <w:p w14:paraId="03532215" w14:textId="519DC5BB" w:rsidR="00FB7074" w:rsidRPr="00736448" w:rsidRDefault="00FB7074" w:rsidP="008E0C6B">
      <w:pPr>
        <w:pStyle w:val="a3"/>
        <w:jc w:val="both"/>
        <w:rPr>
          <w:rFonts w:asciiTheme="majorHAnsi" w:hAnsiTheme="majorHAnsi" w:cstheme="majorHAnsi"/>
          <w:color w:val="000000" w:themeColor="text1"/>
          <w:sz w:val="16"/>
          <w:szCs w:val="16"/>
          <w:lang w:val="ro-MD"/>
        </w:rPr>
      </w:pPr>
      <w:r w:rsidRPr="00736448">
        <w:rPr>
          <w:rStyle w:val="a5"/>
          <w:rFonts w:asciiTheme="majorHAnsi" w:hAnsiTheme="majorHAnsi" w:cstheme="majorHAnsi"/>
          <w:color w:val="000000" w:themeColor="text1"/>
          <w:sz w:val="16"/>
          <w:szCs w:val="16"/>
          <w:lang w:val="ro-MD"/>
        </w:rPr>
        <w:footnoteRef/>
      </w:r>
      <w:r w:rsidRPr="00736448">
        <w:rPr>
          <w:rFonts w:asciiTheme="majorHAnsi" w:hAnsiTheme="majorHAnsi" w:cstheme="majorHAnsi"/>
          <w:color w:val="000000" w:themeColor="text1"/>
          <w:sz w:val="16"/>
          <w:szCs w:val="16"/>
          <w:lang w:val="ro-MD"/>
        </w:rPr>
        <w:t xml:space="preserve"> </w:t>
      </w:r>
      <w:r w:rsidRPr="00736448">
        <w:rPr>
          <w:rStyle w:val="af0"/>
          <w:rFonts w:asciiTheme="majorHAnsi" w:hAnsiTheme="majorHAnsi" w:cstheme="majorHAnsi"/>
          <w:b w:val="0"/>
          <w:color w:val="000000" w:themeColor="text1"/>
          <w:sz w:val="16"/>
          <w:szCs w:val="16"/>
          <w:lang w:val="ro-MD"/>
        </w:rPr>
        <w:t>Hotărârea Guvernului nr.1449 din 24</w:t>
      </w:r>
      <w:r>
        <w:rPr>
          <w:rStyle w:val="af0"/>
          <w:rFonts w:asciiTheme="majorHAnsi" w:hAnsiTheme="majorHAnsi" w:cstheme="majorHAnsi"/>
          <w:b w:val="0"/>
          <w:color w:val="000000" w:themeColor="text1"/>
          <w:sz w:val="16"/>
          <w:szCs w:val="16"/>
          <w:lang w:val="ro-MD"/>
        </w:rPr>
        <w:t>.12.</w:t>
      </w:r>
      <w:r w:rsidRPr="00736448">
        <w:rPr>
          <w:rStyle w:val="af0"/>
          <w:rFonts w:asciiTheme="majorHAnsi" w:hAnsiTheme="majorHAnsi" w:cstheme="majorHAnsi"/>
          <w:b w:val="0"/>
          <w:color w:val="000000" w:themeColor="text1"/>
          <w:sz w:val="16"/>
          <w:szCs w:val="16"/>
          <w:lang w:val="ro-MD"/>
        </w:rPr>
        <w:t>2007</w:t>
      </w:r>
      <w:r>
        <w:rPr>
          <w:rStyle w:val="af0"/>
          <w:rFonts w:asciiTheme="majorHAnsi" w:hAnsiTheme="majorHAnsi" w:cstheme="majorHAnsi"/>
          <w:b w:val="0"/>
          <w:color w:val="000000" w:themeColor="text1"/>
          <w:sz w:val="16"/>
          <w:szCs w:val="16"/>
          <w:lang w:val="ro-MD"/>
        </w:rPr>
        <w:t>.</w:t>
      </w:r>
      <w:r w:rsidRPr="00736448">
        <w:rPr>
          <w:rStyle w:val="af0"/>
          <w:rFonts w:asciiTheme="majorHAnsi" w:hAnsiTheme="majorHAnsi" w:cstheme="majorHAnsi"/>
          <w:b w:val="0"/>
          <w:color w:val="000000" w:themeColor="text1"/>
          <w:sz w:val="16"/>
          <w:szCs w:val="16"/>
          <w:lang w:val="ro-MD"/>
        </w:rPr>
        <w:t xml:space="preserve"> </w:t>
      </w:r>
    </w:p>
  </w:footnote>
  <w:footnote w:id="57">
    <w:p w14:paraId="327EFFD6" w14:textId="463C1765" w:rsidR="00FB7074" w:rsidRPr="00736448" w:rsidRDefault="00FB7074" w:rsidP="008E0C6B">
      <w:pPr>
        <w:pStyle w:val="a3"/>
        <w:jc w:val="both"/>
        <w:rPr>
          <w:rFonts w:asciiTheme="majorHAnsi" w:hAnsiTheme="majorHAnsi" w:cstheme="majorHAnsi"/>
          <w:color w:val="000000" w:themeColor="text1"/>
          <w:sz w:val="16"/>
          <w:szCs w:val="16"/>
          <w:lang w:val="ro-MD"/>
        </w:rPr>
      </w:pPr>
      <w:r w:rsidRPr="00736448">
        <w:rPr>
          <w:rStyle w:val="a5"/>
          <w:rFonts w:asciiTheme="majorHAnsi" w:hAnsiTheme="majorHAnsi" w:cstheme="majorHAnsi"/>
          <w:color w:val="000000" w:themeColor="text1"/>
          <w:sz w:val="16"/>
          <w:szCs w:val="16"/>
          <w:lang w:val="ro-MD"/>
        </w:rPr>
        <w:footnoteRef/>
      </w:r>
      <w:r w:rsidRPr="00736448">
        <w:rPr>
          <w:rFonts w:asciiTheme="majorHAnsi" w:hAnsiTheme="majorHAnsi" w:cstheme="majorHAnsi"/>
          <w:color w:val="000000" w:themeColor="text1"/>
          <w:sz w:val="16"/>
          <w:szCs w:val="16"/>
          <w:lang w:val="ro-MD"/>
        </w:rPr>
        <w:t xml:space="preserve"> Art. 51 alin. (1) din Legea nr.156/1998 privind sistemul public de pensii; </w:t>
      </w:r>
      <w:r>
        <w:rPr>
          <w:rFonts w:asciiTheme="majorHAnsi" w:hAnsiTheme="majorHAnsi" w:cstheme="majorHAnsi"/>
          <w:color w:val="000000" w:themeColor="text1"/>
          <w:sz w:val="16"/>
          <w:szCs w:val="16"/>
          <w:lang w:val="ro-MD"/>
        </w:rPr>
        <w:t>p</w:t>
      </w:r>
      <w:r w:rsidRPr="00736448">
        <w:rPr>
          <w:rFonts w:asciiTheme="majorHAnsi" w:hAnsiTheme="majorHAnsi" w:cstheme="majorHAnsi"/>
          <w:color w:val="000000" w:themeColor="text1"/>
          <w:sz w:val="16"/>
          <w:szCs w:val="16"/>
          <w:lang w:val="ro-MD"/>
        </w:rPr>
        <w:t>ct. 69 din H</w:t>
      </w:r>
      <w:r>
        <w:rPr>
          <w:rFonts w:asciiTheme="majorHAnsi" w:hAnsiTheme="majorHAnsi" w:cstheme="majorHAnsi"/>
          <w:color w:val="000000" w:themeColor="text1"/>
          <w:sz w:val="16"/>
          <w:szCs w:val="16"/>
          <w:lang w:val="ro-MD"/>
        </w:rPr>
        <w:t xml:space="preserve">otărârea </w:t>
      </w:r>
      <w:r w:rsidRPr="00736448">
        <w:rPr>
          <w:rFonts w:asciiTheme="majorHAnsi" w:hAnsiTheme="majorHAnsi" w:cstheme="majorHAnsi"/>
          <w:color w:val="000000" w:themeColor="text1"/>
          <w:sz w:val="16"/>
          <w:szCs w:val="16"/>
          <w:lang w:val="ro-MD"/>
        </w:rPr>
        <w:t>G</w:t>
      </w:r>
      <w:r>
        <w:rPr>
          <w:rFonts w:asciiTheme="majorHAnsi" w:hAnsiTheme="majorHAnsi" w:cstheme="majorHAnsi"/>
          <w:color w:val="000000" w:themeColor="text1"/>
          <w:sz w:val="16"/>
          <w:szCs w:val="16"/>
          <w:lang w:val="ro-MD"/>
        </w:rPr>
        <w:t>uvernului</w:t>
      </w:r>
      <w:r w:rsidRPr="00736448">
        <w:rPr>
          <w:rFonts w:asciiTheme="majorHAnsi" w:hAnsiTheme="majorHAnsi" w:cstheme="majorHAnsi"/>
          <w:color w:val="000000" w:themeColor="text1"/>
          <w:sz w:val="16"/>
          <w:szCs w:val="16"/>
          <w:lang w:val="ro-MD"/>
        </w:rPr>
        <w:t xml:space="preserve"> </w:t>
      </w:r>
      <w:r>
        <w:rPr>
          <w:rFonts w:asciiTheme="majorHAnsi" w:hAnsiTheme="majorHAnsi" w:cstheme="majorHAnsi"/>
          <w:color w:val="000000" w:themeColor="text1"/>
          <w:sz w:val="16"/>
          <w:szCs w:val="16"/>
          <w:lang w:val="ro-MD"/>
        </w:rPr>
        <w:t>n</w:t>
      </w:r>
      <w:r w:rsidRPr="00736448">
        <w:rPr>
          <w:rFonts w:asciiTheme="majorHAnsi" w:hAnsiTheme="majorHAnsi" w:cstheme="majorHAnsi"/>
          <w:color w:val="000000" w:themeColor="text1"/>
          <w:sz w:val="16"/>
          <w:szCs w:val="16"/>
          <w:lang w:val="ro-MD"/>
        </w:rPr>
        <w:t xml:space="preserve">r. 165 din 21.03.2017 </w:t>
      </w:r>
      <w:r>
        <w:rPr>
          <w:rFonts w:asciiTheme="majorHAnsi" w:hAnsiTheme="majorHAnsi" w:cstheme="majorHAnsi"/>
          <w:color w:val="000000" w:themeColor="text1"/>
          <w:sz w:val="16"/>
          <w:szCs w:val="16"/>
          <w:lang w:val="ro-MD"/>
        </w:rPr>
        <w:t>„P</w:t>
      </w:r>
      <w:r w:rsidRPr="00736448">
        <w:rPr>
          <w:rFonts w:asciiTheme="majorHAnsi" w:hAnsiTheme="majorHAnsi" w:cstheme="majorHAnsi"/>
          <w:color w:val="000000" w:themeColor="text1"/>
          <w:sz w:val="16"/>
          <w:szCs w:val="16"/>
          <w:lang w:val="ro-MD"/>
        </w:rPr>
        <w:t>entru aprobarea Regulamentului privind modalitatea de calculare a pensiilor și modalitatea de confirmare a stagiului de cotizare pentru stabilirea pensiilor</w:t>
      </w:r>
      <w:r>
        <w:rPr>
          <w:rFonts w:asciiTheme="majorHAnsi" w:hAnsiTheme="majorHAnsi" w:cstheme="majorHAnsi"/>
          <w:color w:val="000000" w:themeColor="text1"/>
          <w:sz w:val="16"/>
          <w:szCs w:val="16"/>
          <w:lang w:val="ro-MD"/>
        </w:rPr>
        <w:t>”.</w:t>
      </w:r>
    </w:p>
  </w:footnote>
  <w:footnote w:id="58">
    <w:p w14:paraId="68DE4200" w14:textId="06144C3F" w:rsidR="00FB7074" w:rsidRPr="00985E58" w:rsidRDefault="00FB7074" w:rsidP="003C2906">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736448">
        <w:rPr>
          <w:rFonts w:asciiTheme="majorHAnsi" w:eastAsia="Times New Roman" w:hAnsiTheme="majorHAnsi" w:cstheme="majorHAnsi"/>
          <w:sz w:val="16"/>
          <w:szCs w:val="16"/>
          <w:lang w:val="ro-MD" w:eastAsia="ro-RO"/>
        </w:rPr>
        <w:t>Federația Rusă, Republica Uzbekistan, Ucraina, Republica Azerbaidjan</w:t>
      </w:r>
      <w:r>
        <w:rPr>
          <w:rFonts w:asciiTheme="majorHAnsi" w:eastAsia="Times New Roman" w:hAnsiTheme="majorHAnsi" w:cstheme="majorHAnsi"/>
          <w:sz w:val="16"/>
          <w:szCs w:val="16"/>
          <w:lang w:val="ro-MD" w:eastAsia="ro-RO"/>
        </w:rPr>
        <w:t>.</w:t>
      </w:r>
    </w:p>
  </w:footnote>
  <w:footnote w:id="59">
    <w:p w14:paraId="3CCCAA52" w14:textId="52B8529E" w:rsidR="00FB7074" w:rsidRPr="00985E58" w:rsidRDefault="00FB7074" w:rsidP="003C2906">
      <w:pPr>
        <w:pStyle w:val="a3"/>
        <w:jc w:val="both"/>
        <w:rPr>
          <w:sz w:val="18"/>
          <w:szCs w:val="18"/>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736448">
        <w:rPr>
          <w:rFonts w:asciiTheme="majorHAnsi" w:eastAsia="Times New Roman" w:hAnsiTheme="majorHAnsi" w:cstheme="majorHAnsi"/>
          <w:sz w:val="16"/>
          <w:szCs w:val="16"/>
          <w:lang w:val="ro-MD" w:eastAsia="ro-RO"/>
        </w:rPr>
        <w:t>Republica Bulgaria, Republica Portugheză, România, Marele Ducat de Luxemburg, Republica Estonia, Republica Cehă, Republica Austria, Regatul Belgiei, Republica Polonă, Ungaria, Republica Lituania, Republica Federală Germania, Republica Turcia, Republica Belarus, Republica Elenă</w:t>
      </w:r>
      <w:r>
        <w:rPr>
          <w:rFonts w:asciiTheme="majorHAnsi" w:eastAsia="Times New Roman" w:hAnsiTheme="majorHAnsi" w:cstheme="majorHAnsi"/>
          <w:sz w:val="16"/>
          <w:szCs w:val="16"/>
          <w:lang w:val="ro-MD" w:eastAsia="ro-RO"/>
        </w:rPr>
        <w:t>.</w:t>
      </w:r>
    </w:p>
  </w:footnote>
  <w:footnote w:id="60">
    <w:p w14:paraId="4BD343DA" w14:textId="4C5ADF86" w:rsidR="00FB7074" w:rsidRPr="00502E87" w:rsidRDefault="00FB7074" w:rsidP="00AB40C5">
      <w:pPr>
        <w:pStyle w:val="a3"/>
        <w:jc w:val="both"/>
        <w:rPr>
          <w:rFonts w:asciiTheme="majorHAnsi" w:hAnsiTheme="majorHAnsi" w:cstheme="majorHAnsi"/>
          <w:sz w:val="16"/>
          <w:szCs w:val="16"/>
          <w:lang w:val="ro-MD"/>
        </w:rPr>
      </w:pPr>
      <w:r w:rsidRPr="00985E58">
        <w:rPr>
          <w:rStyle w:val="a5"/>
          <w:rFonts w:asciiTheme="majorHAnsi" w:hAnsiTheme="majorHAnsi" w:cstheme="majorHAnsi"/>
          <w:sz w:val="16"/>
          <w:szCs w:val="16"/>
          <w:lang w:val="ro-MD"/>
        </w:rPr>
        <w:footnoteRef/>
      </w:r>
      <w:r w:rsidRPr="00985E58">
        <w:rPr>
          <w:rFonts w:asciiTheme="majorHAnsi" w:hAnsiTheme="majorHAnsi" w:cstheme="majorHAnsi"/>
          <w:sz w:val="16"/>
          <w:szCs w:val="16"/>
          <w:lang w:val="ro-MD"/>
        </w:rPr>
        <w:t xml:space="preserve"> Art. 4, art. 8 și art. 15 din Legea nr.229 din 23.09.2010 privind controlul financiar public intern (în continuare – Legea </w:t>
      </w:r>
      <w:r w:rsidRPr="00985E58">
        <w:rPr>
          <w:rFonts w:asciiTheme="majorHAnsi" w:eastAsia="Times New Roman" w:hAnsiTheme="majorHAnsi" w:cstheme="majorHAnsi"/>
          <w:sz w:val="16"/>
          <w:szCs w:val="16"/>
          <w:lang w:val="ro-MD"/>
        </w:rPr>
        <w:t>nr.229 din 23.09.2010)</w:t>
      </w:r>
      <w:r w:rsidRPr="00502E87">
        <w:rPr>
          <w:rFonts w:asciiTheme="majorHAnsi" w:hAnsiTheme="majorHAnsi" w:cstheme="majorHAnsi"/>
          <w:sz w:val="16"/>
          <w:szCs w:val="16"/>
          <w:lang w:val="ro-MD"/>
        </w:rPr>
        <w:t>.</w:t>
      </w:r>
    </w:p>
  </w:footnote>
  <w:footnote w:id="61">
    <w:p w14:paraId="02DED0F3" w14:textId="77777777" w:rsidR="00FB7074" w:rsidRPr="00DA74E9" w:rsidRDefault="00FB7074" w:rsidP="00B8004A">
      <w:pPr>
        <w:pStyle w:val="a8"/>
        <w:rPr>
          <w:rFonts w:asciiTheme="majorHAnsi" w:hAnsiTheme="majorHAnsi" w:cstheme="majorHAnsi"/>
          <w:sz w:val="16"/>
          <w:szCs w:val="16"/>
          <w:lang w:val="ro-MD"/>
        </w:rPr>
      </w:pPr>
      <w:r w:rsidRPr="00DA74E9">
        <w:rPr>
          <w:rStyle w:val="a5"/>
          <w:rFonts w:asciiTheme="majorHAnsi" w:hAnsiTheme="majorHAnsi" w:cstheme="majorHAnsi"/>
          <w:sz w:val="16"/>
          <w:szCs w:val="16"/>
          <w:lang w:val="ro-MD"/>
        </w:rPr>
        <w:footnoteRef/>
      </w:r>
      <w:r w:rsidRPr="00DA74E9">
        <w:rPr>
          <w:rFonts w:asciiTheme="majorHAnsi" w:hAnsiTheme="majorHAnsi" w:cstheme="majorHAnsi"/>
          <w:sz w:val="16"/>
          <w:szCs w:val="16"/>
          <w:lang w:val="ro-MD"/>
        </w:rPr>
        <w:t xml:space="preserve"> </w:t>
      </w:r>
      <w:r w:rsidRPr="00DA74E9">
        <w:rPr>
          <w:rFonts w:asciiTheme="majorHAnsi" w:eastAsia="Times New Roman" w:hAnsiTheme="majorHAnsi" w:cstheme="majorHAnsi"/>
          <w:sz w:val="16"/>
          <w:szCs w:val="16"/>
          <w:lang w:val="ro-MD"/>
        </w:rPr>
        <w:t>Legea nr.229 din 23.09.2010.</w:t>
      </w:r>
    </w:p>
  </w:footnote>
  <w:footnote w:id="62">
    <w:p w14:paraId="3902AA15" w14:textId="0A5A4FE4" w:rsidR="00FB7074" w:rsidRPr="00DA74E9" w:rsidRDefault="00FB7074" w:rsidP="00B8004A">
      <w:pPr>
        <w:spacing w:after="0"/>
        <w:jc w:val="both"/>
        <w:rPr>
          <w:rFonts w:asciiTheme="majorHAnsi" w:hAnsiTheme="majorHAnsi" w:cstheme="majorHAnsi"/>
          <w:sz w:val="16"/>
          <w:szCs w:val="16"/>
          <w:lang w:val="ro-RO"/>
        </w:rPr>
      </w:pPr>
      <w:r w:rsidRPr="00DA74E9">
        <w:rPr>
          <w:rStyle w:val="a5"/>
          <w:rFonts w:asciiTheme="majorHAnsi" w:hAnsiTheme="majorHAnsi" w:cstheme="majorHAnsi"/>
          <w:sz w:val="16"/>
          <w:szCs w:val="16"/>
          <w:lang w:val="ro-RO"/>
        </w:rPr>
        <w:footnoteRef/>
      </w:r>
      <w:r w:rsidRPr="00DA74E9">
        <w:rPr>
          <w:rFonts w:asciiTheme="majorHAnsi" w:hAnsiTheme="majorHAnsi" w:cstheme="majorHAnsi"/>
          <w:sz w:val="16"/>
          <w:szCs w:val="16"/>
          <w:lang w:val="ro-RO"/>
        </w:rPr>
        <w:t xml:space="preserve"> </w:t>
      </w:r>
      <w:r>
        <w:rPr>
          <w:rFonts w:asciiTheme="majorHAnsi" w:hAnsiTheme="majorHAnsi" w:cstheme="majorHAnsi"/>
          <w:sz w:val="16"/>
          <w:szCs w:val="16"/>
          <w:lang w:val="ro-RO"/>
        </w:rPr>
        <w:t xml:space="preserve">Prin </w:t>
      </w:r>
      <w:r w:rsidRPr="00DA74E9">
        <w:rPr>
          <w:rFonts w:asciiTheme="majorHAnsi" w:eastAsia="Times New Roman" w:hAnsiTheme="majorHAnsi" w:cstheme="majorHAnsi"/>
          <w:sz w:val="16"/>
          <w:szCs w:val="16"/>
          <w:lang w:val="ro-RO"/>
        </w:rPr>
        <w:t>Hotărârea Curții de Conturi nr.17 din 24.05.2022 „Cu privire la Raportul auditului financiar asupra Raportului Guvernului privind executarea bugetului asigurărilor sociale de stat în anul bugetar 2021”</w:t>
      </w:r>
      <w:r>
        <w:rPr>
          <w:rFonts w:asciiTheme="majorHAnsi" w:eastAsia="Times New Roman" w:hAnsiTheme="majorHAnsi" w:cstheme="majorHAnsi"/>
          <w:sz w:val="16"/>
          <w:szCs w:val="16"/>
          <w:lang w:val="ro-RO"/>
        </w:rPr>
        <w:t xml:space="preserve"> au fost</w:t>
      </w:r>
      <w:r w:rsidRPr="00DA74E9">
        <w:rPr>
          <w:rFonts w:asciiTheme="majorHAnsi" w:hAnsiTheme="majorHAnsi" w:cstheme="majorHAnsi"/>
          <w:iCs/>
          <w:sz w:val="16"/>
          <w:szCs w:val="16"/>
          <w:lang w:val="ro-RO"/>
        </w:rPr>
        <w:t xml:space="preserve"> înaintate 14 recomandări.</w:t>
      </w:r>
    </w:p>
  </w:footnote>
  <w:footnote w:id="63">
    <w:p w14:paraId="067B08FE" w14:textId="77777777" w:rsidR="00FB7074" w:rsidRPr="00B2348F" w:rsidRDefault="00FB7074" w:rsidP="00563E08">
      <w:pPr>
        <w:pStyle w:val="a3"/>
        <w:rPr>
          <w:lang w:val="ro-MD"/>
        </w:rPr>
      </w:pPr>
      <w:r w:rsidRPr="00617E4A">
        <w:rPr>
          <w:rFonts w:asciiTheme="majorHAnsi" w:eastAsia="Times New Roman" w:hAnsiTheme="majorHAnsi" w:cstheme="majorHAnsi"/>
          <w:sz w:val="16"/>
          <w:szCs w:val="16"/>
          <w:vertAlign w:val="superscript"/>
          <w:lang w:val="ro-RO"/>
        </w:rPr>
        <w:footnoteRef/>
      </w:r>
      <w:r w:rsidRPr="00617E4A">
        <w:rPr>
          <w:rFonts w:asciiTheme="majorHAnsi" w:eastAsia="Times New Roman" w:hAnsiTheme="majorHAnsi" w:cstheme="majorHAnsi"/>
          <w:sz w:val="16"/>
          <w:szCs w:val="16"/>
          <w:vertAlign w:val="superscript"/>
          <w:lang w:val="ro-RO"/>
        </w:rPr>
        <w:t xml:space="preserve"> </w:t>
      </w:r>
      <w:r w:rsidRPr="009734D8">
        <w:rPr>
          <w:rFonts w:asciiTheme="majorHAnsi" w:eastAsia="Times New Roman" w:hAnsiTheme="majorHAnsi" w:cstheme="majorHAnsi"/>
          <w:sz w:val="16"/>
          <w:szCs w:val="16"/>
          <w:lang w:val="ro-RO"/>
        </w:rPr>
        <w:t>M</w:t>
      </w:r>
      <w:r>
        <w:rPr>
          <w:rFonts w:asciiTheme="majorHAnsi" w:eastAsia="Times New Roman" w:hAnsiTheme="majorHAnsi" w:cstheme="majorHAnsi"/>
          <w:sz w:val="16"/>
          <w:szCs w:val="16"/>
          <w:lang w:val="ro-RO"/>
        </w:rPr>
        <w:t>inisterul A</w:t>
      </w:r>
      <w:r w:rsidRPr="009734D8">
        <w:rPr>
          <w:rFonts w:asciiTheme="majorHAnsi" w:eastAsia="Times New Roman" w:hAnsiTheme="majorHAnsi" w:cstheme="majorHAnsi"/>
          <w:sz w:val="16"/>
          <w:szCs w:val="16"/>
          <w:lang w:val="ro-RO"/>
        </w:rPr>
        <w:t xml:space="preserve">facerilor Interne, </w:t>
      </w:r>
      <w:r>
        <w:rPr>
          <w:rFonts w:asciiTheme="majorHAnsi" w:eastAsia="Times New Roman" w:hAnsiTheme="majorHAnsi" w:cstheme="majorHAnsi"/>
          <w:sz w:val="16"/>
          <w:szCs w:val="16"/>
          <w:lang w:val="ro-RO"/>
        </w:rPr>
        <w:t>Ministerul Muncii și Protecției Sociale.</w:t>
      </w:r>
    </w:p>
  </w:footnote>
  <w:footnote w:id="64">
    <w:p w14:paraId="630AF928" w14:textId="78F83573" w:rsidR="00FB7074" w:rsidRPr="00736448" w:rsidRDefault="00FB7074" w:rsidP="00736448">
      <w:pPr>
        <w:tabs>
          <w:tab w:val="left" w:pos="851"/>
        </w:tabs>
        <w:spacing w:after="0" w:line="240" w:lineRule="auto"/>
        <w:jc w:val="both"/>
        <w:rPr>
          <w:rFonts w:asciiTheme="majorHAnsi" w:hAnsiTheme="majorHAnsi" w:cstheme="majorHAnsi"/>
          <w:b/>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Pr>
          <w:rFonts w:asciiTheme="majorHAnsi" w:hAnsiTheme="majorHAnsi" w:cstheme="majorHAnsi"/>
          <w:sz w:val="16"/>
          <w:szCs w:val="16"/>
          <w:lang w:val="ro-MD"/>
        </w:rPr>
        <w:t>A</w:t>
      </w:r>
      <w:r w:rsidRPr="00736448">
        <w:rPr>
          <w:rFonts w:asciiTheme="majorHAnsi" w:hAnsiTheme="majorHAnsi" w:cstheme="majorHAnsi"/>
          <w:sz w:val="16"/>
          <w:szCs w:val="16"/>
          <w:lang w:val="ro-MD"/>
        </w:rPr>
        <w:t>rt. 80 din Codul muncii al Republicii Moldova nr. 154/2003</w:t>
      </w:r>
      <w:r>
        <w:rPr>
          <w:rFonts w:asciiTheme="majorHAnsi" w:hAnsiTheme="majorHAnsi" w:cstheme="majorHAnsi"/>
          <w:sz w:val="16"/>
          <w:szCs w:val="16"/>
          <w:lang w:val="ro-MD"/>
        </w:rPr>
        <w:t>;</w:t>
      </w:r>
      <w:r w:rsidRPr="00736448">
        <w:rPr>
          <w:rFonts w:asciiTheme="majorHAnsi" w:hAnsiTheme="majorHAnsi" w:cstheme="majorHAnsi"/>
          <w:b/>
          <w:sz w:val="16"/>
          <w:szCs w:val="16"/>
          <w:lang w:val="ro-MD"/>
        </w:rPr>
        <w:t xml:space="preserve"> </w:t>
      </w:r>
      <w:r w:rsidRPr="00736448">
        <w:rPr>
          <w:rStyle w:val="af0"/>
          <w:rFonts w:asciiTheme="majorHAnsi" w:hAnsiTheme="majorHAnsi" w:cstheme="majorHAnsi"/>
          <w:b w:val="0"/>
          <w:color w:val="333333"/>
          <w:sz w:val="16"/>
          <w:szCs w:val="16"/>
          <w:lang w:val="ro-MD"/>
        </w:rPr>
        <w:t>HG nr. 316 din 03</w:t>
      </w:r>
      <w:r>
        <w:rPr>
          <w:rStyle w:val="af0"/>
          <w:rFonts w:asciiTheme="majorHAnsi" w:hAnsiTheme="majorHAnsi" w:cstheme="majorHAnsi"/>
          <w:b w:val="0"/>
          <w:color w:val="333333"/>
          <w:sz w:val="16"/>
          <w:szCs w:val="16"/>
          <w:lang w:val="ro-MD"/>
        </w:rPr>
        <w:t>.</w:t>
      </w:r>
      <w:r w:rsidRPr="00736448">
        <w:rPr>
          <w:rStyle w:val="af0"/>
          <w:rFonts w:asciiTheme="majorHAnsi" w:hAnsiTheme="majorHAnsi" w:cstheme="majorHAnsi"/>
          <w:b w:val="0"/>
          <w:color w:val="333333"/>
          <w:sz w:val="16"/>
          <w:szCs w:val="16"/>
          <w:lang w:val="ro-MD"/>
        </w:rPr>
        <w:t>11</w:t>
      </w:r>
      <w:r>
        <w:rPr>
          <w:rStyle w:val="af0"/>
          <w:rFonts w:asciiTheme="majorHAnsi" w:hAnsiTheme="majorHAnsi" w:cstheme="majorHAnsi"/>
          <w:b w:val="0"/>
          <w:color w:val="333333"/>
          <w:sz w:val="16"/>
          <w:szCs w:val="16"/>
          <w:lang w:val="ro-MD"/>
        </w:rPr>
        <w:t>.</w:t>
      </w:r>
      <w:r w:rsidRPr="00736448">
        <w:rPr>
          <w:rStyle w:val="af0"/>
          <w:rFonts w:asciiTheme="majorHAnsi" w:hAnsiTheme="majorHAnsi" w:cstheme="majorHAnsi"/>
          <w:b w:val="0"/>
          <w:color w:val="333333"/>
          <w:sz w:val="16"/>
          <w:szCs w:val="16"/>
          <w:lang w:val="ro-MD"/>
        </w:rPr>
        <w:t>2021</w:t>
      </w:r>
      <w:r w:rsidRPr="00736448">
        <w:rPr>
          <w:rFonts w:asciiTheme="majorHAnsi" w:hAnsiTheme="majorHAnsi" w:cstheme="majorHAnsi"/>
          <w:b/>
          <w:sz w:val="16"/>
          <w:szCs w:val="16"/>
          <w:lang w:val="ro-MD"/>
        </w:rPr>
        <w:t xml:space="preserve"> </w:t>
      </w:r>
      <w:r>
        <w:rPr>
          <w:rFonts w:asciiTheme="majorHAnsi" w:hAnsiTheme="majorHAnsi" w:cstheme="majorHAnsi"/>
          <w:b/>
          <w:sz w:val="16"/>
          <w:szCs w:val="16"/>
          <w:lang w:val="ro-MD"/>
        </w:rPr>
        <w:t>„</w:t>
      </w:r>
      <w:r>
        <w:rPr>
          <w:rStyle w:val="af0"/>
          <w:rFonts w:asciiTheme="majorHAnsi" w:hAnsiTheme="majorHAnsi" w:cstheme="majorHAnsi"/>
          <w:b w:val="0"/>
          <w:color w:val="333333"/>
          <w:sz w:val="16"/>
          <w:szCs w:val="16"/>
          <w:lang w:val="ro-MD"/>
        </w:rPr>
        <w:t>C</w:t>
      </w:r>
      <w:r w:rsidRPr="00736448">
        <w:rPr>
          <w:rStyle w:val="af0"/>
          <w:rFonts w:asciiTheme="majorHAnsi" w:hAnsiTheme="majorHAnsi" w:cstheme="majorHAnsi"/>
          <w:b w:val="0"/>
          <w:color w:val="333333"/>
          <w:sz w:val="16"/>
          <w:szCs w:val="16"/>
          <w:lang w:val="ro-MD"/>
        </w:rPr>
        <w:t>u privire la aprobarea unor măsuri de susținere a angajatorilor și salariaților în condițiile aplicării măsurilor de restricție pe perioada pandemiei de COVID-19</w:t>
      </w:r>
      <w:r>
        <w:rPr>
          <w:rStyle w:val="af0"/>
          <w:rFonts w:asciiTheme="majorHAnsi" w:hAnsiTheme="majorHAnsi" w:cstheme="majorHAnsi"/>
          <w:b w:val="0"/>
          <w:color w:val="333333"/>
          <w:sz w:val="16"/>
          <w:szCs w:val="16"/>
          <w:lang w:val="ro-MD"/>
        </w:rPr>
        <w:t>”.</w:t>
      </w:r>
    </w:p>
  </w:footnote>
  <w:footnote w:id="65">
    <w:p w14:paraId="37056161" w14:textId="5F434AEA" w:rsidR="00FB7074" w:rsidRPr="00AE0A05"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AE0A05">
        <w:rPr>
          <w:rFonts w:asciiTheme="majorHAnsi" w:hAnsiTheme="majorHAnsi" w:cstheme="majorHAnsi"/>
          <w:sz w:val="16"/>
          <w:szCs w:val="16"/>
          <w:lang w:val="ro-MD"/>
        </w:rPr>
        <w:t>Scrisoarea CNAS din 03.03.</w:t>
      </w:r>
      <w:r>
        <w:rPr>
          <w:rFonts w:asciiTheme="majorHAnsi" w:hAnsiTheme="majorHAnsi" w:cstheme="majorHAnsi"/>
          <w:sz w:val="16"/>
          <w:szCs w:val="16"/>
          <w:lang w:val="ro-MD"/>
        </w:rPr>
        <w:t>20</w:t>
      </w:r>
      <w:r w:rsidRPr="00AE0A05">
        <w:rPr>
          <w:rFonts w:asciiTheme="majorHAnsi" w:hAnsiTheme="majorHAnsi" w:cstheme="majorHAnsi"/>
          <w:sz w:val="16"/>
          <w:szCs w:val="16"/>
          <w:lang w:val="ro-MD"/>
        </w:rPr>
        <w:t>23, Scrisoarea MMPS din 22.03.</w:t>
      </w:r>
      <w:r>
        <w:rPr>
          <w:rFonts w:asciiTheme="majorHAnsi" w:hAnsiTheme="majorHAnsi" w:cstheme="majorHAnsi"/>
          <w:sz w:val="16"/>
          <w:szCs w:val="16"/>
          <w:lang w:val="ro-MD"/>
        </w:rPr>
        <w:t>20</w:t>
      </w:r>
      <w:r w:rsidRPr="00AE0A05">
        <w:rPr>
          <w:rFonts w:asciiTheme="majorHAnsi" w:hAnsiTheme="majorHAnsi" w:cstheme="majorHAnsi"/>
          <w:sz w:val="16"/>
          <w:szCs w:val="16"/>
          <w:lang w:val="ro-MD"/>
        </w:rPr>
        <w:t>23, Scrisoarea SFS nr</w:t>
      </w:r>
      <w:r>
        <w:rPr>
          <w:rFonts w:asciiTheme="majorHAnsi" w:hAnsiTheme="majorHAnsi" w:cstheme="majorHAnsi"/>
          <w:sz w:val="16"/>
          <w:szCs w:val="16"/>
          <w:lang w:val="ro-MD"/>
        </w:rPr>
        <w:t>.</w:t>
      </w:r>
      <w:r w:rsidRPr="00AE0A05">
        <w:rPr>
          <w:rFonts w:asciiTheme="majorHAnsi" w:hAnsiTheme="majorHAnsi" w:cstheme="majorHAnsi"/>
          <w:sz w:val="16"/>
          <w:szCs w:val="16"/>
          <w:lang w:val="ro-MD"/>
        </w:rPr>
        <w:t xml:space="preserve"> 26-07/2-08/43868 din 30.03.</w:t>
      </w:r>
      <w:r>
        <w:rPr>
          <w:rFonts w:asciiTheme="majorHAnsi" w:hAnsiTheme="majorHAnsi" w:cstheme="majorHAnsi"/>
          <w:sz w:val="16"/>
          <w:szCs w:val="16"/>
          <w:lang w:val="ro-MD"/>
        </w:rPr>
        <w:t>20</w:t>
      </w:r>
      <w:r w:rsidRPr="00AE0A05">
        <w:rPr>
          <w:rFonts w:asciiTheme="majorHAnsi" w:hAnsiTheme="majorHAnsi" w:cstheme="majorHAnsi"/>
          <w:sz w:val="16"/>
          <w:szCs w:val="16"/>
          <w:lang w:val="ro-MD"/>
        </w:rPr>
        <w:t>23</w:t>
      </w:r>
      <w:r>
        <w:rPr>
          <w:rFonts w:asciiTheme="majorHAnsi" w:hAnsiTheme="majorHAnsi" w:cstheme="majorHAnsi"/>
          <w:sz w:val="16"/>
          <w:szCs w:val="16"/>
          <w:lang w:val="ro-MD"/>
        </w:rPr>
        <w:t>.</w:t>
      </w:r>
    </w:p>
  </w:footnote>
  <w:footnote w:id="66">
    <w:p w14:paraId="456FC7DA" w14:textId="618758DE" w:rsidR="00FB7074" w:rsidRPr="00AE0A05" w:rsidRDefault="00FB7074" w:rsidP="00736448">
      <w:pPr>
        <w:pStyle w:val="a3"/>
        <w:jc w:val="both"/>
        <w:rPr>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AE0A05">
        <w:rPr>
          <w:rFonts w:asciiTheme="majorHAnsi" w:hAnsiTheme="majorHAnsi" w:cstheme="majorHAnsi"/>
          <w:sz w:val="16"/>
          <w:szCs w:val="16"/>
          <w:lang w:val="ro-MD"/>
        </w:rPr>
        <w:t>Clasificatorul categoriilor persoanei asigurate</w:t>
      </w:r>
      <w:r>
        <w:rPr>
          <w:rFonts w:asciiTheme="majorHAnsi" w:hAnsiTheme="majorHAnsi" w:cstheme="majorHAnsi"/>
          <w:sz w:val="16"/>
          <w:szCs w:val="16"/>
          <w:lang w:val="ro-MD"/>
        </w:rPr>
        <w:t>,</w:t>
      </w:r>
      <w:r w:rsidRPr="00AE0A05">
        <w:rPr>
          <w:rFonts w:asciiTheme="majorHAnsi" w:hAnsiTheme="majorHAnsi" w:cstheme="majorHAnsi"/>
          <w:sz w:val="16"/>
          <w:szCs w:val="16"/>
          <w:lang w:val="ro-MD"/>
        </w:rPr>
        <w:t xml:space="preserve"> aprobat prin Ordinul CNAS nr.119 din 04.09.2018</w:t>
      </w:r>
      <w:r>
        <w:rPr>
          <w:rFonts w:asciiTheme="majorHAnsi" w:hAnsiTheme="majorHAnsi" w:cstheme="majorHAnsi"/>
          <w:sz w:val="16"/>
          <w:szCs w:val="16"/>
          <w:lang w:val="ro-MD"/>
        </w:rPr>
        <w:t>.</w:t>
      </w:r>
    </w:p>
  </w:footnote>
  <w:footnote w:id="67">
    <w:p w14:paraId="6AD4DB7D" w14:textId="381D6D7B" w:rsidR="00FB7074" w:rsidRPr="00DA74E9" w:rsidRDefault="00FB7074" w:rsidP="00736448">
      <w:pPr>
        <w:pStyle w:val="a3"/>
        <w:jc w:val="both"/>
        <w:rPr>
          <w:rFonts w:asciiTheme="majorHAnsi" w:hAnsiTheme="majorHAnsi" w:cstheme="majorHAnsi"/>
          <w:sz w:val="16"/>
          <w:szCs w:val="16"/>
          <w:lang w:val="ro-RO"/>
        </w:rPr>
      </w:pPr>
      <w:r w:rsidRPr="00DA74E9">
        <w:rPr>
          <w:rStyle w:val="a5"/>
          <w:rFonts w:asciiTheme="majorHAnsi" w:hAnsiTheme="majorHAnsi" w:cstheme="majorHAnsi"/>
          <w:sz w:val="16"/>
          <w:szCs w:val="16"/>
          <w:lang w:val="ro-RO"/>
        </w:rPr>
        <w:footnoteRef/>
      </w:r>
      <w:r w:rsidRPr="00DA74E9">
        <w:rPr>
          <w:rFonts w:asciiTheme="majorHAnsi" w:hAnsiTheme="majorHAnsi" w:cstheme="majorHAnsi"/>
          <w:sz w:val="16"/>
          <w:szCs w:val="16"/>
          <w:lang w:val="ro-RO"/>
        </w:rPr>
        <w:t xml:space="preserve"> Hotărârea Guvernului nr. 1144 din 20.12.2017 </w:t>
      </w:r>
      <w:r>
        <w:rPr>
          <w:rFonts w:asciiTheme="majorHAnsi" w:hAnsiTheme="majorHAnsi" w:cstheme="majorHAnsi"/>
          <w:sz w:val="16"/>
          <w:szCs w:val="16"/>
          <w:lang w:val="ro-RO"/>
        </w:rPr>
        <w:t>„C</w:t>
      </w:r>
      <w:r w:rsidRPr="00DA74E9">
        <w:rPr>
          <w:rFonts w:asciiTheme="majorHAnsi" w:hAnsiTheme="majorHAnsi" w:cstheme="majorHAnsi"/>
          <w:sz w:val="16"/>
          <w:szCs w:val="16"/>
          <w:lang w:val="ro-RO"/>
        </w:rPr>
        <w:t>u privire la crearea parcului pentru tehnologia informației „Moldova IT Park”</w:t>
      </w:r>
      <w:r>
        <w:rPr>
          <w:rFonts w:asciiTheme="majorHAnsi" w:hAnsiTheme="majorHAnsi" w:cstheme="majorHAnsi"/>
          <w:sz w:val="16"/>
          <w:szCs w:val="16"/>
          <w:lang w:val="ro-RO"/>
        </w:rPr>
        <w:t>”.</w:t>
      </w:r>
    </w:p>
  </w:footnote>
  <w:footnote w:id="68">
    <w:p w14:paraId="02F52B85" w14:textId="35BEC37B" w:rsidR="00FB7074" w:rsidRPr="00DA74E9" w:rsidRDefault="00FB7074" w:rsidP="00736448">
      <w:pPr>
        <w:pStyle w:val="a3"/>
        <w:jc w:val="both"/>
        <w:rPr>
          <w:rFonts w:asciiTheme="majorHAnsi" w:hAnsiTheme="majorHAnsi" w:cstheme="majorHAnsi"/>
          <w:sz w:val="16"/>
          <w:szCs w:val="16"/>
          <w:lang w:val="ro-RO"/>
        </w:rPr>
      </w:pPr>
      <w:r w:rsidRPr="00DA74E9">
        <w:rPr>
          <w:rStyle w:val="a5"/>
          <w:rFonts w:asciiTheme="majorHAnsi" w:hAnsiTheme="majorHAnsi" w:cstheme="majorHAnsi"/>
          <w:sz w:val="16"/>
          <w:szCs w:val="16"/>
          <w:lang w:val="ro-RO"/>
        </w:rPr>
        <w:footnoteRef/>
      </w:r>
      <w:r w:rsidRPr="00DA74E9">
        <w:rPr>
          <w:rFonts w:asciiTheme="majorHAnsi" w:hAnsiTheme="majorHAnsi" w:cstheme="majorHAnsi"/>
          <w:sz w:val="16"/>
          <w:szCs w:val="16"/>
          <w:lang w:val="ro-RO"/>
        </w:rPr>
        <w:t xml:space="preserve"> Art. 8 din Legea nr. 77 din 21</w:t>
      </w:r>
      <w:r>
        <w:rPr>
          <w:rFonts w:asciiTheme="majorHAnsi" w:hAnsiTheme="majorHAnsi" w:cstheme="majorHAnsi"/>
          <w:sz w:val="16"/>
          <w:szCs w:val="16"/>
          <w:lang w:val="ro-RO"/>
        </w:rPr>
        <w:t>.04.</w:t>
      </w:r>
      <w:r w:rsidRPr="00DA74E9">
        <w:rPr>
          <w:rFonts w:asciiTheme="majorHAnsi" w:hAnsiTheme="majorHAnsi" w:cstheme="majorHAnsi"/>
          <w:sz w:val="16"/>
          <w:szCs w:val="16"/>
          <w:lang w:val="ro-RO"/>
        </w:rPr>
        <w:t>2016 cu privire la parcurile pentru tehnologia informației</w:t>
      </w:r>
      <w:r>
        <w:rPr>
          <w:rFonts w:asciiTheme="majorHAnsi" w:hAnsiTheme="majorHAnsi" w:cstheme="majorHAnsi"/>
          <w:sz w:val="16"/>
          <w:szCs w:val="16"/>
          <w:lang w:val="ro-RO"/>
        </w:rPr>
        <w:t>.</w:t>
      </w:r>
    </w:p>
  </w:footnote>
  <w:footnote w:id="69">
    <w:p w14:paraId="19EF1019" w14:textId="20790304" w:rsidR="00FB7074" w:rsidRPr="00DA74E9" w:rsidRDefault="00FB7074" w:rsidP="00736448">
      <w:pPr>
        <w:pStyle w:val="a3"/>
        <w:jc w:val="both"/>
        <w:rPr>
          <w:rFonts w:asciiTheme="majorHAnsi" w:hAnsiTheme="majorHAnsi"/>
          <w:sz w:val="16"/>
          <w:szCs w:val="16"/>
          <w:lang w:val="ro-RO"/>
        </w:rPr>
      </w:pPr>
      <w:r w:rsidRPr="00DA74E9">
        <w:rPr>
          <w:rStyle w:val="a5"/>
          <w:rFonts w:asciiTheme="majorHAnsi" w:hAnsiTheme="majorHAnsi" w:cstheme="majorHAnsi"/>
          <w:sz w:val="16"/>
          <w:szCs w:val="16"/>
          <w:lang w:val="ro-RO"/>
        </w:rPr>
        <w:footnoteRef/>
      </w:r>
      <w:r w:rsidRPr="00DA74E9">
        <w:rPr>
          <w:rFonts w:asciiTheme="majorHAnsi" w:hAnsiTheme="majorHAnsi" w:cstheme="majorHAnsi"/>
          <w:sz w:val="16"/>
          <w:szCs w:val="16"/>
          <w:lang w:val="ro-RO"/>
        </w:rPr>
        <w:t xml:space="preserve"> Art. 15 din Legea nr. 77 din 21</w:t>
      </w:r>
      <w:r>
        <w:rPr>
          <w:rFonts w:asciiTheme="majorHAnsi" w:hAnsiTheme="majorHAnsi" w:cstheme="majorHAnsi"/>
          <w:sz w:val="16"/>
          <w:szCs w:val="16"/>
          <w:lang w:val="ro-RO"/>
        </w:rPr>
        <w:t>.04.</w:t>
      </w:r>
      <w:r w:rsidRPr="00DA74E9">
        <w:rPr>
          <w:rFonts w:asciiTheme="majorHAnsi" w:hAnsiTheme="majorHAnsi" w:cstheme="majorHAnsi"/>
          <w:sz w:val="16"/>
          <w:szCs w:val="16"/>
          <w:lang w:val="ro-RO"/>
        </w:rPr>
        <w:t>2016 cu privire la parcurile pentru tehnologia informației</w:t>
      </w:r>
      <w:r>
        <w:rPr>
          <w:rFonts w:asciiTheme="majorHAnsi" w:hAnsiTheme="majorHAnsi" w:cstheme="majorHAnsi"/>
          <w:sz w:val="16"/>
          <w:szCs w:val="16"/>
          <w:lang w:val="ro-RO"/>
        </w:rPr>
        <w:t>.</w:t>
      </w:r>
    </w:p>
  </w:footnote>
  <w:footnote w:id="70">
    <w:p w14:paraId="2E33EED4" w14:textId="54AA9811" w:rsidR="00FB7074" w:rsidRPr="00DA74E9" w:rsidRDefault="00FB7074" w:rsidP="00736448">
      <w:pPr>
        <w:pStyle w:val="a3"/>
        <w:jc w:val="both"/>
        <w:rPr>
          <w:rFonts w:asciiTheme="majorHAnsi" w:hAnsiTheme="majorHAnsi" w:cstheme="majorHAnsi"/>
          <w:sz w:val="16"/>
          <w:szCs w:val="16"/>
          <w:lang w:val="ro-RO"/>
        </w:rPr>
      </w:pPr>
      <w:r w:rsidRPr="00DA74E9">
        <w:rPr>
          <w:rStyle w:val="a5"/>
          <w:rFonts w:asciiTheme="majorHAnsi" w:hAnsiTheme="majorHAnsi" w:cstheme="majorHAnsi"/>
          <w:sz w:val="16"/>
          <w:szCs w:val="16"/>
          <w:lang w:val="ro-RO"/>
        </w:rPr>
        <w:footnoteRef/>
      </w:r>
      <w:r w:rsidRPr="00DA74E9">
        <w:rPr>
          <w:rFonts w:asciiTheme="majorHAnsi" w:hAnsiTheme="majorHAnsi" w:cstheme="majorHAnsi"/>
          <w:sz w:val="16"/>
          <w:szCs w:val="16"/>
          <w:lang w:val="ro-RO"/>
        </w:rPr>
        <w:t xml:space="preserve"> Hotărârea Guvernului </w:t>
      </w:r>
      <w:r>
        <w:rPr>
          <w:rFonts w:asciiTheme="majorHAnsi" w:hAnsiTheme="majorHAnsi" w:cstheme="majorHAnsi"/>
          <w:sz w:val="16"/>
          <w:szCs w:val="16"/>
          <w:lang w:val="ro-RO"/>
        </w:rPr>
        <w:t>n</w:t>
      </w:r>
      <w:r w:rsidRPr="00DA74E9">
        <w:rPr>
          <w:rFonts w:asciiTheme="majorHAnsi" w:hAnsiTheme="majorHAnsi" w:cstheme="majorHAnsi"/>
          <w:sz w:val="16"/>
          <w:szCs w:val="16"/>
          <w:lang w:val="ro-RO"/>
        </w:rPr>
        <w:t xml:space="preserve">r. 458 din 29.12.2021 </w:t>
      </w:r>
      <w:r>
        <w:rPr>
          <w:rFonts w:asciiTheme="majorHAnsi" w:hAnsiTheme="majorHAnsi" w:cstheme="majorHAnsi"/>
          <w:sz w:val="16"/>
          <w:szCs w:val="16"/>
          <w:lang w:val="ro-RO"/>
        </w:rPr>
        <w:t>„P</w:t>
      </w:r>
      <w:r w:rsidRPr="00DA74E9">
        <w:rPr>
          <w:rFonts w:asciiTheme="majorHAnsi" w:hAnsiTheme="majorHAnsi" w:cstheme="majorHAnsi"/>
          <w:sz w:val="16"/>
          <w:szCs w:val="16"/>
          <w:lang w:val="ro-RO"/>
        </w:rPr>
        <w:t>rivind aprobarea cuantumului salariului mediu lunar pe economie, prognozat pentru anul 2022</w:t>
      </w:r>
      <w:r>
        <w:rPr>
          <w:rFonts w:asciiTheme="majorHAnsi" w:hAnsiTheme="majorHAnsi" w:cstheme="majorHAnsi"/>
          <w:sz w:val="16"/>
          <w:szCs w:val="16"/>
          <w:lang w:val="ro-RO"/>
        </w:rPr>
        <w:t>”.</w:t>
      </w:r>
    </w:p>
  </w:footnote>
  <w:footnote w:id="71">
    <w:p w14:paraId="020BE319" w14:textId="70FEBC8A" w:rsidR="00FB7074" w:rsidRPr="00B270C8" w:rsidRDefault="00FB7074">
      <w:pPr>
        <w:pStyle w:val="a3"/>
        <w:rPr>
          <w:rFonts w:asciiTheme="majorHAnsi" w:hAnsiTheme="majorHAnsi" w:cstheme="majorHAnsi"/>
          <w:sz w:val="16"/>
          <w:szCs w:val="16"/>
          <w:lang w:val="ro-MD"/>
        </w:rPr>
      </w:pPr>
      <w:r w:rsidRPr="00B270C8">
        <w:rPr>
          <w:rStyle w:val="a5"/>
          <w:rFonts w:asciiTheme="majorHAnsi" w:hAnsiTheme="majorHAnsi" w:cstheme="majorHAnsi"/>
          <w:sz w:val="16"/>
          <w:szCs w:val="16"/>
        </w:rPr>
        <w:footnoteRef/>
      </w:r>
      <w:r w:rsidRPr="00B270C8">
        <w:rPr>
          <w:rFonts w:asciiTheme="majorHAnsi" w:hAnsiTheme="majorHAnsi" w:cstheme="majorHAnsi"/>
          <w:sz w:val="16"/>
          <w:szCs w:val="16"/>
        </w:rPr>
        <w:t xml:space="preserve"> </w:t>
      </w:r>
      <w:hyperlink r:id="rId2" w:history="1">
        <w:r w:rsidRPr="00B270C8">
          <w:rPr>
            <w:rStyle w:val="af2"/>
            <w:rFonts w:asciiTheme="majorHAnsi" w:hAnsiTheme="majorHAnsi" w:cstheme="majorHAnsi"/>
            <w:sz w:val="16"/>
            <w:szCs w:val="16"/>
            <w:lang w:val="ro-RO"/>
          </w:rPr>
          <w:t>https://mitp.md/</w:t>
        </w:r>
      </w:hyperlink>
    </w:p>
  </w:footnote>
  <w:footnote w:id="72">
    <w:p w14:paraId="085F9621" w14:textId="2F98AAC1" w:rsidR="00FB7074" w:rsidRPr="00B270C8" w:rsidRDefault="00FB7074" w:rsidP="008C7F4E">
      <w:pPr>
        <w:pStyle w:val="a3"/>
        <w:rPr>
          <w:rFonts w:asciiTheme="majorHAnsi" w:hAnsiTheme="majorHAnsi" w:cstheme="majorHAnsi"/>
          <w:sz w:val="16"/>
          <w:szCs w:val="16"/>
        </w:rPr>
      </w:pPr>
      <w:r w:rsidRPr="00B270C8">
        <w:rPr>
          <w:rStyle w:val="a5"/>
          <w:rFonts w:asciiTheme="majorHAnsi" w:hAnsiTheme="majorHAnsi" w:cstheme="majorHAnsi"/>
          <w:sz w:val="16"/>
          <w:szCs w:val="16"/>
        </w:rPr>
        <w:footnoteRef/>
      </w:r>
      <w:r w:rsidRPr="00B270C8">
        <w:rPr>
          <w:rFonts w:asciiTheme="majorHAnsi" w:hAnsiTheme="majorHAnsi" w:cstheme="majorHAnsi"/>
          <w:sz w:val="16"/>
          <w:szCs w:val="16"/>
        </w:rPr>
        <w:t xml:space="preserve"> </w:t>
      </w:r>
      <w:r w:rsidRPr="00B270C8">
        <w:rPr>
          <w:rFonts w:asciiTheme="majorHAnsi" w:hAnsiTheme="majorHAnsi" w:cstheme="majorHAnsi"/>
          <w:sz w:val="16"/>
          <w:szCs w:val="16"/>
          <w:lang w:val="ro-MD"/>
        </w:rPr>
        <w:t xml:space="preserve">Art.3 din </w:t>
      </w:r>
      <w:r>
        <w:rPr>
          <w:rFonts w:asciiTheme="majorHAnsi" w:hAnsiTheme="majorHAnsi" w:cstheme="majorHAnsi"/>
          <w:sz w:val="16"/>
          <w:szCs w:val="16"/>
          <w:lang w:val="ro-MD"/>
        </w:rPr>
        <w:t>L</w:t>
      </w:r>
      <w:r w:rsidRPr="00B270C8">
        <w:rPr>
          <w:rFonts w:asciiTheme="majorHAnsi" w:hAnsiTheme="majorHAnsi" w:cstheme="majorHAnsi"/>
          <w:sz w:val="16"/>
          <w:szCs w:val="16"/>
          <w:lang w:val="ro-MD"/>
        </w:rPr>
        <w:t>egea nr. 489 din 08.07.1999 privind sistemul public de asigurări sociale</w:t>
      </w:r>
      <w:r>
        <w:rPr>
          <w:rFonts w:asciiTheme="majorHAnsi" w:hAnsiTheme="majorHAnsi" w:cstheme="majorHAnsi"/>
          <w:sz w:val="16"/>
          <w:szCs w:val="16"/>
          <w:lang w:val="ro-MD"/>
        </w:rPr>
        <w:t>.</w:t>
      </w:r>
    </w:p>
  </w:footnote>
  <w:footnote w:id="73">
    <w:p w14:paraId="3F18E1E9" w14:textId="292ECEEC" w:rsidR="00FB7074" w:rsidRPr="00B270C8" w:rsidRDefault="00FB7074" w:rsidP="00992BC7">
      <w:pPr>
        <w:pStyle w:val="a3"/>
        <w:rPr>
          <w:rFonts w:asciiTheme="majorHAnsi" w:hAnsiTheme="majorHAnsi" w:cstheme="majorHAnsi"/>
          <w:sz w:val="16"/>
          <w:szCs w:val="16"/>
          <w:lang w:val="ro-RO"/>
        </w:rPr>
      </w:pPr>
      <w:r w:rsidRPr="00B270C8">
        <w:rPr>
          <w:rStyle w:val="a5"/>
          <w:rFonts w:asciiTheme="majorHAnsi" w:hAnsiTheme="majorHAnsi" w:cstheme="majorHAnsi"/>
          <w:sz w:val="16"/>
          <w:szCs w:val="16"/>
          <w:lang w:val="ro-RO"/>
        </w:rPr>
        <w:footnoteRef/>
      </w:r>
      <w:r w:rsidRPr="00B270C8">
        <w:rPr>
          <w:rFonts w:asciiTheme="majorHAnsi" w:hAnsiTheme="majorHAnsi" w:cstheme="majorHAnsi"/>
          <w:sz w:val="16"/>
          <w:szCs w:val="16"/>
          <w:lang w:val="ro-RO"/>
        </w:rPr>
        <w:t xml:space="preserve"> Darea de seamă generalizatoare CNAS privind calcularea, utilizarea și transferarea contribuțiilor de asigurări sociale pe anul 2022</w:t>
      </w:r>
      <w:r>
        <w:rPr>
          <w:rFonts w:asciiTheme="majorHAnsi" w:hAnsiTheme="majorHAnsi" w:cstheme="majorHAnsi"/>
          <w:sz w:val="16"/>
          <w:szCs w:val="16"/>
          <w:lang w:val="ro-RO"/>
        </w:rPr>
        <w:t>.</w:t>
      </w:r>
    </w:p>
  </w:footnote>
  <w:footnote w:id="74">
    <w:p w14:paraId="5DF1279D" w14:textId="150FE36E" w:rsidR="00FB7074" w:rsidRPr="000C1876" w:rsidRDefault="00FB7074" w:rsidP="00736448">
      <w:pPr>
        <w:pStyle w:val="a3"/>
        <w:jc w:val="both"/>
        <w:rPr>
          <w:rFonts w:asciiTheme="majorHAnsi" w:hAnsiTheme="majorHAnsi" w:cstheme="majorHAnsi"/>
          <w:sz w:val="16"/>
          <w:szCs w:val="16"/>
          <w:lang w:val="ro-RO"/>
        </w:rPr>
      </w:pPr>
      <w:r w:rsidRPr="000C1876">
        <w:rPr>
          <w:rStyle w:val="a5"/>
          <w:rFonts w:asciiTheme="majorHAnsi" w:hAnsiTheme="majorHAnsi" w:cstheme="majorHAnsi"/>
          <w:sz w:val="16"/>
          <w:szCs w:val="16"/>
          <w:lang w:val="ro-RO"/>
        </w:rPr>
        <w:footnoteRef/>
      </w:r>
      <w:r w:rsidRPr="000C1876">
        <w:rPr>
          <w:rFonts w:asciiTheme="majorHAnsi" w:hAnsiTheme="majorHAnsi" w:cstheme="majorHAnsi"/>
          <w:sz w:val="16"/>
          <w:szCs w:val="16"/>
          <w:lang w:val="ro-RO"/>
        </w:rPr>
        <w:t xml:space="preserve"> Raportul privind executarea bugetului asigurărilor sociale de stat la situația d</w:t>
      </w:r>
      <w:r>
        <w:rPr>
          <w:rFonts w:asciiTheme="majorHAnsi" w:hAnsiTheme="majorHAnsi" w:cstheme="majorHAnsi"/>
          <w:sz w:val="16"/>
          <w:szCs w:val="16"/>
          <w:lang w:val="ro-RO"/>
        </w:rPr>
        <w:t>in</w:t>
      </w:r>
      <w:r w:rsidRPr="000C1876">
        <w:rPr>
          <w:rFonts w:asciiTheme="majorHAnsi" w:hAnsiTheme="majorHAnsi" w:cstheme="majorHAnsi"/>
          <w:sz w:val="16"/>
          <w:szCs w:val="16"/>
          <w:lang w:val="ro-RO"/>
        </w:rPr>
        <w:t xml:space="preserve"> 1 ianuarie 2023 (Formularul nr.4 CNAS)</w:t>
      </w:r>
      <w:r>
        <w:rPr>
          <w:rFonts w:asciiTheme="majorHAnsi" w:hAnsiTheme="majorHAnsi" w:cstheme="majorHAnsi"/>
          <w:sz w:val="16"/>
          <w:szCs w:val="16"/>
          <w:lang w:val="ro-RO"/>
        </w:rPr>
        <w:t>.</w:t>
      </w:r>
    </w:p>
  </w:footnote>
  <w:footnote w:id="75">
    <w:p w14:paraId="15DCB677" w14:textId="00519CCF" w:rsidR="00FB7074" w:rsidRPr="000C1876" w:rsidRDefault="00FB7074" w:rsidP="000C1876">
      <w:pPr>
        <w:pStyle w:val="4"/>
        <w:rPr>
          <w:rStyle w:val="af0"/>
          <w:b w:val="0"/>
          <w:sz w:val="16"/>
          <w:szCs w:val="16"/>
          <w:lang w:val="ro-RO"/>
        </w:rPr>
      </w:pPr>
      <w:r w:rsidRPr="00736448">
        <w:rPr>
          <w:rStyle w:val="af0"/>
          <w:b w:val="0"/>
          <w:color w:val="auto"/>
          <w:sz w:val="16"/>
          <w:szCs w:val="16"/>
          <w:vertAlign w:val="superscript"/>
          <w:lang w:val="ro-RO"/>
        </w:rPr>
        <w:footnoteRef/>
      </w:r>
      <w:r w:rsidRPr="00736448">
        <w:rPr>
          <w:rStyle w:val="af0"/>
          <w:b w:val="0"/>
          <w:color w:val="auto"/>
          <w:sz w:val="16"/>
          <w:szCs w:val="16"/>
          <w:lang w:val="ro-RO"/>
        </w:rPr>
        <w:t xml:space="preserve"> </w:t>
      </w:r>
      <w:r w:rsidRPr="000C1876">
        <w:rPr>
          <w:rStyle w:val="af0"/>
          <w:b w:val="0"/>
          <w:color w:val="auto"/>
          <w:sz w:val="16"/>
          <w:szCs w:val="16"/>
          <w:lang w:val="ro-RO"/>
        </w:rPr>
        <w:t xml:space="preserve">Pct. 89 </w:t>
      </w:r>
      <w:r>
        <w:rPr>
          <w:rStyle w:val="af0"/>
          <w:b w:val="0"/>
          <w:color w:val="auto"/>
          <w:sz w:val="16"/>
          <w:szCs w:val="16"/>
          <w:lang w:val="ro-RO"/>
        </w:rPr>
        <w:t>din</w:t>
      </w:r>
      <w:r w:rsidRPr="00736448">
        <w:rPr>
          <w:b/>
          <w:color w:val="auto"/>
          <w:sz w:val="16"/>
          <w:szCs w:val="16"/>
          <w:lang w:val="ro-RO"/>
        </w:rPr>
        <w:t xml:space="preserve"> </w:t>
      </w:r>
      <w:r w:rsidRPr="000C1876">
        <w:rPr>
          <w:rStyle w:val="af0"/>
          <w:b w:val="0"/>
          <w:color w:val="auto"/>
          <w:sz w:val="16"/>
          <w:szCs w:val="16"/>
          <w:lang w:val="ro-RO"/>
        </w:rPr>
        <w:t>H</w:t>
      </w:r>
      <w:r>
        <w:rPr>
          <w:rStyle w:val="af0"/>
          <w:b w:val="0"/>
          <w:color w:val="auto"/>
          <w:sz w:val="16"/>
          <w:szCs w:val="16"/>
          <w:lang w:val="ro-RO"/>
        </w:rPr>
        <w:t xml:space="preserve">otărârea </w:t>
      </w:r>
      <w:r w:rsidRPr="000C1876">
        <w:rPr>
          <w:rStyle w:val="af0"/>
          <w:b w:val="0"/>
          <w:color w:val="auto"/>
          <w:sz w:val="16"/>
          <w:szCs w:val="16"/>
          <w:lang w:val="ro-RO"/>
        </w:rPr>
        <w:t>G</w:t>
      </w:r>
      <w:r>
        <w:rPr>
          <w:rStyle w:val="af0"/>
          <w:b w:val="0"/>
          <w:color w:val="auto"/>
          <w:sz w:val="16"/>
          <w:szCs w:val="16"/>
          <w:lang w:val="ro-RO"/>
        </w:rPr>
        <w:t>uvernului</w:t>
      </w:r>
      <w:r w:rsidRPr="000C1876">
        <w:rPr>
          <w:rStyle w:val="af0"/>
          <w:b w:val="0"/>
          <w:color w:val="auto"/>
          <w:sz w:val="16"/>
          <w:szCs w:val="16"/>
          <w:lang w:val="ro-RO"/>
        </w:rPr>
        <w:t xml:space="preserve"> nr.108 din 03.02.2005 </w:t>
      </w:r>
      <w:r>
        <w:rPr>
          <w:rStyle w:val="af0"/>
          <w:b w:val="0"/>
          <w:color w:val="auto"/>
          <w:sz w:val="16"/>
          <w:szCs w:val="16"/>
          <w:lang w:val="ro-RO"/>
        </w:rPr>
        <w:t>„P</w:t>
      </w:r>
      <w:r w:rsidRPr="000C1876">
        <w:rPr>
          <w:rStyle w:val="af0"/>
          <w:b w:val="0"/>
          <w:color w:val="auto"/>
          <w:sz w:val="16"/>
          <w:szCs w:val="16"/>
          <w:lang w:val="ro-RO"/>
        </w:rPr>
        <w:t xml:space="preserve">rivind aprobarea </w:t>
      </w:r>
      <w:r>
        <w:rPr>
          <w:rStyle w:val="af0"/>
          <w:b w:val="0"/>
          <w:color w:val="auto"/>
          <w:sz w:val="16"/>
          <w:szCs w:val="16"/>
          <w:lang w:val="ro-RO"/>
        </w:rPr>
        <w:t>R</w:t>
      </w:r>
      <w:r w:rsidRPr="000C1876">
        <w:rPr>
          <w:rStyle w:val="af0"/>
          <w:b w:val="0"/>
          <w:color w:val="auto"/>
          <w:sz w:val="16"/>
          <w:szCs w:val="16"/>
          <w:lang w:val="ro-RO"/>
        </w:rPr>
        <w:t>egulamentului cu privire la condițiile de stabilire, modul de calcul şi de plată a indemnizațiilor pentru incapacitate temporară de muncă”</w:t>
      </w:r>
      <w:r>
        <w:rPr>
          <w:rStyle w:val="af0"/>
          <w:b w:val="0"/>
          <w:color w:val="auto"/>
          <w:sz w:val="16"/>
          <w:szCs w:val="16"/>
          <w:lang w:val="ro-RO"/>
        </w:rPr>
        <w:t>.</w:t>
      </w:r>
    </w:p>
  </w:footnote>
  <w:footnote w:id="76">
    <w:p w14:paraId="720DEE52" w14:textId="58A134A9" w:rsidR="00FB7074" w:rsidRPr="00736448" w:rsidRDefault="00FB7074">
      <w:pPr>
        <w:pStyle w:val="a3"/>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736448">
        <w:rPr>
          <w:rFonts w:asciiTheme="majorHAnsi" w:hAnsiTheme="majorHAnsi" w:cstheme="majorHAnsi"/>
          <w:sz w:val="16"/>
          <w:szCs w:val="16"/>
          <w:lang w:val="ro-RO"/>
        </w:rPr>
        <w:t xml:space="preserve"> Art. 144</w:t>
      </w:r>
      <w:r>
        <w:rPr>
          <w:rFonts w:asciiTheme="majorHAnsi" w:hAnsiTheme="majorHAnsi" w:cstheme="majorHAnsi"/>
          <w:sz w:val="16"/>
          <w:szCs w:val="16"/>
          <w:lang w:val="ro-RO"/>
        </w:rPr>
        <w:t xml:space="preserve"> din</w:t>
      </w:r>
      <w:r w:rsidRPr="00736448">
        <w:rPr>
          <w:rFonts w:asciiTheme="majorHAnsi" w:hAnsiTheme="majorHAnsi" w:cstheme="majorHAnsi"/>
          <w:sz w:val="16"/>
          <w:szCs w:val="16"/>
          <w:lang w:val="ro-RO"/>
        </w:rPr>
        <w:t xml:space="preserve"> Codul </w:t>
      </w:r>
      <w:r>
        <w:rPr>
          <w:rFonts w:asciiTheme="majorHAnsi" w:hAnsiTheme="majorHAnsi" w:cstheme="majorHAnsi"/>
          <w:sz w:val="16"/>
          <w:szCs w:val="16"/>
          <w:lang w:val="ro-RO"/>
        </w:rPr>
        <w:t>m</w:t>
      </w:r>
      <w:r w:rsidRPr="00736448">
        <w:rPr>
          <w:rFonts w:asciiTheme="majorHAnsi" w:hAnsiTheme="majorHAnsi" w:cstheme="majorHAnsi"/>
          <w:sz w:val="16"/>
          <w:szCs w:val="16"/>
          <w:lang w:val="ro-RO"/>
        </w:rPr>
        <w:t>uncii</w:t>
      </w:r>
      <w:r>
        <w:rPr>
          <w:rFonts w:asciiTheme="majorHAnsi" w:hAnsiTheme="majorHAnsi" w:cstheme="majorHAnsi"/>
          <w:sz w:val="16"/>
          <w:szCs w:val="16"/>
          <w:lang w:val="ro-RO"/>
        </w:rPr>
        <w:t>.</w:t>
      </w:r>
    </w:p>
  </w:footnote>
  <w:footnote w:id="77">
    <w:p w14:paraId="62E67E0A" w14:textId="3B6E2CF5" w:rsidR="00FB7074" w:rsidRPr="003F1960" w:rsidRDefault="00FB7074" w:rsidP="0045297C">
      <w:pPr>
        <w:pStyle w:val="a3"/>
        <w:rPr>
          <w:rFonts w:asciiTheme="majorHAnsi" w:eastAsia="Times New Roman" w:hAnsiTheme="majorHAnsi" w:cstheme="majorHAnsi"/>
          <w:sz w:val="16"/>
          <w:szCs w:val="16"/>
          <w:lang w:val="ro-MD"/>
        </w:rPr>
      </w:pPr>
      <w:r w:rsidRPr="003F1960">
        <w:rPr>
          <w:rFonts w:asciiTheme="majorHAnsi" w:eastAsia="Times New Roman" w:hAnsiTheme="majorHAnsi" w:cstheme="majorHAnsi"/>
          <w:sz w:val="16"/>
          <w:szCs w:val="16"/>
          <w:vertAlign w:val="superscript"/>
          <w:lang w:val="ro-MD"/>
        </w:rPr>
        <w:footnoteRef/>
      </w:r>
      <w:r w:rsidRPr="003F1960">
        <w:rPr>
          <w:rFonts w:asciiTheme="majorHAnsi" w:eastAsia="Times New Roman" w:hAnsiTheme="majorHAnsi" w:cstheme="majorHAnsi"/>
          <w:sz w:val="16"/>
          <w:szCs w:val="16"/>
          <w:vertAlign w:val="superscript"/>
          <w:lang w:val="ro-MD"/>
        </w:rPr>
        <w:t xml:space="preserve"> </w:t>
      </w:r>
      <w:r w:rsidRPr="003F1960">
        <w:rPr>
          <w:rFonts w:asciiTheme="majorHAnsi" w:eastAsia="Times New Roman" w:hAnsiTheme="majorHAnsi" w:cstheme="majorHAnsi"/>
          <w:sz w:val="16"/>
          <w:szCs w:val="16"/>
          <w:lang w:val="ro-MD"/>
        </w:rPr>
        <w:t xml:space="preserve">Art. 35 alin. 4) din </w:t>
      </w:r>
      <w:r w:rsidRPr="00C322EA">
        <w:rPr>
          <w:rFonts w:asciiTheme="majorHAnsi" w:eastAsia="Times New Roman" w:hAnsiTheme="majorHAnsi" w:cstheme="majorHAnsi"/>
          <w:sz w:val="16"/>
          <w:szCs w:val="16"/>
          <w:lang w:val="ro-MD"/>
        </w:rPr>
        <w:t>Legea nr.489-XIV din 08.07.1999 privind sistemul public de asigurări sociale</w:t>
      </w:r>
      <w:r>
        <w:rPr>
          <w:rFonts w:asciiTheme="majorHAnsi" w:eastAsia="Times New Roman" w:hAnsiTheme="majorHAnsi" w:cstheme="majorHAnsi"/>
          <w:sz w:val="16"/>
          <w:szCs w:val="16"/>
          <w:lang w:val="ro-MD"/>
        </w:rPr>
        <w:t>.</w:t>
      </w:r>
    </w:p>
  </w:footnote>
  <w:footnote w:id="78">
    <w:p w14:paraId="08724341" w14:textId="2C3A9A20" w:rsidR="00FB7074" w:rsidRPr="00FB7074" w:rsidRDefault="00FB7074" w:rsidP="00736448">
      <w:pPr>
        <w:pStyle w:val="a3"/>
        <w:jc w:val="both"/>
        <w:rPr>
          <w:rFonts w:asciiTheme="majorHAnsi" w:hAnsiTheme="majorHAnsi" w:cstheme="majorHAnsi"/>
          <w:sz w:val="16"/>
          <w:szCs w:val="16"/>
          <w:lang w:val="ro-MD"/>
        </w:rPr>
      </w:pPr>
      <w:r w:rsidRPr="00FB7074">
        <w:rPr>
          <w:rStyle w:val="a5"/>
          <w:rFonts w:asciiTheme="majorHAnsi" w:hAnsiTheme="majorHAnsi"/>
          <w:sz w:val="16"/>
          <w:szCs w:val="16"/>
          <w:lang w:val="ro-MD"/>
        </w:rPr>
        <w:footnoteRef/>
      </w:r>
      <w:r w:rsidRPr="00FB7074">
        <w:rPr>
          <w:rFonts w:asciiTheme="majorHAnsi" w:hAnsiTheme="majorHAnsi"/>
          <w:sz w:val="16"/>
          <w:szCs w:val="16"/>
          <w:lang w:val="ro-MD"/>
        </w:rPr>
        <w:t xml:space="preserve"> </w:t>
      </w:r>
      <w:r w:rsidRPr="00FB7074">
        <w:rPr>
          <w:rFonts w:asciiTheme="majorHAnsi" w:hAnsiTheme="majorHAnsi" w:cstheme="majorHAnsi"/>
          <w:sz w:val="16"/>
          <w:szCs w:val="16"/>
          <w:lang w:val="ro-MD"/>
        </w:rPr>
        <w:t>Ghidul de utilizare a certificatelor de concediu medical, actualizat la 01.11.2022.</w:t>
      </w:r>
    </w:p>
  </w:footnote>
  <w:footnote w:id="79">
    <w:p w14:paraId="17F03B69" w14:textId="67F108E0" w:rsidR="00FB7074" w:rsidRPr="00B23607" w:rsidRDefault="00FB7074" w:rsidP="00736448">
      <w:pPr>
        <w:pStyle w:val="a3"/>
        <w:jc w:val="both"/>
        <w:rPr>
          <w:rFonts w:asciiTheme="majorHAnsi" w:hAnsiTheme="majorHAnsi"/>
          <w:sz w:val="16"/>
          <w:szCs w:val="16"/>
          <w:lang w:val="ro-MD"/>
        </w:rPr>
      </w:pPr>
      <w:r w:rsidRPr="00FB7074">
        <w:rPr>
          <w:rStyle w:val="a5"/>
          <w:rFonts w:asciiTheme="majorHAnsi" w:hAnsiTheme="majorHAnsi" w:cstheme="majorHAnsi"/>
          <w:sz w:val="16"/>
          <w:szCs w:val="16"/>
          <w:lang w:val="ro-MD"/>
        </w:rPr>
        <w:footnoteRef/>
      </w:r>
      <w:r w:rsidRPr="00FB7074">
        <w:rPr>
          <w:rFonts w:asciiTheme="majorHAnsi" w:hAnsiTheme="majorHAnsi" w:cstheme="majorHAnsi"/>
          <w:sz w:val="16"/>
          <w:szCs w:val="16"/>
          <w:lang w:val="ro-MD"/>
        </w:rPr>
        <w:t xml:space="preserve"> HCC nr. 29 din 15.07.2020, HCC nr. 20 din 03.06.2021,</w:t>
      </w:r>
      <w:r w:rsidRPr="00736448">
        <w:rPr>
          <w:rFonts w:asciiTheme="majorHAnsi" w:hAnsiTheme="majorHAnsi" w:cstheme="majorHAnsi"/>
          <w:sz w:val="16"/>
          <w:szCs w:val="16"/>
          <w:lang w:val="ro-MD"/>
        </w:rPr>
        <w:t xml:space="preserve"> </w:t>
      </w:r>
      <w:r w:rsidRPr="00B23607">
        <w:rPr>
          <w:rFonts w:asciiTheme="majorHAnsi" w:hAnsiTheme="majorHAnsi" w:cstheme="majorHAnsi"/>
          <w:sz w:val="16"/>
          <w:szCs w:val="16"/>
          <w:lang w:val="ro-MD"/>
        </w:rPr>
        <w:t>HCC</w:t>
      </w:r>
      <w:r w:rsidRPr="00736448">
        <w:rPr>
          <w:rFonts w:asciiTheme="majorHAnsi" w:hAnsiTheme="majorHAnsi" w:cstheme="majorHAnsi"/>
          <w:sz w:val="16"/>
          <w:szCs w:val="16"/>
          <w:lang w:val="ro-MD"/>
        </w:rPr>
        <w:t xml:space="preserve"> nr. 17 din 24.05.2022</w:t>
      </w:r>
      <w:r>
        <w:rPr>
          <w:rFonts w:asciiTheme="majorHAnsi" w:hAnsiTheme="majorHAnsi" w:cstheme="majorHAnsi"/>
          <w:sz w:val="16"/>
          <w:szCs w:val="16"/>
          <w:lang w:val="ro-MD"/>
        </w:rPr>
        <w:t>.</w:t>
      </w:r>
    </w:p>
  </w:footnote>
  <w:footnote w:id="80">
    <w:p w14:paraId="45442B8C" w14:textId="39203319" w:rsidR="00FB7074" w:rsidRPr="00736448" w:rsidRDefault="00FB7074" w:rsidP="00736448">
      <w:pPr>
        <w:pStyle w:val="a3"/>
        <w:jc w:val="both"/>
        <w:rPr>
          <w:sz w:val="16"/>
          <w:szCs w:val="16"/>
          <w:lang w:val="ro-MD"/>
        </w:rPr>
      </w:pPr>
      <w:r w:rsidRPr="00736448">
        <w:rPr>
          <w:rStyle w:val="a5"/>
          <w:rFonts w:asciiTheme="majorHAnsi" w:hAnsiTheme="majorHAnsi"/>
          <w:sz w:val="16"/>
          <w:szCs w:val="16"/>
          <w:lang w:val="ro-MD"/>
        </w:rPr>
        <w:footnoteRef/>
      </w:r>
      <w:r w:rsidRPr="00736448">
        <w:rPr>
          <w:rFonts w:asciiTheme="majorHAnsi" w:hAnsiTheme="majorHAnsi"/>
          <w:sz w:val="16"/>
          <w:szCs w:val="16"/>
          <w:lang w:val="ro-MD"/>
        </w:rPr>
        <w:t xml:space="preserve"> </w:t>
      </w:r>
      <w:r w:rsidRPr="00736448">
        <w:rPr>
          <w:rFonts w:asciiTheme="majorHAnsi" w:hAnsiTheme="majorHAnsi" w:cstheme="majorHAnsi"/>
          <w:sz w:val="16"/>
          <w:szCs w:val="16"/>
          <w:lang w:val="ro-MD"/>
        </w:rPr>
        <w:t>Art.14 din Legea nr.756 din 24.12.1999 privind asigurările pentru accidente de muncă şi boli profesionale.</w:t>
      </w:r>
    </w:p>
  </w:footnote>
  <w:footnote w:id="81">
    <w:p w14:paraId="0BECB51A" w14:textId="6759E6DF"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424EFE">
        <w:rPr>
          <w:rFonts w:asciiTheme="majorHAnsi" w:hAnsiTheme="majorHAnsi" w:cstheme="majorHAnsi"/>
          <w:sz w:val="16"/>
          <w:szCs w:val="16"/>
          <w:lang w:val="ro-MD"/>
        </w:rPr>
        <w:t xml:space="preserve">Art. 44 </w:t>
      </w:r>
      <w:r>
        <w:rPr>
          <w:rFonts w:asciiTheme="majorHAnsi" w:hAnsiTheme="majorHAnsi" w:cstheme="majorHAnsi"/>
          <w:sz w:val="16"/>
          <w:szCs w:val="16"/>
          <w:lang w:val="ro-MD"/>
        </w:rPr>
        <w:t>din L</w:t>
      </w:r>
      <w:r w:rsidRPr="00424EFE">
        <w:rPr>
          <w:rFonts w:asciiTheme="majorHAnsi" w:hAnsiTheme="majorHAnsi" w:cstheme="majorHAnsi"/>
          <w:sz w:val="16"/>
          <w:szCs w:val="16"/>
          <w:lang w:val="ro-MD"/>
        </w:rPr>
        <w:t>egea asigurării cu pensii a militarilor și persoanelor din corpul de comandă și din trupele organelor afacerilor interne</w:t>
      </w:r>
      <w:r>
        <w:rPr>
          <w:rFonts w:asciiTheme="majorHAnsi" w:hAnsiTheme="majorHAnsi" w:cstheme="majorHAnsi"/>
          <w:sz w:val="16"/>
          <w:szCs w:val="16"/>
          <w:lang w:val="ro-MD"/>
        </w:rPr>
        <w:t xml:space="preserve"> și din cadrul Inspectoratului General de Carabinieri nr.1544/1993.</w:t>
      </w:r>
    </w:p>
  </w:footnote>
  <w:footnote w:id="82">
    <w:p w14:paraId="2A82E556" w14:textId="1C0F740B" w:rsidR="00FB7074" w:rsidRPr="00424EFE"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424EFE">
        <w:rPr>
          <w:rFonts w:asciiTheme="majorHAnsi" w:hAnsiTheme="majorHAnsi" w:cstheme="majorHAnsi"/>
          <w:sz w:val="16"/>
          <w:szCs w:val="16"/>
          <w:lang w:val="ro-MD"/>
        </w:rPr>
        <w:t xml:space="preserve">Legea </w:t>
      </w:r>
      <w:r>
        <w:rPr>
          <w:rFonts w:asciiTheme="majorHAnsi" w:hAnsiTheme="majorHAnsi" w:cstheme="majorHAnsi"/>
          <w:sz w:val="16"/>
          <w:szCs w:val="16"/>
          <w:lang w:val="ro-MD"/>
        </w:rPr>
        <w:t>nr.</w:t>
      </w:r>
      <w:r w:rsidRPr="00424EFE">
        <w:rPr>
          <w:rFonts w:asciiTheme="majorHAnsi" w:hAnsiTheme="majorHAnsi" w:cstheme="majorHAnsi"/>
          <w:sz w:val="16"/>
          <w:szCs w:val="16"/>
          <w:lang w:val="ro-MD"/>
        </w:rPr>
        <w:t>270 din 23.11.2018 privind sistemul unitar de salarizare în sectorul bugetar</w:t>
      </w:r>
      <w:r>
        <w:rPr>
          <w:rFonts w:asciiTheme="majorHAnsi" w:hAnsiTheme="majorHAnsi" w:cstheme="majorHAnsi"/>
          <w:sz w:val="16"/>
          <w:szCs w:val="16"/>
          <w:lang w:val="ro-MD"/>
        </w:rPr>
        <w:t>.</w:t>
      </w:r>
    </w:p>
  </w:footnote>
  <w:footnote w:id="83">
    <w:p w14:paraId="0F4B34B1" w14:textId="50300710"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424EFE">
        <w:rPr>
          <w:rFonts w:asciiTheme="majorHAnsi" w:hAnsiTheme="majorHAnsi" w:cstheme="majorHAnsi"/>
          <w:sz w:val="16"/>
          <w:szCs w:val="16"/>
          <w:lang w:val="ro-MD"/>
        </w:rPr>
        <w:t>Legea nr. 100 din 22.12.2017 cu privire la actele normative</w:t>
      </w:r>
      <w:r>
        <w:rPr>
          <w:rFonts w:asciiTheme="majorHAnsi" w:hAnsiTheme="majorHAnsi" w:cstheme="majorHAnsi"/>
          <w:sz w:val="16"/>
          <w:szCs w:val="16"/>
          <w:lang w:val="ro-MD"/>
        </w:rPr>
        <w:t>.</w:t>
      </w:r>
    </w:p>
  </w:footnote>
  <w:footnote w:id="84">
    <w:p w14:paraId="74E3BA71" w14:textId="7EFAF4B7" w:rsidR="00FB7074" w:rsidRPr="00A610B9" w:rsidRDefault="00FB7074" w:rsidP="00FA7FB2">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A610B9">
        <w:rPr>
          <w:rFonts w:asciiTheme="majorHAnsi" w:hAnsiTheme="majorHAnsi" w:cstheme="majorHAnsi"/>
          <w:sz w:val="16"/>
          <w:szCs w:val="16"/>
          <w:lang w:val="ro-RO"/>
        </w:rPr>
        <w:t xml:space="preserve"> Art.43 din Legea nr.105 din 14.06.2018 cu privire la promovarea ocupării forței de muncă și asigurarea de șomaj.</w:t>
      </w:r>
    </w:p>
  </w:footnote>
  <w:footnote w:id="85">
    <w:p w14:paraId="5F747FFA" w14:textId="02E3B878" w:rsidR="00FB7074" w:rsidRPr="00A610B9" w:rsidRDefault="00FB7074" w:rsidP="00FA7FB2">
      <w:pPr>
        <w:pStyle w:val="a3"/>
        <w:jc w:val="both"/>
        <w:rPr>
          <w:rFonts w:asciiTheme="majorHAnsi" w:hAnsiTheme="majorHAnsi" w:cstheme="majorHAnsi"/>
          <w:sz w:val="16"/>
          <w:szCs w:val="16"/>
          <w:lang w:val="ro-RO"/>
        </w:rPr>
      </w:pPr>
      <w:r w:rsidRPr="00736448">
        <w:rPr>
          <w:rStyle w:val="a5"/>
          <w:rFonts w:asciiTheme="majorHAnsi" w:hAnsiTheme="majorHAnsi" w:cstheme="majorHAnsi"/>
          <w:sz w:val="16"/>
          <w:szCs w:val="16"/>
          <w:lang w:val="ro-RO"/>
        </w:rPr>
        <w:footnoteRef/>
      </w:r>
      <w:r w:rsidRPr="00A610B9">
        <w:rPr>
          <w:rFonts w:asciiTheme="majorHAnsi" w:hAnsiTheme="majorHAnsi" w:cstheme="majorHAnsi"/>
          <w:sz w:val="16"/>
          <w:szCs w:val="16"/>
          <w:lang w:val="ro-RO"/>
        </w:rPr>
        <w:t xml:space="preserve"> Art.45 din Legea nr.105 din 14.06.2018</w:t>
      </w:r>
      <w:r>
        <w:rPr>
          <w:rFonts w:asciiTheme="majorHAnsi" w:hAnsiTheme="majorHAnsi" w:cstheme="majorHAnsi"/>
          <w:sz w:val="16"/>
          <w:szCs w:val="16"/>
          <w:lang w:val="ro-RO"/>
        </w:rPr>
        <w:t xml:space="preserve"> </w:t>
      </w:r>
      <w:r w:rsidRPr="00A610B9">
        <w:rPr>
          <w:rFonts w:asciiTheme="majorHAnsi" w:hAnsiTheme="majorHAnsi" w:cstheme="majorHAnsi"/>
          <w:sz w:val="16"/>
          <w:szCs w:val="16"/>
          <w:lang w:val="ro-RO"/>
        </w:rPr>
        <w:t>cu privire la promovarea ocupării forței de muncă și asigurarea de șomaj.​</w:t>
      </w:r>
    </w:p>
  </w:footnote>
  <w:footnote w:id="86">
    <w:p w14:paraId="135E8EA3" w14:textId="1A3F0554" w:rsidR="00FB7074" w:rsidRPr="00736448" w:rsidRDefault="00FB7074" w:rsidP="00FA7FB2">
      <w:pPr>
        <w:pStyle w:val="a3"/>
        <w:jc w:val="both"/>
        <w:rPr>
          <w:rFonts w:asciiTheme="majorHAnsi" w:hAnsiTheme="majorHAnsi" w:cstheme="majorHAnsi"/>
        </w:rPr>
      </w:pPr>
      <w:r w:rsidRPr="00736448">
        <w:rPr>
          <w:rStyle w:val="a5"/>
          <w:rFonts w:asciiTheme="majorHAnsi" w:hAnsiTheme="majorHAnsi" w:cstheme="majorHAnsi"/>
          <w:sz w:val="16"/>
          <w:szCs w:val="16"/>
          <w:lang w:val="ro-RO"/>
        </w:rPr>
        <w:footnoteRef/>
      </w:r>
      <w:r w:rsidRPr="00A610B9">
        <w:rPr>
          <w:rFonts w:asciiTheme="majorHAnsi" w:hAnsiTheme="majorHAnsi" w:cstheme="majorHAnsi"/>
          <w:sz w:val="16"/>
          <w:szCs w:val="16"/>
          <w:lang w:val="ro-RO"/>
        </w:rPr>
        <w:t xml:space="preserve"> </w:t>
      </w:r>
      <w:r>
        <w:rPr>
          <w:rFonts w:asciiTheme="majorHAnsi" w:hAnsiTheme="majorHAnsi" w:cstheme="majorHAnsi"/>
          <w:sz w:val="16"/>
          <w:szCs w:val="16"/>
          <w:lang w:val="ro-RO"/>
        </w:rPr>
        <w:t>P</w:t>
      </w:r>
      <w:r w:rsidRPr="00A610B9">
        <w:rPr>
          <w:rFonts w:asciiTheme="majorHAnsi" w:hAnsiTheme="majorHAnsi" w:cstheme="majorHAnsi"/>
          <w:sz w:val="16"/>
          <w:szCs w:val="16"/>
          <w:lang w:val="ro-RO"/>
        </w:rPr>
        <w:t xml:space="preserve">ct.14 </w:t>
      </w:r>
      <w:r>
        <w:rPr>
          <w:rFonts w:asciiTheme="majorHAnsi" w:hAnsiTheme="majorHAnsi" w:cstheme="majorHAnsi"/>
          <w:sz w:val="16"/>
          <w:szCs w:val="16"/>
          <w:lang w:val="ro-RO"/>
        </w:rPr>
        <w:t>din</w:t>
      </w:r>
      <w:r w:rsidRPr="00A610B9">
        <w:rPr>
          <w:rFonts w:asciiTheme="majorHAnsi" w:hAnsiTheme="majorHAnsi" w:cstheme="majorHAnsi"/>
          <w:sz w:val="16"/>
          <w:szCs w:val="16"/>
          <w:lang w:val="ro-RO"/>
        </w:rPr>
        <w:t xml:space="preserve"> Regulamentul aprobat prin Ordinul CNAS nr.183-A din 27.12.</w:t>
      </w:r>
      <w:r>
        <w:rPr>
          <w:rFonts w:asciiTheme="majorHAnsi" w:hAnsiTheme="majorHAnsi" w:cstheme="majorHAnsi"/>
          <w:sz w:val="16"/>
          <w:szCs w:val="16"/>
          <w:lang w:val="ro-RO"/>
        </w:rPr>
        <w:t>20</w:t>
      </w:r>
      <w:r w:rsidRPr="00A610B9">
        <w:rPr>
          <w:rFonts w:asciiTheme="majorHAnsi" w:hAnsiTheme="majorHAnsi" w:cstheme="majorHAnsi"/>
          <w:sz w:val="16"/>
          <w:szCs w:val="16"/>
          <w:lang w:val="ro-RO"/>
        </w:rPr>
        <w:t>19.</w:t>
      </w:r>
    </w:p>
  </w:footnote>
  <w:footnote w:id="87">
    <w:p w14:paraId="75D5EF9C" w14:textId="7EBC1F2F" w:rsidR="00FB7074" w:rsidRPr="00004F79" w:rsidRDefault="00FB7074" w:rsidP="00736448">
      <w:pPr>
        <w:pStyle w:val="a3"/>
        <w:jc w:val="both"/>
        <w:rPr>
          <w:rFonts w:asciiTheme="majorHAnsi" w:hAnsiTheme="majorHAnsi"/>
          <w:sz w:val="16"/>
          <w:szCs w:val="16"/>
          <w:lang w:val="ro-MD"/>
        </w:rPr>
      </w:pPr>
      <w:r w:rsidRPr="00736448">
        <w:rPr>
          <w:rStyle w:val="a5"/>
          <w:rFonts w:asciiTheme="majorHAnsi" w:hAnsiTheme="majorHAnsi"/>
          <w:sz w:val="16"/>
          <w:szCs w:val="16"/>
          <w:lang w:val="ro-MD"/>
        </w:rPr>
        <w:footnoteRef/>
      </w:r>
      <w:r w:rsidRPr="00736448">
        <w:rPr>
          <w:rFonts w:asciiTheme="majorHAnsi" w:hAnsiTheme="majorHAnsi"/>
          <w:sz w:val="16"/>
          <w:szCs w:val="16"/>
          <w:lang w:val="ro-MD"/>
        </w:rPr>
        <w:t xml:space="preserve"> </w:t>
      </w:r>
      <w:r>
        <w:rPr>
          <w:rFonts w:asciiTheme="majorHAnsi" w:hAnsiTheme="majorHAnsi" w:cstheme="majorHAnsi"/>
          <w:sz w:val="16"/>
          <w:szCs w:val="16"/>
          <w:lang w:val="ro-MD"/>
        </w:rPr>
        <w:t>A</w:t>
      </w:r>
      <w:r w:rsidRPr="00736448">
        <w:rPr>
          <w:rFonts w:asciiTheme="majorHAnsi" w:hAnsiTheme="majorHAnsi" w:cstheme="majorHAnsi"/>
          <w:sz w:val="16"/>
          <w:szCs w:val="16"/>
          <w:lang w:val="ro-MD"/>
        </w:rPr>
        <w:t>rt. 5 din Legea bugetului asigurărilor sociale de stat pentru anul 2022 nr. 206/2021</w:t>
      </w:r>
      <w:r>
        <w:rPr>
          <w:rFonts w:asciiTheme="majorHAnsi" w:hAnsiTheme="majorHAnsi" w:cstheme="majorHAnsi"/>
          <w:sz w:val="16"/>
          <w:szCs w:val="16"/>
          <w:lang w:val="ro-MD"/>
        </w:rPr>
        <w:t>.</w:t>
      </w:r>
    </w:p>
  </w:footnote>
  <w:footnote w:id="88">
    <w:p w14:paraId="1BDDDDDD" w14:textId="705C6E54" w:rsidR="00FB7074" w:rsidRPr="00736448" w:rsidRDefault="00FB7074" w:rsidP="00736448">
      <w:pPr>
        <w:pStyle w:val="a3"/>
        <w:jc w:val="both"/>
        <w:rPr>
          <w:sz w:val="16"/>
          <w:szCs w:val="16"/>
          <w:lang w:val="ro-MD"/>
        </w:rPr>
      </w:pPr>
      <w:r w:rsidRPr="00736448">
        <w:rPr>
          <w:rStyle w:val="a5"/>
          <w:rFonts w:asciiTheme="majorHAnsi" w:hAnsiTheme="majorHAnsi"/>
          <w:sz w:val="16"/>
          <w:szCs w:val="16"/>
          <w:lang w:val="ro-MD"/>
        </w:rPr>
        <w:footnoteRef/>
      </w:r>
      <w:r w:rsidRPr="00736448">
        <w:rPr>
          <w:rFonts w:asciiTheme="majorHAnsi" w:hAnsiTheme="majorHAnsi"/>
          <w:sz w:val="16"/>
          <w:szCs w:val="16"/>
          <w:lang w:val="ro-MD"/>
        </w:rPr>
        <w:t xml:space="preserve"> </w:t>
      </w:r>
      <w:r>
        <w:rPr>
          <w:rFonts w:asciiTheme="majorHAnsi" w:hAnsiTheme="majorHAnsi"/>
          <w:sz w:val="16"/>
          <w:szCs w:val="16"/>
          <w:lang w:val="ro-MD"/>
        </w:rPr>
        <w:t xml:space="preserve">Art. 1 din </w:t>
      </w:r>
      <w:r w:rsidRPr="00F32CB1">
        <w:rPr>
          <w:rFonts w:asciiTheme="majorHAnsi" w:hAnsiTheme="majorHAnsi" w:cstheme="majorHAnsi"/>
          <w:sz w:val="16"/>
          <w:szCs w:val="16"/>
          <w:lang w:val="ro-MD"/>
        </w:rPr>
        <w:t>Legea nr. 51 din 10.03.2022 privind instituirea unor măsuri de susținere a activității gospodăriilor țărănești (de fermier) și modificarea Legii nr. 489/1999 privind sistemul public de asigurări sociale”</w:t>
      </w:r>
      <w:r>
        <w:rPr>
          <w:rFonts w:asciiTheme="majorHAnsi" w:hAnsiTheme="majorHAnsi" w:cstheme="majorHAnsi"/>
          <w:sz w:val="16"/>
          <w:szCs w:val="16"/>
          <w:lang w:val="ro-MD"/>
        </w:rPr>
        <w:t>.</w:t>
      </w:r>
    </w:p>
  </w:footnote>
  <w:footnote w:id="89">
    <w:p w14:paraId="50087F01" w14:textId="25017DA9" w:rsidR="00FB7074" w:rsidRPr="00736448" w:rsidRDefault="00FB7074" w:rsidP="00736448">
      <w:pPr>
        <w:pStyle w:val="a3"/>
        <w:jc w:val="both"/>
        <w:rPr>
          <w:rFonts w:asciiTheme="majorHAnsi" w:hAnsiTheme="majorHAnsi" w:cstheme="majorHAnsi"/>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F32CB1">
        <w:rPr>
          <w:rFonts w:asciiTheme="majorHAnsi" w:eastAsia="Times New Roman" w:hAnsiTheme="majorHAnsi" w:cstheme="majorHAnsi"/>
          <w:sz w:val="16"/>
          <w:szCs w:val="16"/>
          <w:lang w:val="ro-MD"/>
        </w:rPr>
        <w:t xml:space="preserve">GT CIOBU SERGHEI VASILE – 1 152,0 lei; GT ROBU STEFAN VASILE – 576,0 lei; GT BULIGA PETRU – 576,0 lei; GT ALEXANDRU VICTOR PAVEL </w:t>
      </w:r>
      <w:r>
        <w:rPr>
          <w:rFonts w:asciiTheme="majorHAnsi" w:eastAsia="Times New Roman" w:hAnsiTheme="majorHAnsi" w:cstheme="majorHAnsi"/>
          <w:sz w:val="16"/>
          <w:szCs w:val="16"/>
          <w:lang w:val="ro-MD"/>
        </w:rPr>
        <w:t>–</w:t>
      </w:r>
      <w:r w:rsidRPr="00F32CB1">
        <w:rPr>
          <w:rFonts w:asciiTheme="majorHAnsi" w:eastAsia="Times New Roman" w:hAnsiTheme="majorHAnsi" w:cstheme="majorHAnsi"/>
          <w:sz w:val="16"/>
          <w:szCs w:val="16"/>
          <w:lang w:val="ro-MD"/>
        </w:rPr>
        <w:t xml:space="preserve"> 576,0 lei; GT DIDIC LARISA PAVEL – 2 069,06 lei.</w:t>
      </w:r>
    </w:p>
  </w:footnote>
  <w:footnote w:id="90">
    <w:p w14:paraId="3E419864" w14:textId="3F7E56FC" w:rsidR="00FB7074" w:rsidRPr="00736448" w:rsidRDefault="00FB7074" w:rsidP="00736448">
      <w:pPr>
        <w:pStyle w:val="a3"/>
        <w:jc w:val="both"/>
        <w:rPr>
          <w:sz w:val="16"/>
          <w:szCs w:val="16"/>
          <w:lang w:val="ro-MD"/>
        </w:rPr>
      </w:pPr>
      <w:r w:rsidRPr="00736448">
        <w:rPr>
          <w:rStyle w:val="a5"/>
          <w:rFonts w:asciiTheme="majorHAnsi" w:hAnsiTheme="majorHAnsi" w:cstheme="majorHAnsi"/>
          <w:sz w:val="16"/>
          <w:szCs w:val="16"/>
          <w:lang w:val="ro-MD"/>
        </w:rPr>
        <w:footnoteRef/>
      </w:r>
      <w:r w:rsidRPr="00736448">
        <w:rPr>
          <w:rFonts w:asciiTheme="majorHAnsi" w:hAnsiTheme="majorHAnsi" w:cstheme="majorHAnsi"/>
          <w:sz w:val="16"/>
          <w:szCs w:val="16"/>
          <w:lang w:val="ro-MD"/>
        </w:rPr>
        <w:t xml:space="preserve"> </w:t>
      </w:r>
      <w:r w:rsidRPr="00736448">
        <w:rPr>
          <w:rFonts w:asciiTheme="majorHAnsi" w:eastAsia="Times New Roman" w:hAnsiTheme="majorHAnsi" w:cstheme="majorHAnsi"/>
          <w:sz w:val="16"/>
          <w:szCs w:val="16"/>
          <w:lang w:val="ro-MD"/>
        </w:rPr>
        <w:t xml:space="preserve">GT </w:t>
      </w:r>
      <w:r w:rsidRPr="00736448">
        <w:rPr>
          <w:rFonts w:asciiTheme="majorHAnsi" w:eastAsia="Times New Roman" w:hAnsiTheme="majorHAnsi" w:cstheme="majorHAnsi"/>
          <w:color w:val="000000"/>
          <w:sz w:val="16"/>
          <w:szCs w:val="16"/>
          <w:lang w:val="ro-MD"/>
        </w:rPr>
        <w:t>DABIJA ANDREI VASILE – 283,0 lei; GT BIVOL PETRU CONSTANTIN – 384,0 lei; GT PETCU DUMITRU FEODOR – 380,0 lei.</w:t>
      </w:r>
    </w:p>
  </w:footnote>
  <w:footnote w:id="91">
    <w:p w14:paraId="36519352" w14:textId="08F47D10" w:rsidR="00FB7074" w:rsidRPr="00B10243" w:rsidRDefault="00FB7074" w:rsidP="003664F4">
      <w:pPr>
        <w:pStyle w:val="a8"/>
        <w:jc w:val="both"/>
        <w:rPr>
          <w:rFonts w:asciiTheme="majorHAnsi" w:hAnsiTheme="majorHAnsi" w:cstheme="majorHAnsi"/>
          <w:sz w:val="16"/>
          <w:szCs w:val="16"/>
          <w:lang w:val="ro-MD"/>
        </w:rPr>
      </w:pPr>
      <w:r w:rsidRPr="00B10243">
        <w:rPr>
          <w:rStyle w:val="a5"/>
          <w:rFonts w:asciiTheme="majorHAnsi" w:hAnsiTheme="majorHAnsi" w:cstheme="majorHAnsi"/>
          <w:sz w:val="16"/>
          <w:szCs w:val="16"/>
          <w:lang w:val="ro-MD"/>
        </w:rPr>
        <w:footnoteRef/>
      </w:r>
      <w:r w:rsidRPr="00B10243">
        <w:rPr>
          <w:rFonts w:asciiTheme="majorHAnsi" w:hAnsiTheme="majorHAnsi" w:cstheme="majorHAnsi"/>
          <w:sz w:val="16"/>
          <w:szCs w:val="16"/>
          <w:lang w:val="ro-MD"/>
        </w:rPr>
        <w:t xml:space="preserve"> Art.19 din </w:t>
      </w:r>
      <w:r w:rsidRPr="00B10243">
        <w:rPr>
          <w:rFonts w:asciiTheme="majorHAnsi" w:hAnsiTheme="majorHAnsi" w:cstheme="majorHAnsi"/>
          <w:sz w:val="16"/>
          <w:szCs w:val="16"/>
          <w:lang w:val="ro-MD" w:eastAsia="ro-RO"/>
        </w:rPr>
        <w:t xml:space="preserve">Legea </w:t>
      </w:r>
      <w:r>
        <w:rPr>
          <w:rFonts w:asciiTheme="majorHAnsi" w:hAnsiTheme="majorHAnsi" w:cstheme="majorHAnsi"/>
          <w:sz w:val="16"/>
          <w:szCs w:val="16"/>
          <w:lang w:val="ro-MD"/>
        </w:rPr>
        <w:t xml:space="preserve">finanțelor publice și responsabilității bugetar-fiscale </w:t>
      </w:r>
      <w:r w:rsidRPr="00B10243">
        <w:rPr>
          <w:rFonts w:asciiTheme="majorHAnsi" w:eastAsia="Times New Roman" w:hAnsiTheme="majorHAnsi" w:cstheme="majorHAnsi"/>
          <w:bCs/>
          <w:sz w:val="16"/>
          <w:szCs w:val="16"/>
          <w:lang w:val="ro-MD"/>
        </w:rPr>
        <w:t>nr.181 din 25.07.2014</w:t>
      </w:r>
      <w:r>
        <w:rPr>
          <w:rFonts w:asciiTheme="majorHAnsi" w:eastAsia="Times New Roman" w:hAnsiTheme="majorHAnsi" w:cstheme="majorHAnsi"/>
          <w:bCs/>
          <w:sz w:val="16"/>
          <w:szCs w:val="16"/>
          <w:lang w:val="ro-MD"/>
        </w:rPr>
        <w:t>.</w:t>
      </w:r>
    </w:p>
  </w:footnote>
  <w:footnote w:id="92">
    <w:p w14:paraId="728D7EC9" w14:textId="6F60A9F0" w:rsidR="00FB7074" w:rsidRPr="00B10243" w:rsidRDefault="00FB7074" w:rsidP="003664F4">
      <w:pPr>
        <w:pStyle w:val="a3"/>
        <w:rPr>
          <w:rFonts w:asciiTheme="majorHAnsi" w:hAnsiTheme="majorHAnsi" w:cstheme="majorHAnsi"/>
          <w:sz w:val="16"/>
          <w:szCs w:val="16"/>
          <w:lang w:val="ro-MD"/>
        </w:rPr>
      </w:pPr>
      <w:r w:rsidRPr="00B10243">
        <w:rPr>
          <w:rStyle w:val="a5"/>
          <w:rFonts w:asciiTheme="majorHAnsi" w:hAnsiTheme="majorHAnsi" w:cstheme="majorHAnsi"/>
          <w:sz w:val="16"/>
          <w:szCs w:val="16"/>
          <w:lang w:val="ro-MD"/>
        </w:rPr>
        <w:footnoteRef/>
      </w:r>
      <w:r w:rsidRPr="00B10243">
        <w:rPr>
          <w:rFonts w:asciiTheme="majorHAnsi" w:hAnsiTheme="majorHAnsi" w:cstheme="majorHAnsi"/>
          <w:sz w:val="16"/>
          <w:szCs w:val="16"/>
          <w:lang w:val="ro-MD"/>
        </w:rPr>
        <w:t xml:space="preserve"> Art.22 din Legea nr.229</w:t>
      </w:r>
      <w:r w:rsidRPr="00B10243">
        <w:rPr>
          <w:rFonts w:asciiTheme="majorHAnsi" w:eastAsia="Times New Roman" w:hAnsiTheme="majorHAnsi" w:cstheme="majorHAnsi"/>
          <w:bCs/>
          <w:sz w:val="16"/>
          <w:szCs w:val="16"/>
          <w:lang w:val="ro-MD"/>
        </w:rPr>
        <w:t xml:space="preserve"> din 23.09.2010</w:t>
      </w:r>
      <w:r>
        <w:rPr>
          <w:rFonts w:asciiTheme="majorHAnsi" w:eastAsia="Times New Roman" w:hAnsiTheme="majorHAnsi" w:cstheme="majorHAnsi"/>
          <w:bCs/>
          <w:sz w:val="16"/>
          <w:szCs w:val="16"/>
          <w:lang w:val="ro-MD"/>
        </w:rPr>
        <w:t xml:space="preserve"> </w:t>
      </w:r>
      <w:r w:rsidRPr="00E624C3">
        <w:rPr>
          <w:rFonts w:asciiTheme="majorHAnsi" w:eastAsia="Times New Roman" w:hAnsiTheme="majorHAnsi" w:cstheme="majorHAnsi"/>
          <w:bCs/>
          <w:sz w:val="16"/>
          <w:szCs w:val="16"/>
          <w:lang w:val="ro-MD"/>
        </w:rPr>
        <w:t>privind controlul financiar public intern</w:t>
      </w:r>
      <w:r>
        <w:rPr>
          <w:rFonts w:asciiTheme="majorHAnsi" w:eastAsia="Times New Roman" w:hAnsiTheme="majorHAnsi" w:cstheme="majorHAnsi"/>
          <w:bCs/>
          <w:sz w:val="16"/>
          <w:szCs w:val="16"/>
          <w:lang w:val="ro-MD"/>
        </w:rPr>
        <w:t>.</w:t>
      </w:r>
    </w:p>
  </w:footnote>
  <w:footnote w:id="93">
    <w:p w14:paraId="3945E898" w14:textId="77777777" w:rsidR="00FB7074" w:rsidRPr="00B10243" w:rsidRDefault="00FB7074" w:rsidP="003664F4">
      <w:pPr>
        <w:pStyle w:val="a8"/>
        <w:jc w:val="both"/>
        <w:rPr>
          <w:rFonts w:asciiTheme="majorHAnsi" w:hAnsiTheme="majorHAnsi" w:cstheme="majorHAnsi"/>
          <w:sz w:val="16"/>
          <w:szCs w:val="16"/>
          <w:lang w:val="ro-MD"/>
        </w:rPr>
      </w:pPr>
      <w:r w:rsidRPr="00B10243">
        <w:rPr>
          <w:rStyle w:val="a5"/>
          <w:rFonts w:asciiTheme="majorHAnsi" w:hAnsiTheme="majorHAnsi" w:cstheme="majorHAnsi"/>
          <w:sz w:val="16"/>
          <w:szCs w:val="16"/>
          <w:lang w:val="ro-MD"/>
        </w:rPr>
        <w:footnoteRef/>
      </w:r>
      <w:r w:rsidRPr="00B10243">
        <w:rPr>
          <w:rFonts w:asciiTheme="majorHAnsi" w:hAnsiTheme="majorHAnsi" w:cstheme="majorHAnsi"/>
          <w:sz w:val="16"/>
          <w:szCs w:val="16"/>
          <w:lang w:val="ro-MD"/>
        </w:rPr>
        <w:t xml:space="preserve"> </w:t>
      </w:r>
      <w:r w:rsidRPr="00B10243">
        <w:rPr>
          <w:rFonts w:asciiTheme="majorHAnsi" w:hAnsiTheme="majorHAnsi" w:cstheme="majorHAnsi"/>
          <w:sz w:val="16"/>
          <w:szCs w:val="16"/>
          <w:lang w:val="ro-MD" w:eastAsia="ro-RO"/>
        </w:rPr>
        <w:t xml:space="preserve">Legea </w:t>
      </w:r>
      <w:r w:rsidRPr="00B10243">
        <w:rPr>
          <w:rFonts w:asciiTheme="majorHAnsi" w:eastAsia="Times New Roman" w:hAnsiTheme="majorHAnsi" w:cstheme="majorHAnsi"/>
          <w:bCs/>
          <w:sz w:val="16"/>
          <w:szCs w:val="16"/>
          <w:lang w:val="ro-MD"/>
        </w:rPr>
        <w:t>nr.181 din 25.07.2014</w:t>
      </w:r>
      <w:r w:rsidRPr="00B10243">
        <w:rPr>
          <w:rFonts w:asciiTheme="majorHAnsi" w:hAnsiTheme="majorHAnsi" w:cstheme="majorHAnsi"/>
          <w:sz w:val="16"/>
          <w:szCs w:val="16"/>
          <w:lang w:val="ro-MD" w:eastAsia="ro-RO"/>
        </w:rPr>
        <w:t xml:space="preserve">; </w:t>
      </w:r>
      <w:r w:rsidRPr="00B10243">
        <w:rPr>
          <w:rFonts w:asciiTheme="majorHAnsi" w:hAnsiTheme="majorHAnsi" w:cstheme="majorHAnsi"/>
          <w:sz w:val="16"/>
          <w:szCs w:val="16"/>
          <w:lang w:val="ro-MD"/>
        </w:rPr>
        <w:t>Legea nr.</w:t>
      </w:r>
      <w:r w:rsidRPr="00B10243">
        <w:rPr>
          <w:rFonts w:asciiTheme="majorHAnsi" w:eastAsia="Times New Roman" w:hAnsiTheme="majorHAnsi" w:cstheme="majorHAnsi"/>
          <w:sz w:val="16"/>
          <w:szCs w:val="16"/>
          <w:lang w:val="ro-MD"/>
        </w:rPr>
        <w:t>113-XVI din 27.04.2007</w:t>
      </w:r>
      <w:r w:rsidRPr="00B10243">
        <w:rPr>
          <w:rFonts w:asciiTheme="majorHAnsi" w:hAnsiTheme="majorHAnsi" w:cstheme="majorHAnsi"/>
          <w:sz w:val="16"/>
          <w:szCs w:val="16"/>
          <w:lang w:val="ro-MD" w:eastAsia="ro-RO"/>
        </w:rPr>
        <w:t>.</w:t>
      </w:r>
    </w:p>
  </w:footnote>
  <w:footnote w:id="94">
    <w:p w14:paraId="49F8E78F" w14:textId="552981E4" w:rsidR="00FB7074" w:rsidRPr="00B10243" w:rsidRDefault="00FB7074" w:rsidP="003664F4">
      <w:pPr>
        <w:pStyle w:val="a8"/>
        <w:jc w:val="both"/>
        <w:rPr>
          <w:rFonts w:asciiTheme="majorHAnsi" w:hAnsiTheme="majorHAnsi" w:cstheme="majorHAnsi"/>
          <w:sz w:val="16"/>
          <w:szCs w:val="16"/>
          <w:lang w:val="ro-MD"/>
        </w:rPr>
      </w:pPr>
      <w:r w:rsidRPr="00B10243">
        <w:rPr>
          <w:rStyle w:val="a5"/>
          <w:rFonts w:asciiTheme="majorHAnsi" w:hAnsiTheme="majorHAnsi" w:cstheme="majorHAnsi"/>
          <w:sz w:val="16"/>
          <w:szCs w:val="16"/>
          <w:lang w:val="ro-MD"/>
        </w:rPr>
        <w:footnoteRef/>
      </w:r>
      <w:r w:rsidRPr="00B10243">
        <w:rPr>
          <w:rFonts w:asciiTheme="majorHAnsi" w:hAnsiTheme="majorHAnsi" w:cstheme="majorHAnsi"/>
          <w:sz w:val="16"/>
          <w:szCs w:val="16"/>
          <w:lang w:val="ro-MD"/>
        </w:rPr>
        <w:t xml:space="preserve"> Art.22 din </w:t>
      </w:r>
      <w:r w:rsidRPr="00B10243">
        <w:rPr>
          <w:rFonts w:asciiTheme="majorHAnsi" w:hAnsiTheme="majorHAnsi" w:cstheme="majorHAnsi"/>
          <w:sz w:val="16"/>
          <w:szCs w:val="16"/>
          <w:lang w:val="ro-MD" w:eastAsia="ro-RO"/>
        </w:rPr>
        <w:t xml:space="preserve">Legea </w:t>
      </w:r>
      <w:r>
        <w:rPr>
          <w:rFonts w:asciiTheme="majorHAnsi" w:hAnsiTheme="majorHAnsi" w:cstheme="majorHAnsi"/>
          <w:sz w:val="16"/>
          <w:szCs w:val="16"/>
          <w:lang w:val="ro-MD"/>
        </w:rPr>
        <w:t xml:space="preserve">finanțelor publice și responsabilității bugetar-fiscale </w:t>
      </w:r>
      <w:r w:rsidRPr="00B10243">
        <w:rPr>
          <w:rFonts w:asciiTheme="majorHAnsi" w:eastAsia="Times New Roman" w:hAnsiTheme="majorHAnsi" w:cstheme="majorHAnsi"/>
          <w:bCs/>
          <w:sz w:val="16"/>
          <w:szCs w:val="16"/>
          <w:lang w:val="ro-MD"/>
        </w:rPr>
        <w:t>nr.181 din 25.07.2014</w:t>
      </w:r>
      <w:r>
        <w:rPr>
          <w:rFonts w:asciiTheme="majorHAnsi" w:eastAsia="Times New Roman" w:hAnsiTheme="majorHAnsi" w:cstheme="majorHAnsi"/>
          <w:bCs/>
          <w:sz w:val="16"/>
          <w:szCs w:val="16"/>
          <w:lang w:val="ro-MD"/>
        </w:rPr>
        <w:t>.</w:t>
      </w:r>
      <w:r>
        <w:rPr>
          <w:rFonts w:asciiTheme="majorHAnsi" w:hAnsiTheme="majorHAnsi" w:cstheme="majorHAnsi"/>
          <w:sz w:val="16"/>
          <w:szCs w:val="16"/>
          <w:lang w:val="ro-MD" w:eastAsia="ro-RO"/>
        </w:rPr>
        <w:t xml:space="preserve"> </w:t>
      </w:r>
      <w:r>
        <w:rPr>
          <w:rFonts w:asciiTheme="majorHAnsi" w:hAnsiTheme="majorHAnsi" w:cstheme="majorHAnsi"/>
          <w:sz w:val="16"/>
          <w:szCs w:val="16"/>
          <w:lang w:val="ro-MD"/>
        </w:rPr>
        <w:t xml:space="preserve"> </w:t>
      </w:r>
    </w:p>
  </w:footnote>
  <w:footnote w:id="95">
    <w:p w14:paraId="6CD838B5" w14:textId="77777777" w:rsidR="00FB7074" w:rsidRPr="00B10243" w:rsidRDefault="00FB7074" w:rsidP="003664F4">
      <w:pPr>
        <w:pStyle w:val="a3"/>
        <w:jc w:val="both"/>
        <w:rPr>
          <w:rFonts w:asciiTheme="majorHAnsi" w:hAnsiTheme="majorHAnsi" w:cstheme="majorHAnsi"/>
          <w:lang w:val="ro-MD"/>
        </w:rPr>
      </w:pPr>
      <w:r w:rsidRPr="00B10243">
        <w:rPr>
          <w:rStyle w:val="a5"/>
          <w:rFonts w:asciiTheme="majorHAnsi" w:hAnsiTheme="majorHAnsi" w:cstheme="majorHAnsi"/>
          <w:sz w:val="16"/>
          <w:lang w:val="ro-MD"/>
        </w:rPr>
        <w:footnoteRef/>
      </w:r>
      <w:r w:rsidRPr="00B10243">
        <w:rPr>
          <w:rFonts w:asciiTheme="majorHAnsi" w:hAnsiTheme="majorHAnsi" w:cstheme="majorHAnsi"/>
          <w:sz w:val="16"/>
          <w:lang w:val="ro-MD"/>
        </w:rPr>
        <w:t xml:space="preserve"> </w:t>
      </w:r>
      <w:r w:rsidRPr="00B10243">
        <w:rPr>
          <w:rFonts w:asciiTheme="majorHAnsi" w:hAnsiTheme="majorHAnsi" w:cstheme="majorHAnsi"/>
          <w:sz w:val="16"/>
          <w:szCs w:val="16"/>
          <w:lang w:val="ro-MD"/>
        </w:rPr>
        <w:t xml:space="preserve">Legea nr.113-XVI din 27.04.2007; Ordinul ministrului </w:t>
      </w:r>
      <w:r>
        <w:rPr>
          <w:rFonts w:asciiTheme="majorHAnsi" w:hAnsiTheme="majorHAnsi" w:cstheme="majorHAnsi"/>
          <w:sz w:val="16"/>
          <w:szCs w:val="16"/>
          <w:lang w:val="ro-MD"/>
        </w:rPr>
        <w:t>F</w:t>
      </w:r>
      <w:r w:rsidRPr="00B10243">
        <w:rPr>
          <w:rFonts w:asciiTheme="majorHAnsi" w:hAnsiTheme="majorHAnsi" w:cstheme="majorHAnsi"/>
          <w:sz w:val="16"/>
          <w:szCs w:val="16"/>
          <w:lang w:val="ro-MD"/>
        </w:rPr>
        <w:t xml:space="preserve">inanțelor nr.118 din 06.08.2013 „Privind aprobarea Standardelor Naționale de Contabilitate”; Ordinul ministrului </w:t>
      </w:r>
      <w:r>
        <w:rPr>
          <w:rFonts w:asciiTheme="majorHAnsi" w:hAnsiTheme="majorHAnsi" w:cstheme="majorHAnsi"/>
          <w:sz w:val="16"/>
          <w:szCs w:val="16"/>
          <w:lang w:val="ro-MD"/>
        </w:rPr>
        <w:t>F</w:t>
      </w:r>
      <w:r w:rsidRPr="00B10243">
        <w:rPr>
          <w:rFonts w:asciiTheme="majorHAnsi" w:hAnsiTheme="majorHAnsi" w:cstheme="majorHAnsi"/>
          <w:sz w:val="16"/>
          <w:szCs w:val="16"/>
          <w:lang w:val="ro-MD"/>
        </w:rPr>
        <w:t xml:space="preserve">inanțelor </w:t>
      </w:r>
      <w:r w:rsidRPr="00B10243">
        <w:rPr>
          <w:rFonts w:asciiTheme="majorHAnsi" w:hAnsiTheme="majorHAnsi" w:cstheme="majorHAnsi"/>
          <w:noProof/>
          <w:sz w:val="16"/>
          <w:szCs w:val="16"/>
          <w:lang w:val="ro-MD"/>
        </w:rPr>
        <w:t>nr.38 din 17.02.2017.</w:t>
      </w:r>
    </w:p>
  </w:footnote>
  <w:footnote w:id="96">
    <w:p w14:paraId="3E0456D7" w14:textId="77777777" w:rsidR="00FB7074" w:rsidRPr="00B10243" w:rsidRDefault="00FB7074" w:rsidP="003664F4">
      <w:pPr>
        <w:pStyle w:val="a3"/>
        <w:jc w:val="both"/>
        <w:rPr>
          <w:rFonts w:asciiTheme="majorHAnsi" w:hAnsiTheme="majorHAnsi" w:cstheme="majorHAnsi"/>
          <w:lang w:val="ro-MD"/>
        </w:rPr>
      </w:pPr>
      <w:r w:rsidRPr="00B10243">
        <w:rPr>
          <w:rStyle w:val="a5"/>
          <w:rFonts w:asciiTheme="majorHAnsi" w:hAnsiTheme="majorHAnsi" w:cstheme="majorHAnsi"/>
          <w:sz w:val="16"/>
          <w:lang w:val="ro-MD"/>
        </w:rPr>
        <w:footnoteRef/>
      </w:r>
      <w:r w:rsidRPr="00B10243">
        <w:rPr>
          <w:rFonts w:asciiTheme="majorHAnsi" w:hAnsiTheme="majorHAnsi" w:cstheme="majorHAnsi"/>
          <w:lang w:val="ro-MD"/>
        </w:rPr>
        <w:t xml:space="preserve"> </w:t>
      </w:r>
      <w:r w:rsidRPr="00B10243">
        <w:rPr>
          <w:rFonts w:asciiTheme="majorHAnsi" w:hAnsiTheme="majorHAnsi" w:cstheme="majorHAnsi"/>
          <w:sz w:val="16"/>
          <w:szCs w:val="16"/>
          <w:lang w:val="ro-MD"/>
        </w:rPr>
        <w:t>Art. 13 alin.(2) lit. e) din Legea nr.113-XVI din 27.04.2007.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EBA"/>
    <w:multiLevelType w:val="hybridMultilevel"/>
    <w:tmpl w:val="5E122D0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25C33D6"/>
    <w:multiLevelType w:val="hybridMultilevel"/>
    <w:tmpl w:val="156C46E6"/>
    <w:lvl w:ilvl="0" w:tplc="707A84A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A03DB"/>
    <w:multiLevelType w:val="multilevel"/>
    <w:tmpl w:val="37DC72DA"/>
    <w:lvl w:ilvl="0">
      <w:start w:val="5"/>
      <w:numFmt w:val="decimal"/>
      <w:lvlText w:val="%1."/>
      <w:lvlJc w:val="left"/>
      <w:pPr>
        <w:ind w:left="564" w:hanging="564"/>
      </w:pPr>
      <w:rPr>
        <w:rFonts w:hint="default"/>
      </w:rPr>
    </w:lvl>
    <w:lvl w:ilvl="1">
      <w:start w:val="2"/>
      <w:numFmt w:val="decimal"/>
      <w:lvlText w:val="%1.%2."/>
      <w:lvlJc w:val="left"/>
      <w:pPr>
        <w:ind w:left="564" w:hanging="56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A14ED7"/>
    <w:multiLevelType w:val="multilevel"/>
    <w:tmpl w:val="93E2D4CC"/>
    <w:lvl w:ilvl="0">
      <w:start w:val="4"/>
      <w:numFmt w:val="decimal"/>
      <w:lvlText w:val="%1."/>
      <w:lvlJc w:val="left"/>
      <w:pPr>
        <w:ind w:left="396" w:hanging="396"/>
      </w:pPr>
      <w:rPr>
        <w:rFonts w:hint="default"/>
      </w:rPr>
    </w:lvl>
    <w:lvl w:ilvl="1">
      <w:start w:val="2"/>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984D65"/>
    <w:multiLevelType w:val="hybridMultilevel"/>
    <w:tmpl w:val="EC564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D1EE6"/>
    <w:multiLevelType w:val="hybridMultilevel"/>
    <w:tmpl w:val="156C46E6"/>
    <w:lvl w:ilvl="0" w:tplc="707A84A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E298A"/>
    <w:multiLevelType w:val="hybridMultilevel"/>
    <w:tmpl w:val="7736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84DE0"/>
    <w:multiLevelType w:val="hybridMultilevel"/>
    <w:tmpl w:val="156C46E6"/>
    <w:lvl w:ilvl="0" w:tplc="707A84A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9E0EE0"/>
    <w:multiLevelType w:val="multilevel"/>
    <w:tmpl w:val="23D2B7DA"/>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E93B99"/>
    <w:multiLevelType w:val="hybridMultilevel"/>
    <w:tmpl w:val="68E23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316840"/>
    <w:multiLevelType w:val="hybridMultilevel"/>
    <w:tmpl w:val="483A6266"/>
    <w:lvl w:ilvl="0" w:tplc="FB966C6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0937F8"/>
    <w:multiLevelType w:val="multilevel"/>
    <w:tmpl w:val="99A26A1C"/>
    <w:lvl w:ilvl="0">
      <w:start w:val="1"/>
      <w:numFmt w:val="upperRoman"/>
      <w:lvlText w:val="%1."/>
      <w:lvlJc w:val="left"/>
      <w:pPr>
        <w:ind w:left="1080" w:hanging="720"/>
      </w:pPr>
      <w:rPr>
        <w:rFonts w:hint="default"/>
        <w:b/>
      </w:rPr>
    </w:lvl>
    <w:lvl w:ilvl="1">
      <w:start w:val="1"/>
      <w:numFmt w:val="decimal"/>
      <w:isLgl/>
      <w:lvlText w:val="%1.%2."/>
      <w:lvlJc w:val="left"/>
      <w:pPr>
        <w:ind w:left="396" w:hanging="396"/>
      </w:pPr>
      <w:rPr>
        <w:rFonts w:asciiTheme="majorHAnsi" w:hAnsiTheme="majorHAnsi" w:cstheme="majorHAnsi" w:hint="default"/>
        <w:b/>
        <w:color w:val="auto"/>
        <w:sz w:val="24"/>
        <w:szCs w:val="24"/>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4C728B4"/>
    <w:multiLevelType w:val="hybridMultilevel"/>
    <w:tmpl w:val="C5EC8456"/>
    <w:lvl w:ilvl="0" w:tplc="95CEA934">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2D2115CC"/>
    <w:multiLevelType w:val="hybridMultilevel"/>
    <w:tmpl w:val="89F03216"/>
    <w:lvl w:ilvl="0" w:tplc="8FDE9EE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306005C6"/>
    <w:multiLevelType w:val="multilevel"/>
    <w:tmpl w:val="6FA207E2"/>
    <w:lvl w:ilvl="0">
      <w:start w:val="4"/>
      <w:numFmt w:val="decimal"/>
      <w:lvlText w:val="%1"/>
      <w:lvlJc w:val="left"/>
      <w:pPr>
        <w:ind w:left="360" w:hanging="360"/>
      </w:pPr>
      <w:rPr>
        <w:rFonts w:asciiTheme="majorHAnsi" w:eastAsia="Times New Roman" w:hAnsiTheme="majorHAnsi" w:cstheme="majorHAnsi" w:hint="default"/>
        <w:b/>
        <w:sz w:val="24"/>
      </w:rPr>
    </w:lvl>
    <w:lvl w:ilvl="1">
      <w:start w:val="3"/>
      <w:numFmt w:val="decimal"/>
      <w:lvlText w:val="%1.%2"/>
      <w:lvlJc w:val="left"/>
      <w:pPr>
        <w:ind w:left="360" w:hanging="360"/>
      </w:pPr>
      <w:rPr>
        <w:rFonts w:asciiTheme="majorHAnsi" w:eastAsia="Times New Roman" w:hAnsiTheme="majorHAnsi" w:cstheme="majorHAnsi" w:hint="default"/>
        <w:b/>
        <w:sz w:val="24"/>
      </w:rPr>
    </w:lvl>
    <w:lvl w:ilvl="2">
      <w:start w:val="1"/>
      <w:numFmt w:val="decimal"/>
      <w:lvlText w:val="%1.%2.%3"/>
      <w:lvlJc w:val="left"/>
      <w:pPr>
        <w:ind w:left="720" w:hanging="720"/>
      </w:pPr>
      <w:rPr>
        <w:rFonts w:asciiTheme="majorHAnsi" w:eastAsia="Times New Roman" w:hAnsiTheme="majorHAnsi" w:cstheme="majorHAnsi" w:hint="default"/>
        <w:b/>
        <w:sz w:val="24"/>
      </w:rPr>
    </w:lvl>
    <w:lvl w:ilvl="3">
      <w:start w:val="1"/>
      <w:numFmt w:val="decimal"/>
      <w:lvlText w:val="%1.%2.%3.%4"/>
      <w:lvlJc w:val="left"/>
      <w:pPr>
        <w:ind w:left="720" w:hanging="720"/>
      </w:pPr>
      <w:rPr>
        <w:rFonts w:asciiTheme="majorHAnsi" w:eastAsia="Times New Roman" w:hAnsiTheme="majorHAnsi" w:cstheme="majorHAnsi" w:hint="default"/>
        <w:b/>
        <w:sz w:val="24"/>
      </w:rPr>
    </w:lvl>
    <w:lvl w:ilvl="4">
      <w:start w:val="1"/>
      <w:numFmt w:val="decimal"/>
      <w:lvlText w:val="%1.%2.%3.%4.%5"/>
      <w:lvlJc w:val="left"/>
      <w:pPr>
        <w:ind w:left="1080" w:hanging="1080"/>
      </w:pPr>
      <w:rPr>
        <w:rFonts w:asciiTheme="majorHAnsi" w:eastAsia="Times New Roman" w:hAnsiTheme="majorHAnsi" w:cstheme="majorHAnsi" w:hint="default"/>
        <w:b/>
        <w:sz w:val="24"/>
      </w:rPr>
    </w:lvl>
    <w:lvl w:ilvl="5">
      <w:start w:val="1"/>
      <w:numFmt w:val="decimal"/>
      <w:lvlText w:val="%1.%2.%3.%4.%5.%6"/>
      <w:lvlJc w:val="left"/>
      <w:pPr>
        <w:ind w:left="1080" w:hanging="1080"/>
      </w:pPr>
      <w:rPr>
        <w:rFonts w:asciiTheme="majorHAnsi" w:eastAsia="Times New Roman" w:hAnsiTheme="majorHAnsi" w:cstheme="majorHAnsi" w:hint="default"/>
        <w:b/>
        <w:sz w:val="24"/>
      </w:rPr>
    </w:lvl>
    <w:lvl w:ilvl="6">
      <w:start w:val="1"/>
      <w:numFmt w:val="decimal"/>
      <w:lvlText w:val="%1.%2.%3.%4.%5.%6.%7"/>
      <w:lvlJc w:val="left"/>
      <w:pPr>
        <w:ind w:left="1440" w:hanging="1440"/>
      </w:pPr>
      <w:rPr>
        <w:rFonts w:asciiTheme="majorHAnsi" w:eastAsia="Times New Roman" w:hAnsiTheme="majorHAnsi" w:cstheme="majorHAnsi" w:hint="default"/>
        <w:b/>
        <w:sz w:val="24"/>
      </w:rPr>
    </w:lvl>
    <w:lvl w:ilvl="7">
      <w:start w:val="1"/>
      <w:numFmt w:val="decimal"/>
      <w:lvlText w:val="%1.%2.%3.%4.%5.%6.%7.%8"/>
      <w:lvlJc w:val="left"/>
      <w:pPr>
        <w:ind w:left="1440" w:hanging="1440"/>
      </w:pPr>
      <w:rPr>
        <w:rFonts w:asciiTheme="majorHAnsi" w:eastAsia="Times New Roman" w:hAnsiTheme="majorHAnsi" w:cstheme="majorHAnsi" w:hint="default"/>
        <w:b/>
        <w:sz w:val="24"/>
      </w:rPr>
    </w:lvl>
    <w:lvl w:ilvl="8">
      <w:start w:val="1"/>
      <w:numFmt w:val="decimal"/>
      <w:lvlText w:val="%1.%2.%3.%4.%5.%6.%7.%8.%9"/>
      <w:lvlJc w:val="left"/>
      <w:pPr>
        <w:ind w:left="1440" w:hanging="1440"/>
      </w:pPr>
      <w:rPr>
        <w:rFonts w:asciiTheme="majorHAnsi" w:eastAsia="Times New Roman" w:hAnsiTheme="majorHAnsi" w:cstheme="majorHAnsi" w:hint="default"/>
        <w:b/>
        <w:sz w:val="24"/>
      </w:rPr>
    </w:lvl>
  </w:abstractNum>
  <w:abstractNum w:abstractNumId="15" w15:restartNumberingAfterBreak="0">
    <w:nsid w:val="32424CA0"/>
    <w:multiLevelType w:val="hybridMultilevel"/>
    <w:tmpl w:val="CD861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E83BF1"/>
    <w:multiLevelType w:val="hybridMultilevel"/>
    <w:tmpl w:val="2528E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84F49"/>
    <w:multiLevelType w:val="hybridMultilevel"/>
    <w:tmpl w:val="CC02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3235E"/>
    <w:multiLevelType w:val="hybridMultilevel"/>
    <w:tmpl w:val="0C4867F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5896D7C"/>
    <w:multiLevelType w:val="multilevel"/>
    <w:tmpl w:val="6D7C95A6"/>
    <w:lvl w:ilvl="0">
      <w:start w:val="1"/>
      <w:numFmt w:val="upperRoman"/>
      <w:pStyle w:val="1"/>
      <w:lvlText w:val="%1."/>
      <w:lvlJc w:val="left"/>
      <w:pPr>
        <w:ind w:left="5606" w:hanging="360"/>
      </w:pPr>
      <w:rPr>
        <w:rFonts w:asciiTheme="majorHAnsi" w:hAnsiTheme="majorHAnsi" w:cstheme="majorHAnsi" w:hint="default"/>
        <w:b/>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ind w:left="150" w:hanging="576"/>
      </w:pPr>
      <w:rPr>
        <w:rFonts w:hint="default"/>
      </w:rPr>
    </w:lvl>
    <w:lvl w:ilvl="2">
      <w:start w:val="1"/>
      <w:numFmt w:val="decimal"/>
      <w:lvlText w:val="%1.%2.%3"/>
      <w:lvlJc w:val="left"/>
      <w:pPr>
        <w:ind w:left="294" w:hanging="720"/>
      </w:pPr>
      <w:rPr>
        <w:rFonts w:hint="default"/>
        <w:lang w:val="ro-MD"/>
      </w:rPr>
    </w:lvl>
    <w:lvl w:ilvl="3">
      <w:start w:val="1"/>
      <w:numFmt w:val="decimal"/>
      <w:lvlText w:val="%1.%2.%3.%4"/>
      <w:lvlJc w:val="left"/>
      <w:pPr>
        <w:ind w:left="438" w:hanging="864"/>
      </w:pPr>
      <w:rPr>
        <w:rFonts w:hint="default"/>
      </w:rPr>
    </w:lvl>
    <w:lvl w:ilvl="4">
      <w:start w:val="1"/>
      <w:numFmt w:val="decimal"/>
      <w:pStyle w:val="5"/>
      <w:lvlText w:val="%1.%2.%3.%4.%5"/>
      <w:lvlJc w:val="left"/>
      <w:pPr>
        <w:ind w:left="582" w:hanging="1008"/>
      </w:pPr>
      <w:rPr>
        <w:rFonts w:hint="default"/>
      </w:rPr>
    </w:lvl>
    <w:lvl w:ilvl="5">
      <w:start w:val="1"/>
      <w:numFmt w:val="decimal"/>
      <w:pStyle w:val="6"/>
      <w:lvlText w:val="%1.%2.%3.%4.%5.%6"/>
      <w:lvlJc w:val="left"/>
      <w:pPr>
        <w:ind w:left="726" w:hanging="1152"/>
      </w:pPr>
      <w:rPr>
        <w:rFonts w:hint="default"/>
      </w:rPr>
    </w:lvl>
    <w:lvl w:ilvl="6">
      <w:start w:val="1"/>
      <w:numFmt w:val="decimal"/>
      <w:pStyle w:val="7"/>
      <w:lvlText w:val="%1.%2.%3.%4.%5.%6.%7"/>
      <w:lvlJc w:val="left"/>
      <w:pPr>
        <w:ind w:left="870" w:hanging="1296"/>
      </w:pPr>
      <w:rPr>
        <w:rFonts w:hint="default"/>
      </w:rPr>
    </w:lvl>
    <w:lvl w:ilvl="7">
      <w:start w:val="1"/>
      <w:numFmt w:val="decimal"/>
      <w:pStyle w:val="8"/>
      <w:lvlText w:val="%1.%2.%3.%4.%5.%6.%7.%8"/>
      <w:lvlJc w:val="left"/>
      <w:pPr>
        <w:ind w:left="1014" w:hanging="1440"/>
      </w:pPr>
      <w:rPr>
        <w:rFonts w:hint="default"/>
      </w:rPr>
    </w:lvl>
    <w:lvl w:ilvl="8">
      <w:start w:val="1"/>
      <w:numFmt w:val="decimal"/>
      <w:pStyle w:val="9"/>
      <w:lvlText w:val="%1.%2.%3.%4.%5.%6.%7.%8.%9"/>
      <w:lvlJc w:val="left"/>
      <w:pPr>
        <w:ind w:left="1158" w:hanging="1584"/>
      </w:pPr>
      <w:rPr>
        <w:rFonts w:hint="default"/>
      </w:rPr>
    </w:lvl>
  </w:abstractNum>
  <w:abstractNum w:abstractNumId="20" w15:restartNumberingAfterBreak="0">
    <w:nsid w:val="47833721"/>
    <w:multiLevelType w:val="multilevel"/>
    <w:tmpl w:val="40B85BF2"/>
    <w:lvl w:ilvl="0">
      <w:start w:val="1"/>
      <w:numFmt w:val="upperRoman"/>
      <w:lvlText w:val="%1."/>
      <w:lvlJc w:val="left"/>
      <w:pPr>
        <w:ind w:left="1080" w:hanging="720"/>
      </w:pPr>
      <w:rPr>
        <w:rFonts w:hint="default"/>
        <w:b/>
      </w:rPr>
    </w:lvl>
    <w:lvl w:ilvl="1">
      <w:start w:val="1"/>
      <w:numFmt w:val="decimal"/>
      <w:isLgl/>
      <w:lvlText w:val="%1.%2."/>
      <w:lvlJc w:val="left"/>
      <w:pPr>
        <w:ind w:left="396" w:hanging="396"/>
      </w:pPr>
      <w:rPr>
        <w:rFonts w:asciiTheme="majorHAnsi" w:hAnsiTheme="majorHAnsi" w:cstheme="majorHAnsi" w:hint="default"/>
        <w:b/>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96C05F4"/>
    <w:multiLevelType w:val="hybridMultilevel"/>
    <w:tmpl w:val="156C46E6"/>
    <w:lvl w:ilvl="0" w:tplc="707A84A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A06C03"/>
    <w:multiLevelType w:val="hybridMultilevel"/>
    <w:tmpl w:val="DA465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2B07FF"/>
    <w:multiLevelType w:val="hybridMultilevel"/>
    <w:tmpl w:val="3642D536"/>
    <w:lvl w:ilvl="0" w:tplc="D7F68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00238"/>
    <w:multiLevelType w:val="hybridMultilevel"/>
    <w:tmpl w:val="973E90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E7ADA"/>
    <w:multiLevelType w:val="hybridMultilevel"/>
    <w:tmpl w:val="CAACA2D4"/>
    <w:lvl w:ilvl="0" w:tplc="0D40925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81312"/>
    <w:multiLevelType w:val="hybridMultilevel"/>
    <w:tmpl w:val="156C46E6"/>
    <w:lvl w:ilvl="0" w:tplc="707A84AC">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953DE"/>
    <w:multiLevelType w:val="hybridMultilevel"/>
    <w:tmpl w:val="62F85AB6"/>
    <w:lvl w:ilvl="0" w:tplc="0409000B">
      <w:start w:val="1"/>
      <w:numFmt w:val="bullet"/>
      <w:lvlText w:val=""/>
      <w:lvlJc w:val="left"/>
      <w:pPr>
        <w:ind w:left="1338" w:hanging="360"/>
      </w:pPr>
      <w:rPr>
        <w:rFonts w:ascii="Wingdings" w:hAnsi="Wingdings" w:hint="default"/>
      </w:rPr>
    </w:lvl>
    <w:lvl w:ilvl="1" w:tplc="04090003" w:tentative="1">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abstractNum w:abstractNumId="28" w15:restartNumberingAfterBreak="0">
    <w:nsid w:val="60902E9F"/>
    <w:multiLevelType w:val="hybridMultilevel"/>
    <w:tmpl w:val="A2A2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676F1"/>
    <w:multiLevelType w:val="hybridMultilevel"/>
    <w:tmpl w:val="78D27B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DF0335"/>
    <w:multiLevelType w:val="multilevel"/>
    <w:tmpl w:val="E6F2888A"/>
    <w:lvl w:ilvl="0">
      <w:start w:val="6"/>
      <w:numFmt w:val="decimal"/>
      <w:lvlText w:val="%1."/>
      <w:lvlJc w:val="left"/>
      <w:pPr>
        <w:ind w:left="396" w:hanging="396"/>
      </w:pPr>
      <w:rPr>
        <w:rFonts w:hint="default"/>
      </w:rPr>
    </w:lvl>
    <w:lvl w:ilvl="1">
      <w:start w:val="1"/>
      <w:numFmt w:val="decimal"/>
      <w:lvlText w:val="%1.%2."/>
      <w:lvlJc w:val="left"/>
      <w:pPr>
        <w:ind w:left="396" w:hanging="396"/>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7FC76EC"/>
    <w:multiLevelType w:val="hybridMultilevel"/>
    <w:tmpl w:val="130E4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B04B57"/>
    <w:multiLevelType w:val="hybridMultilevel"/>
    <w:tmpl w:val="2C7CDEE2"/>
    <w:lvl w:ilvl="0" w:tplc="27D45BAA">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BB7EFB"/>
    <w:multiLevelType w:val="hybridMultilevel"/>
    <w:tmpl w:val="766C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E3ED2"/>
    <w:multiLevelType w:val="hybridMultilevel"/>
    <w:tmpl w:val="CC2A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4C10C3"/>
    <w:multiLevelType w:val="hybridMultilevel"/>
    <w:tmpl w:val="5A96B72E"/>
    <w:lvl w:ilvl="0" w:tplc="24AE9FD0">
      <w:start w:val="6"/>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6735C9"/>
    <w:multiLevelType w:val="hybridMultilevel"/>
    <w:tmpl w:val="47E469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31"/>
  </w:num>
  <w:num w:numId="4">
    <w:abstractNumId w:val="28"/>
  </w:num>
  <w:num w:numId="5">
    <w:abstractNumId w:val="36"/>
  </w:num>
  <w:num w:numId="6">
    <w:abstractNumId w:val="0"/>
  </w:num>
  <w:num w:numId="7">
    <w:abstractNumId w:val="4"/>
  </w:num>
  <w:num w:numId="8">
    <w:abstractNumId w:val="12"/>
  </w:num>
  <w:num w:numId="9">
    <w:abstractNumId w:val="22"/>
  </w:num>
  <w:num w:numId="10">
    <w:abstractNumId w:val="8"/>
  </w:num>
  <w:num w:numId="11">
    <w:abstractNumId w:val="2"/>
  </w:num>
  <w:num w:numId="12">
    <w:abstractNumId w:val="30"/>
  </w:num>
  <w:num w:numId="13">
    <w:abstractNumId w:val="20"/>
  </w:num>
  <w:num w:numId="14">
    <w:abstractNumId w:val="35"/>
  </w:num>
  <w:num w:numId="15">
    <w:abstractNumId w:val="3"/>
  </w:num>
  <w:num w:numId="16">
    <w:abstractNumId w:val="15"/>
  </w:num>
  <w:num w:numId="17">
    <w:abstractNumId w:val="14"/>
  </w:num>
  <w:num w:numId="18">
    <w:abstractNumId w:val="23"/>
  </w:num>
  <w:num w:numId="19">
    <w:abstractNumId w:val="33"/>
  </w:num>
  <w:num w:numId="20">
    <w:abstractNumId w:val="29"/>
  </w:num>
  <w:num w:numId="21">
    <w:abstractNumId w:val="13"/>
  </w:num>
  <w:num w:numId="22">
    <w:abstractNumId w:val="24"/>
  </w:num>
  <w:num w:numId="23">
    <w:abstractNumId w:val="27"/>
  </w:num>
  <w:num w:numId="24">
    <w:abstractNumId w:val="18"/>
  </w:num>
  <w:num w:numId="25">
    <w:abstractNumId w:val="9"/>
  </w:num>
  <w:num w:numId="26">
    <w:abstractNumId w:val="17"/>
  </w:num>
  <w:num w:numId="27">
    <w:abstractNumId w:val="25"/>
  </w:num>
  <w:num w:numId="28">
    <w:abstractNumId w:val="1"/>
  </w:num>
  <w:num w:numId="29">
    <w:abstractNumId w:val="5"/>
  </w:num>
  <w:num w:numId="30">
    <w:abstractNumId w:val="16"/>
  </w:num>
  <w:num w:numId="31">
    <w:abstractNumId w:val="10"/>
  </w:num>
  <w:num w:numId="32">
    <w:abstractNumId w:val="21"/>
  </w:num>
  <w:num w:numId="33">
    <w:abstractNumId w:val="26"/>
  </w:num>
  <w:num w:numId="34">
    <w:abstractNumId w:val="7"/>
  </w:num>
  <w:num w:numId="35">
    <w:abstractNumId w:val="32"/>
  </w:num>
  <w:num w:numId="36">
    <w:abstractNumId w:val="34"/>
  </w:num>
  <w:num w:numId="3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85"/>
    <w:rsid w:val="00001EE9"/>
    <w:rsid w:val="00002967"/>
    <w:rsid w:val="00004C4B"/>
    <w:rsid w:val="00004F79"/>
    <w:rsid w:val="00005327"/>
    <w:rsid w:val="00007224"/>
    <w:rsid w:val="00010189"/>
    <w:rsid w:val="0001097D"/>
    <w:rsid w:val="00010D2A"/>
    <w:rsid w:val="00011B07"/>
    <w:rsid w:val="00011EF9"/>
    <w:rsid w:val="00016F14"/>
    <w:rsid w:val="000202E7"/>
    <w:rsid w:val="000215A9"/>
    <w:rsid w:val="0002197A"/>
    <w:rsid w:val="00021F2B"/>
    <w:rsid w:val="000232E5"/>
    <w:rsid w:val="00023EFD"/>
    <w:rsid w:val="00024A31"/>
    <w:rsid w:val="00024D3D"/>
    <w:rsid w:val="00025B87"/>
    <w:rsid w:val="000269C8"/>
    <w:rsid w:val="00030364"/>
    <w:rsid w:val="0003120D"/>
    <w:rsid w:val="000322B0"/>
    <w:rsid w:val="0003593F"/>
    <w:rsid w:val="00035ED1"/>
    <w:rsid w:val="00036355"/>
    <w:rsid w:val="00036557"/>
    <w:rsid w:val="00036CC4"/>
    <w:rsid w:val="00040D51"/>
    <w:rsid w:val="00043F06"/>
    <w:rsid w:val="00044CF8"/>
    <w:rsid w:val="00045E55"/>
    <w:rsid w:val="00046B6A"/>
    <w:rsid w:val="000501BC"/>
    <w:rsid w:val="00053CBC"/>
    <w:rsid w:val="0005461A"/>
    <w:rsid w:val="00054E59"/>
    <w:rsid w:val="00054F45"/>
    <w:rsid w:val="0005509F"/>
    <w:rsid w:val="00055C2C"/>
    <w:rsid w:val="00056433"/>
    <w:rsid w:val="00061CCE"/>
    <w:rsid w:val="000672D5"/>
    <w:rsid w:val="0007117C"/>
    <w:rsid w:val="00071D59"/>
    <w:rsid w:val="00072147"/>
    <w:rsid w:val="00073518"/>
    <w:rsid w:val="00073D63"/>
    <w:rsid w:val="00075020"/>
    <w:rsid w:val="00077B34"/>
    <w:rsid w:val="00082B9B"/>
    <w:rsid w:val="00084F75"/>
    <w:rsid w:val="00090B08"/>
    <w:rsid w:val="00093750"/>
    <w:rsid w:val="0009393D"/>
    <w:rsid w:val="0009417A"/>
    <w:rsid w:val="000943C3"/>
    <w:rsid w:val="00097577"/>
    <w:rsid w:val="000975EC"/>
    <w:rsid w:val="000A2191"/>
    <w:rsid w:val="000A2BD2"/>
    <w:rsid w:val="000A58E9"/>
    <w:rsid w:val="000A67BF"/>
    <w:rsid w:val="000A687C"/>
    <w:rsid w:val="000A7004"/>
    <w:rsid w:val="000A7357"/>
    <w:rsid w:val="000B4A03"/>
    <w:rsid w:val="000B4A9B"/>
    <w:rsid w:val="000B5911"/>
    <w:rsid w:val="000B645A"/>
    <w:rsid w:val="000B64C3"/>
    <w:rsid w:val="000C01CB"/>
    <w:rsid w:val="000C1462"/>
    <w:rsid w:val="000C1876"/>
    <w:rsid w:val="000C223E"/>
    <w:rsid w:val="000C416F"/>
    <w:rsid w:val="000C59C7"/>
    <w:rsid w:val="000C781C"/>
    <w:rsid w:val="000C7D59"/>
    <w:rsid w:val="000D08CB"/>
    <w:rsid w:val="000D0A65"/>
    <w:rsid w:val="000D3AC7"/>
    <w:rsid w:val="000D4EA9"/>
    <w:rsid w:val="000D57E3"/>
    <w:rsid w:val="000E2626"/>
    <w:rsid w:val="000E339F"/>
    <w:rsid w:val="000E4234"/>
    <w:rsid w:val="000E5E4C"/>
    <w:rsid w:val="000E6510"/>
    <w:rsid w:val="000F0E02"/>
    <w:rsid w:val="000F2B92"/>
    <w:rsid w:val="000F2CC4"/>
    <w:rsid w:val="000F6BFE"/>
    <w:rsid w:val="0010099E"/>
    <w:rsid w:val="00100E04"/>
    <w:rsid w:val="0010219C"/>
    <w:rsid w:val="00104AD1"/>
    <w:rsid w:val="00104C95"/>
    <w:rsid w:val="00104DE9"/>
    <w:rsid w:val="001060E4"/>
    <w:rsid w:val="00111ECB"/>
    <w:rsid w:val="00113E19"/>
    <w:rsid w:val="001141B5"/>
    <w:rsid w:val="001156CB"/>
    <w:rsid w:val="00115AA0"/>
    <w:rsid w:val="0011670C"/>
    <w:rsid w:val="0011740B"/>
    <w:rsid w:val="0012160B"/>
    <w:rsid w:val="0012409A"/>
    <w:rsid w:val="001251E5"/>
    <w:rsid w:val="0013005B"/>
    <w:rsid w:val="0013227E"/>
    <w:rsid w:val="0013307C"/>
    <w:rsid w:val="0013567E"/>
    <w:rsid w:val="0013682A"/>
    <w:rsid w:val="00136935"/>
    <w:rsid w:val="00136F64"/>
    <w:rsid w:val="00137522"/>
    <w:rsid w:val="00137C53"/>
    <w:rsid w:val="00141BA2"/>
    <w:rsid w:val="00141D8C"/>
    <w:rsid w:val="00142826"/>
    <w:rsid w:val="00142BEE"/>
    <w:rsid w:val="00142FBD"/>
    <w:rsid w:val="00143761"/>
    <w:rsid w:val="00143ECE"/>
    <w:rsid w:val="00143F9A"/>
    <w:rsid w:val="00145E2D"/>
    <w:rsid w:val="00152FDB"/>
    <w:rsid w:val="00153694"/>
    <w:rsid w:val="001536F2"/>
    <w:rsid w:val="00155159"/>
    <w:rsid w:val="001556C2"/>
    <w:rsid w:val="00155DE4"/>
    <w:rsid w:val="00157A91"/>
    <w:rsid w:val="00160C57"/>
    <w:rsid w:val="00163075"/>
    <w:rsid w:val="00165463"/>
    <w:rsid w:val="00166E72"/>
    <w:rsid w:val="00170430"/>
    <w:rsid w:val="0017066D"/>
    <w:rsid w:val="001751F1"/>
    <w:rsid w:val="00177C32"/>
    <w:rsid w:val="00180DDD"/>
    <w:rsid w:val="00181E2B"/>
    <w:rsid w:val="00181EA0"/>
    <w:rsid w:val="001820C5"/>
    <w:rsid w:val="00182680"/>
    <w:rsid w:val="001830E7"/>
    <w:rsid w:val="0018370A"/>
    <w:rsid w:val="00183D72"/>
    <w:rsid w:val="00184168"/>
    <w:rsid w:val="00184FBE"/>
    <w:rsid w:val="00186CDB"/>
    <w:rsid w:val="001871A3"/>
    <w:rsid w:val="00190B13"/>
    <w:rsid w:val="001919E5"/>
    <w:rsid w:val="0019289E"/>
    <w:rsid w:val="00194D58"/>
    <w:rsid w:val="001A0115"/>
    <w:rsid w:val="001A09CC"/>
    <w:rsid w:val="001A1B66"/>
    <w:rsid w:val="001A3801"/>
    <w:rsid w:val="001A75C8"/>
    <w:rsid w:val="001B2798"/>
    <w:rsid w:val="001B7D60"/>
    <w:rsid w:val="001C0B9F"/>
    <w:rsid w:val="001C1A48"/>
    <w:rsid w:val="001C1CE5"/>
    <w:rsid w:val="001C3607"/>
    <w:rsid w:val="001C5284"/>
    <w:rsid w:val="001C5AAB"/>
    <w:rsid w:val="001C61F8"/>
    <w:rsid w:val="001C634F"/>
    <w:rsid w:val="001C6D94"/>
    <w:rsid w:val="001C7155"/>
    <w:rsid w:val="001C7701"/>
    <w:rsid w:val="001D114D"/>
    <w:rsid w:val="001D2229"/>
    <w:rsid w:val="001D2280"/>
    <w:rsid w:val="001D49E1"/>
    <w:rsid w:val="001D7A3A"/>
    <w:rsid w:val="001E0956"/>
    <w:rsid w:val="001E25D0"/>
    <w:rsid w:val="001E45B4"/>
    <w:rsid w:val="001E46E7"/>
    <w:rsid w:val="001E4C86"/>
    <w:rsid w:val="001F0CB1"/>
    <w:rsid w:val="001F113B"/>
    <w:rsid w:val="001F24D6"/>
    <w:rsid w:val="001F2871"/>
    <w:rsid w:val="001F2D39"/>
    <w:rsid w:val="001F38D9"/>
    <w:rsid w:val="001F56F8"/>
    <w:rsid w:val="001F581C"/>
    <w:rsid w:val="001F606E"/>
    <w:rsid w:val="001F7B17"/>
    <w:rsid w:val="00202093"/>
    <w:rsid w:val="00205D36"/>
    <w:rsid w:val="00205FDE"/>
    <w:rsid w:val="00207E44"/>
    <w:rsid w:val="00212E0D"/>
    <w:rsid w:val="00213EDF"/>
    <w:rsid w:val="002151C2"/>
    <w:rsid w:val="002172F0"/>
    <w:rsid w:val="0022011B"/>
    <w:rsid w:val="00220CC8"/>
    <w:rsid w:val="00223EAD"/>
    <w:rsid w:val="002256FC"/>
    <w:rsid w:val="00227D72"/>
    <w:rsid w:val="00230D58"/>
    <w:rsid w:val="00232475"/>
    <w:rsid w:val="00232CA4"/>
    <w:rsid w:val="0023316D"/>
    <w:rsid w:val="002356E9"/>
    <w:rsid w:val="00235B65"/>
    <w:rsid w:val="00240E5A"/>
    <w:rsid w:val="002431C2"/>
    <w:rsid w:val="0024423C"/>
    <w:rsid w:val="00244B17"/>
    <w:rsid w:val="00246B21"/>
    <w:rsid w:val="00250B37"/>
    <w:rsid w:val="00253ACD"/>
    <w:rsid w:val="00254978"/>
    <w:rsid w:val="00254B91"/>
    <w:rsid w:val="0025534C"/>
    <w:rsid w:val="00255384"/>
    <w:rsid w:val="00255C7A"/>
    <w:rsid w:val="0026078C"/>
    <w:rsid w:val="00262F7E"/>
    <w:rsid w:val="00263671"/>
    <w:rsid w:val="002645CD"/>
    <w:rsid w:val="002742D9"/>
    <w:rsid w:val="00275CED"/>
    <w:rsid w:val="0027651F"/>
    <w:rsid w:val="00276A33"/>
    <w:rsid w:val="002778B1"/>
    <w:rsid w:val="002803BA"/>
    <w:rsid w:val="00285267"/>
    <w:rsid w:val="00286CBF"/>
    <w:rsid w:val="0029070D"/>
    <w:rsid w:val="00290F61"/>
    <w:rsid w:val="00291DA4"/>
    <w:rsid w:val="00296463"/>
    <w:rsid w:val="00296844"/>
    <w:rsid w:val="00296C7A"/>
    <w:rsid w:val="002A0CF0"/>
    <w:rsid w:val="002A0DCE"/>
    <w:rsid w:val="002A1C82"/>
    <w:rsid w:val="002A3735"/>
    <w:rsid w:val="002A764D"/>
    <w:rsid w:val="002A7C93"/>
    <w:rsid w:val="002B00A3"/>
    <w:rsid w:val="002B043F"/>
    <w:rsid w:val="002B176F"/>
    <w:rsid w:val="002B259D"/>
    <w:rsid w:val="002B42D1"/>
    <w:rsid w:val="002B5842"/>
    <w:rsid w:val="002C3835"/>
    <w:rsid w:val="002C5215"/>
    <w:rsid w:val="002C5D5D"/>
    <w:rsid w:val="002C72EA"/>
    <w:rsid w:val="002D1D3C"/>
    <w:rsid w:val="002D2A2D"/>
    <w:rsid w:val="002D3EC3"/>
    <w:rsid w:val="002D4D22"/>
    <w:rsid w:val="002D4E5D"/>
    <w:rsid w:val="002D5273"/>
    <w:rsid w:val="002D6BF0"/>
    <w:rsid w:val="002E538D"/>
    <w:rsid w:val="002E6004"/>
    <w:rsid w:val="002E6027"/>
    <w:rsid w:val="002F0648"/>
    <w:rsid w:val="002F2582"/>
    <w:rsid w:val="002F48DF"/>
    <w:rsid w:val="002F4D18"/>
    <w:rsid w:val="002F4DB1"/>
    <w:rsid w:val="002F5E0F"/>
    <w:rsid w:val="002F6905"/>
    <w:rsid w:val="002F6EF5"/>
    <w:rsid w:val="0030097D"/>
    <w:rsid w:val="00301BA5"/>
    <w:rsid w:val="00302BD3"/>
    <w:rsid w:val="00304B66"/>
    <w:rsid w:val="003072C4"/>
    <w:rsid w:val="00311E1F"/>
    <w:rsid w:val="0031257F"/>
    <w:rsid w:val="0031322C"/>
    <w:rsid w:val="00315428"/>
    <w:rsid w:val="00315C58"/>
    <w:rsid w:val="00317165"/>
    <w:rsid w:val="0032004C"/>
    <w:rsid w:val="003201A3"/>
    <w:rsid w:val="003215FF"/>
    <w:rsid w:val="003220AC"/>
    <w:rsid w:val="003220CF"/>
    <w:rsid w:val="003235A9"/>
    <w:rsid w:val="00323C42"/>
    <w:rsid w:val="00323D9E"/>
    <w:rsid w:val="00324468"/>
    <w:rsid w:val="00325F2E"/>
    <w:rsid w:val="003312A8"/>
    <w:rsid w:val="00331A03"/>
    <w:rsid w:val="00333AC4"/>
    <w:rsid w:val="00334697"/>
    <w:rsid w:val="00341D3B"/>
    <w:rsid w:val="00342285"/>
    <w:rsid w:val="00342435"/>
    <w:rsid w:val="003424BC"/>
    <w:rsid w:val="00343137"/>
    <w:rsid w:val="003454B0"/>
    <w:rsid w:val="0035287C"/>
    <w:rsid w:val="0035403D"/>
    <w:rsid w:val="00356494"/>
    <w:rsid w:val="0035687A"/>
    <w:rsid w:val="00361E98"/>
    <w:rsid w:val="00362056"/>
    <w:rsid w:val="00363530"/>
    <w:rsid w:val="00364C56"/>
    <w:rsid w:val="00365C48"/>
    <w:rsid w:val="003664F4"/>
    <w:rsid w:val="00367C59"/>
    <w:rsid w:val="00371983"/>
    <w:rsid w:val="0037217C"/>
    <w:rsid w:val="00374340"/>
    <w:rsid w:val="00376110"/>
    <w:rsid w:val="0037711E"/>
    <w:rsid w:val="003772C0"/>
    <w:rsid w:val="0038217F"/>
    <w:rsid w:val="0038225D"/>
    <w:rsid w:val="003829FE"/>
    <w:rsid w:val="003839E7"/>
    <w:rsid w:val="00383B9E"/>
    <w:rsid w:val="003842FA"/>
    <w:rsid w:val="00385B90"/>
    <w:rsid w:val="00387E6D"/>
    <w:rsid w:val="00390909"/>
    <w:rsid w:val="00391D42"/>
    <w:rsid w:val="00391F45"/>
    <w:rsid w:val="00392D85"/>
    <w:rsid w:val="00393165"/>
    <w:rsid w:val="00395389"/>
    <w:rsid w:val="003953D8"/>
    <w:rsid w:val="00395916"/>
    <w:rsid w:val="003962FC"/>
    <w:rsid w:val="00396F30"/>
    <w:rsid w:val="00397AAD"/>
    <w:rsid w:val="003A16CA"/>
    <w:rsid w:val="003A4CA7"/>
    <w:rsid w:val="003A53E3"/>
    <w:rsid w:val="003A57A7"/>
    <w:rsid w:val="003A7CDE"/>
    <w:rsid w:val="003B0369"/>
    <w:rsid w:val="003B063E"/>
    <w:rsid w:val="003B3AE8"/>
    <w:rsid w:val="003B42BE"/>
    <w:rsid w:val="003B45E7"/>
    <w:rsid w:val="003B4994"/>
    <w:rsid w:val="003B63CA"/>
    <w:rsid w:val="003C0B7C"/>
    <w:rsid w:val="003C0BC5"/>
    <w:rsid w:val="003C1B8A"/>
    <w:rsid w:val="003C2906"/>
    <w:rsid w:val="003C2BFD"/>
    <w:rsid w:val="003C508B"/>
    <w:rsid w:val="003C50FC"/>
    <w:rsid w:val="003C5557"/>
    <w:rsid w:val="003D0784"/>
    <w:rsid w:val="003D0B64"/>
    <w:rsid w:val="003D3FFF"/>
    <w:rsid w:val="003D4449"/>
    <w:rsid w:val="003D57D5"/>
    <w:rsid w:val="003D5986"/>
    <w:rsid w:val="003D6D40"/>
    <w:rsid w:val="003D7AE8"/>
    <w:rsid w:val="003E13EF"/>
    <w:rsid w:val="003E1F5D"/>
    <w:rsid w:val="003E1FC0"/>
    <w:rsid w:val="003E340B"/>
    <w:rsid w:val="003E3D9F"/>
    <w:rsid w:val="003E5245"/>
    <w:rsid w:val="003E58D9"/>
    <w:rsid w:val="003E5E58"/>
    <w:rsid w:val="003E6612"/>
    <w:rsid w:val="003E7EC8"/>
    <w:rsid w:val="003F0F6C"/>
    <w:rsid w:val="003F1960"/>
    <w:rsid w:val="003F3073"/>
    <w:rsid w:val="003F32A7"/>
    <w:rsid w:val="003F51AF"/>
    <w:rsid w:val="003F736D"/>
    <w:rsid w:val="003F7860"/>
    <w:rsid w:val="004008B3"/>
    <w:rsid w:val="00403833"/>
    <w:rsid w:val="004042BC"/>
    <w:rsid w:val="00405A83"/>
    <w:rsid w:val="00406720"/>
    <w:rsid w:val="00406A29"/>
    <w:rsid w:val="00407360"/>
    <w:rsid w:val="00407F14"/>
    <w:rsid w:val="004102C5"/>
    <w:rsid w:val="004132A7"/>
    <w:rsid w:val="004147B7"/>
    <w:rsid w:val="004149E7"/>
    <w:rsid w:val="00414BBD"/>
    <w:rsid w:val="00415A0B"/>
    <w:rsid w:val="00416094"/>
    <w:rsid w:val="00416E06"/>
    <w:rsid w:val="00417541"/>
    <w:rsid w:val="00421643"/>
    <w:rsid w:val="0042463C"/>
    <w:rsid w:val="00424C42"/>
    <w:rsid w:val="00424EFE"/>
    <w:rsid w:val="00426C1F"/>
    <w:rsid w:val="004301C6"/>
    <w:rsid w:val="00430849"/>
    <w:rsid w:val="004308CC"/>
    <w:rsid w:val="0043090E"/>
    <w:rsid w:val="00431FDB"/>
    <w:rsid w:val="00437B23"/>
    <w:rsid w:val="004403B7"/>
    <w:rsid w:val="004428A8"/>
    <w:rsid w:val="00444516"/>
    <w:rsid w:val="00446B99"/>
    <w:rsid w:val="004470B3"/>
    <w:rsid w:val="00447B00"/>
    <w:rsid w:val="004524F0"/>
    <w:rsid w:val="0045297C"/>
    <w:rsid w:val="00453B65"/>
    <w:rsid w:val="00454614"/>
    <w:rsid w:val="00456E6A"/>
    <w:rsid w:val="00462491"/>
    <w:rsid w:val="00466338"/>
    <w:rsid w:val="00467182"/>
    <w:rsid w:val="004720C1"/>
    <w:rsid w:val="00472283"/>
    <w:rsid w:val="00475963"/>
    <w:rsid w:val="004764B4"/>
    <w:rsid w:val="00481212"/>
    <w:rsid w:val="004819E2"/>
    <w:rsid w:val="004825E0"/>
    <w:rsid w:val="004836FF"/>
    <w:rsid w:val="004858DE"/>
    <w:rsid w:val="004863FE"/>
    <w:rsid w:val="00486664"/>
    <w:rsid w:val="00490517"/>
    <w:rsid w:val="00491AFD"/>
    <w:rsid w:val="004934C8"/>
    <w:rsid w:val="004A35A3"/>
    <w:rsid w:val="004A561F"/>
    <w:rsid w:val="004A63BF"/>
    <w:rsid w:val="004B008D"/>
    <w:rsid w:val="004B00F3"/>
    <w:rsid w:val="004B068F"/>
    <w:rsid w:val="004B740B"/>
    <w:rsid w:val="004C1199"/>
    <w:rsid w:val="004C1630"/>
    <w:rsid w:val="004C1F58"/>
    <w:rsid w:val="004C228A"/>
    <w:rsid w:val="004C270C"/>
    <w:rsid w:val="004C48E9"/>
    <w:rsid w:val="004C5F9F"/>
    <w:rsid w:val="004D11F3"/>
    <w:rsid w:val="004D1FA7"/>
    <w:rsid w:val="004D2B9E"/>
    <w:rsid w:val="004D53FC"/>
    <w:rsid w:val="004D6A3C"/>
    <w:rsid w:val="004D7171"/>
    <w:rsid w:val="004D7379"/>
    <w:rsid w:val="004E0678"/>
    <w:rsid w:val="004E25A7"/>
    <w:rsid w:val="004E3DA7"/>
    <w:rsid w:val="004E42F2"/>
    <w:rsid w:val="004E51FB"/>
    <w:rsid w:val="004E794E"/>
    <w:rsid w:val="004F0BF6"/>
    <w:rsid w:val="004F53CF"/>
    <w:rsid w:val="00502141"/>
    <w:rsid w:val="00502E87"/>
    <w:rsid w:val="005032E4"/>
    <w:rsid w:val="0050344B"/>
    <w:rsid w:val="00503A10"/>
    <w:rsid w:val="00504112"/>
    <w:rsid w:val="00504985"/>
    <w:rsid w:val="00504EDB"/>
    <w:rsid w:val="0051095C"/>
    <w:rsid w:val="00512A68"/>
    <w:rsid w:val="00514E6A"/>
    <w:rsid w:val="00515C61"/>
    <w:rsid w:val="00515EA5"/>
    <w:rsid w:val="005178B8"/>
    <w:rsid w:val="00521BA8"/>
    <w:rsid w:val="00521CA4"/>
    <w:rsid w:val="00525005"/>
    <w:rsid w:val="00525630"/>
    <w:rsid w:val="00526473"/>
    <w:rsid w:val="00526CA8"/>
    <w:rsid w:val="005278A8"/>
    <w:rsid w:val="0053055F"/>
    <w:rsid w:val="005313F9"/>
    <w:rsid w:val="00531BF7"/>
    <w:rsid w:val="0053231B"/>
    <w:rsid w:val="0053231E"/>
    <w:rsid w:val="0053271A"/>
    <w:rsid w:val="0053386B"/>
    <w:rsid w:val="00535783"/>
    <w:rsid w:val="005372C1"/>
    <w:rsid w:val="00537BD4"/>
    <w:rsid w:val="005406C6"/>
    <w:rsid w:val="0054291A"/>
    <w:rsid w:val="00544C52"/>
    <w:rsid w:val="0054619C"/>
    <w:rsid w:val="005502DD"/>
    <w:rsid w:val="00551FB2"/>
    <w:rsid w:val="005532BE"/>
    <w:rsid w:val="00553CE7"/>
    <w:rsid w:val="005546F8"/>
    <w:rsid w:val="00554D39"/>
    <w:rsid w:val="0055675F"/>
    <w:rsid w:val="005567FD"/>
    <w:rsid w:val="00556D26"/>
    <w:rsid w:val="00561466"/>
    <w:rsid w:val="0056175F"/>
    <w:rsid w:val="00563E08"/>
    <w:rsid w:val="00566235"/>
    <w:rsid w:val="00567BB8"/>
    <w:rsid w:val="005714A2"/>
    <w:rsid w:val="00576D45"/>
    <w:rsid w:val="00581109"/>
    <w:rsid w:val="005811C9"/>
    <w:rsid w:val="005828EE"/>
    <w:rsid w:val="00585CB7"/>
    <w:rsid w:val="0058778D"/>
    <w:rsid w:val="00590DF4"/>
    <w:rsid w:val="0059239E"/>
    <w:rsid w:val="005930CD"/>
    <w:rsid w:val="00593612"/>
    <w:rsid w:val="00595611"/>
    <w:rsid w:val="005968AC"/>
    <w:rsid w:val="005A0BE1"/>
    <w:rsid w:val="005A143B"/>
    <w:rsid w:val="005A2FAD"/>
    <w:rsid w:val="005A3FCA"/>
    <w:rsid w:val="005A44A2"/>
    <w:rsid w:val="005A653A"/>
    <w:rsid w:val="005A7FC1"/>
    <w:rsid w:val="005B0440"/>
    <w:rsid w:val="005B3A77"/>
    <w:rsid w:val="005C2D79"/>
    <w:rsid w:val="005C443B"/>
    <w:rsid w:val="005C4AA7"/>
    <w:rsid w:val="005C5EAE"/>
    <w:rsid w:val="005D0865"/>
    <w:rsid w:val="005D118D"/>
    <w:rsid w:val="005D2C2B"/>
    <w:rsid w:val="005D3B5C"/>
    <w:rsid w:val="005D4BFA"/>
    <w:rsid w:val="005D770F"/>
    <w:rsid w:val="005D7B84"/>
    <w:rsid w:val="005E7DC9"/>
    <w:rsid w:val="005F0C90"/>
    <w:rsid w:val="005F13BE"/>
    <w:rsid w:val="005F3B9D"/>
    <w:rsid w:val="005F45F2"/>
    <w:rsid w:val="005F6348"/>
    <w:rsid w:val="005F6C7B"/>
    <w:rsid w:val="006005CB"/>
    <w:rsid w:val="00601BDD"/>
    <w:rsid w:val="00602D8C"/>
    <w:rsid w:val="006057E4"/>
    <w:rsid w:val="00607BB7"/>
    <w:rsid w:val="00607CB2"/>
    <w:rsid w:val="00612786"/>
    <w:rsid w:val="00612B26"/>
    <w:rsid w:val="00614DB2"/>
    <w:rsid w:val="0061671B"/>
    <w:rsid w:val="006178CE"/>
    <w:rsid w:val="00617E4A"/>
    <w:rsid w:val="006226D0"/>
    <w:rsid w:val="00625691"/>
    <w:rsid w:val="00625EA1"/>
    <w:rsid w:val="00625EBE"/>
    <w:rsid w:val="00626B68"/>
    <w:rsid w:val="006302F3"/>
    <w:rsid w:val="00632E44"/>
    <w:rsid w:val="0063346F"/>
    <w:rsid w:val="00634388"/>
    <w:rsid w:val="0063473D"/>
    <w:rsid w:val="006363C8"/>
    <w:rsid w:val="006378F5"/>
    <w:rsid w:val="00640ED0"/>
    <w:rsid w:val="00641A94"/>
    <w:rsid w:val="0064558F"/>
    <w:rsid w:val="006518D7"/>
    <w:rsid w:val="00653E85"/>
    <w:rsid w:val="0065584B"/>
    <w:rsid w:val="00657C6A"/>
    <w:rsid w:val="00662090"/>
    <w:rsid w:val="006620FD"/>
    <w:rsid w:val="006625E5"/>
    <w:rsid w:val="00663736"/>
    <w:rsid w:val="00663ADA"/>
    <w:rsid w:val="00664147"/>
    <w:rsid w:val="0066535F"/>
    <w:rsid w:val="00665E0C"/>
    <w:rsid w:val="00665F37"/>
    <w:rsid w:val="00667257"/>
    <w:rsid w:val="006679A6"/>
    <w:rsid w:val="00670FD9"/>
    <w:rsid w:val="00671428"/>
    <w:rsid w:val="006714AC"/>
    <w:rsid w:val="00672F87"/>
    <w:rsid w:val="00675372"/>
    <w:rsid w:val="00677F12"/>
    <w:rsid w:val="00680151"/>
    <w:rsid w:val="0068249D"/>
    <w:rsid w:val="0068377C"/>
    <w:rsid w:val="006838A4"/>
    <w:rsid w:val="00683C4B"/>
    <w:rsid w:val="00684268"/>
    <w:rsid w:val="0068434B"/>
    <w:rsid w:val="006852E2"/>
    <w:rsid w:val="006868F5"/>
    <w:rsid w:val="006917E5"/>
    <w:rsid w:val="00693D2D"/>
    <w:rsid w:val="00696565"/>
    <w:rsid w:val="00696CB2"/>
    <w:rsid w:val="00697015"/>
    <w:rsid w:val="00697E68"/>
    <w:rsid w:val="006A1A4E"/>
    <w:rsid w:val="006A3810"/>
    <w:rsid w:val="006A3B64"/>
    <w:rsid w:val="006A66F6"/>
    <w:rsid w:val="006B0446"/>
    <w:rsid w:val="006B146F"/>
    <w:rsid w:val="006B205A"/>
    <w:rsid w:val="006B33C9"/>
    <w:rsid w:val="006B3944"/>
    <w:rsid w:val="006B497E"/>
    <w:rsid w:val="006C4854"/>
    <w:rsid w:val="006C4AA5"/>
    <w:rsid w:val="006C58EC"/>
    <w:rsid w:val="006C6326"/>
    <w:rsid w:val="006D05E9"/>
    <w:rsid w:val="006D2607"/>
    <w:rsid w:val="006D4285"/>
    <w:rsid w:val="006D4780"/>
    <w:rsid w:val="006D4D9F"/>
    <w:rsid w:val="006D5028"/>
    <w:rsid w:val="006D5E91"/>
    <w:rsid w:val="006D5F3F"/>
    <w:rsid w:val="006D6100"/>
    <w:rsid w:val="006D6971"/>
    <w:rsid w:val="006D7922"/>
    <w:rsid w:val="006E36B0"/>
    <w:rsid w:val="006E7940"/>
    <w:rsid w:val="006F0096"/>
    <w:rsid w:val="006F0332"/>
    <w:rsid w:val="006F38C4"/>
    <w:rsid w:val="006F55A0"/>
    <w:rsid w:val="006F7195"/>
    <w:rsid w:val="006F78CE"/>
    <w:rsid w:val="006F7D98"/>
    <w:rsid w:val="007013C7"/>
    <w:rsid w:val="00703636"/>
    <w:rsid w:val="00703B21"/>
    <w:rsid w:val="00704708"/>
    <w:rsid w:val="00704AE9"/>
    <w:rsid w:val="007073CE"/>
    <w:rsid w:val="00711BBF"/>
    <w:rsid w:val="00711DD9"/>
    <w:rsid w:val="007133DD"/>
    <w:rsid w:val="00714A35"/>
    <w:rsid w:val="0071520C"/>
    <w:rsid w:val="00715834"/>
    <w:rsid w:val="00717950"/>
    <w:rsid w:val="00717F7B"/>
    <w:rsid w:val="00721B8F"/>
    <w:rsid w:val="00722644"/>
    <w:rsid w:val="00722F62"/>
    <w:rsid w:val="00724091"/>
    <w:rsid w:val="007256B4"/>
    <w:rsid w:val="00727708"/>
    <w:rsid w:val="00727823"/>
    <w:rsid w:val="00727A3B"/>
    <w:rsid w:val="0073024A"/>
    <w:rsid w:val="0073048B"/>
    <w:rsid w:val="00730CB7"/>
    <w:rsid w:val="00732D62"/>
    <w:rsid w:val="00732E24"/>
    <w:rsid w:val="00736448"/>
    <w:rsid w:val="00737314"/>
    <w:rsid w:val="00737B55"/>
    <w:rsid w:val="00740CF4"/>
    <w:rsid w:val="0074433C"/>
    <w:rsid w:val="0074459E"/>
    <w:rsid w:val="0074469F"/>
    <w:rsid w:val="00745C9C"/>
    <w:rsid w:val="00750677"/>
    <w:rsid w:val="007538B3"/>
    <w:rsid w:val="00753CBE"/>
    <w:rsid w:val="00756056"/>
    <w:rsid w:val="007568BB"/>
    <w:rsid w:val="00757017"/>
    <w:rsid w:val="007613BD"/>
    <w:rsid w:val="0077416B"/>
    <w:rsid w:val="0077439A"/>
    <w:rsid w:val="0077517F"/>
    <w:rsid w:val="007754D1"/>
    <w:rsid w:val="007757E6"/>
    <w:rsid w:val="007771AE"/>
    <w:rsid w:val="00781A4A"/>
    <w:rsid w:val="00782913"/>
    <w:rsid w:val="00782C67"/>
    <w:rsid w:val="0078452D"/>
    <w:rsid w:val="00784F7C"/>
    <w:rsid w:val="00785F9F"/>
    <w:rsid w:val="0078669F"/>
    <w:rsid w:val="007869E6"/>
    <w:rsid w:val="00787F4E"/>
    <w:rsid w:val="00790AFF"/>
    <w:rsid w:val="007911D4"/>
    <w:rsid w:val="00791861"/>
    <w:rsid w:val="00792CF6"/>
    <w:rsid w:val="00793126"/>
    <w:rsid w:val="0079386C"/>
    <w:rsid w:val="00794BDD"/>
    <w:rsid w:val="00795267"/>
    <w:rsid w:val="0079581A"/>
    <w:rsid w:val="0079633B"/>
    <w:rsid w:val="007A77CA"/>
    <w:rsid w:val="007A78F2"/>
    <w:rsid w:val="007B15CC"/>
    <w:rsid w:val="007B2622"/>
    <w:rsid w:val="007B51CB"/>
    <w:rsid w:val="007B7642"/>
    <w:rsid w:val="007C4924"/>
    <w:rsid w:val="007C496F"/>
    <w:rsid w:val="007C4F7D"/>
    <w:rsid w:val="007C55EC"/>
    <w:rsid w:val="007C5883"/>
    <w:rsid w:val="007C62EA"/>
    <w:rsid w:val="007D20AF"/>
    <w:rsid w:val="007D39E7"/>
    <w:rsid w:val="007D3CE0"/>
    <w:rsid w:val="007D4C32"/>
    <w:rsid w:val="007D5DA3"/>
    <w:rsid w:val="007D7239"/>
    <w:rsid w:val="007D7247"/>
    <w:rsid w:val="007D73CD"/>
    <w:rsid w:val="007E011F"/>
    <w:rsid w:val="007E11CF"/>
    <w:rsid w:val="007E1626"/>
    <w:rsid w:val="007E19CC"/>
    <w:rsid w:val="007E2C1C"/>
    <w:rsid w:val="007E3CA1"/>
    <w:rsid w:val="007E444A"/>
    <w:rsid w:val="007E7362"/>
    <w:rsid w:val="007E7393"/>
    <w:rsid w:val="007F0E6B"/>
    <w:rsid w:val="007F338C"/>
    <w:rsid w:val="007F4A81"/>
    <w:rsid w:val="007F4BEE"/>
    <w:rsid w:val="008009AA"/>
    <w:rsid w:val="008014A3"/>
    <w:rsid w:val="00803E2C"/>
    <w:rsid w:val="008048F2"/>
    <w:rsid w:val="00812372"/>
    <w:rsid w:val="0081253A"/>
    <w:rsid w:val="00814A01"/>
    <w:rsid w:val="0081673F"/>
    <w:rsid w:val="00817114"/>
    <w:rsid w:val="00820F22"/>
    <w:rsid w:val="0082127C"/>
    <w:rsid w:val="00822015"/>
    <w:rsid w:val="00822C3C"/>
    <w:rsid w:val="00823594"/>
    <w:rsid w:val="00827D11"/>
    <w:rsid w:val="00831D54"/>
    <w:rsid w:val="00832BCC"/>
    <w:rsid w:val="008352F4"/>
    <w:rsid w:val="008353BB"/>
    <w:rsid w:val="008362B9"/>
    <w:rsid w:val="0083780C"/>
    <w:rsid w:val="008427C8"/>
    <w:rsid w:val="008431E0"/>
    <w:rsid w:val="00844127"/>
    <w:rsid w:val="008454DB"/>
    <w:rsid w:val="00847BF1"/>
    <w:rsid w:val="00852CE4"/>
    <w:rsid w:val="0085337E"/>
    <w:rsid w:val="0085352B"/>
    <w:rsid w:val="00855127"/>
    <w:rsid w:val="00856C28"/>
    <w:rsid w:val="00857792"/>
    <w:rsid w:val="008578CB"/>
    <w:rsid w:val="00860800"/>
    <w:rsid w:val="00861563"/>
    <w:rsid w:val="008618AC"/>
    <w:rsid w:val="008626AF"/>
    <w:rsid w:val="00864330"/>
    <w:rsid w:val="0086605A"/>
    <w:rsid w:val="00866B53"/>
    <w:rsid w:val="0087092D"/>
    <w:rsid w:val="00871817"/>
    <w:rsid w:val="00872E93"/>
    <w:rsid w:val="00873226"/>
    <w:rsid w:val="008735DE"/>
    <w:rsid w:val="00876DAB"/>
    <w:rsid w:val="008803A4"/>
    <w:rsid w:val="00880D1C"/>
    <w:rsid w:val="00880EF6"/>
    <w:rsid w:val="00883E08"/>
    <w:rsid w:val="008852D3"/>
    <w:rsid w:val="00886613"/>
    <w:rsid w:val="0089196C"/>
    <w:rsid w:val="0089261E"/>
    <w:rsid w:val="0089343C"/>
    <w:rsid w:val="008944FF"/>
    <w:rsid w:val="008947B7"/>
    <w:rsid w:val="0089565C"/>
    <w:rsid w:val="00895753"/>
    <w:rsid w:val="008967EB"/>
    <w:rsid w:val="00896C4D"/>
    <w:rsid w:val="00897588"/>
    <w:rsid w:val="008A30DB"/>
    <w:rsid w:val="008A3C26"/>
    <w:rsid w:val="008A45AF"/>
    <w:rsid w:val="008A6B05"/>
    <w:rsid w:val="008B108E"/>
    <w:rsid w:val="008B27D2"/>
    <w:rsid w:val="008B2D00"/>
    <w:rsid w:val="008B3B27"/>
    <w:rsid w:val="008B54EA"/>
    <w:rsid w:val="008B5906"/>
    <w:rsid w:val="008B5EDB"/>
    <w:rsid w:val="008B7CD2"/>
    <w:rsid w:val="008C1355"/>
    <w:rsid w:val="008C25BC"/>
    <w:rsid w:val="008C38EB"/>
    <w:rsid w:val="008C4C8E"/>
    <w:rsid w:val="008C67C8"/>
    <w:rsid w:val="008C7F4E"/>
    <w:rsid w:val="008D0C4F"/>
    <w:rsid w:val="008D0D88"/>
    <w:rsid w:val="008D1DF2"/>
    <w:rsid w:val="008D25C8"/>
    <w:rsid w:val="008D58DD"/>
    <w:rsid w:val="008D692F"/>
    <w:rsid w:val="008D7137"/>
    <w:rsid w:val="008E0C6B"/>
    <w:rsid w:val="008E2937"/>
    <w:rsid w:val="008E5242"/>
    <w:rsid w:val="008E730D"/>
    <w:rsid w:val="008F0132"/>
    <w:rsid w:val="008F1D5E"/>
    <w:rsid w:val="008F3612"/>
    <w:rsid w:val="008F4F1A"/>
    <w:rsid w:val="008F5C77"/>
    <w:rsid w:val="008F764B"/>
    <w:rsid w:val="009011D3"/>
    <w:rsid w:val="00901B5B"/>
    <w:rsid w:val="009026AA"/>
    <w:rsid w:val="00902A0E"/>
    <w:rsid w:val="009030C4"/>
    <w:rsid w:val="009040C7"/>
    <w:rsid w:val="009055D9"/>
    <w:rsid w:val="00906A56"/>
    <w:rsid w:val="009101E4"/>
    <w:rsid w:val="00910351"/>
    <w:rsid w:val="00911B93"/>
    <w:rsid w:val="00912462"/>
    <w:rsid w:val="00912DB2"/>
    <w:rsid w:val="00913159"/>
    <w:rsid w:val="00914758"/>
    <w:rsid w:val="0091680F"/>
    <w:rsid w:val="00916ADF"/>
    <w:rsid w:val="009216A1"/>
    <w:rsid w:val="00921C5D"/>
    <w:rsid w:val="00923C6D"/>
    <w:rsid w:val="00925B5B"/>
    <w:rsid w:val="00933172"/>
    <w:rsid w:val="009338F7"/>
    <w:rsid w:val="00933CC8"/>
    <w:rsid w:val="009351E2"/>
    <w:rsid w:val="009379B3"/>
    <w:rsid w:val="00941295"/>
    <w:rsid w:val="00941A43"/>
    <w:rsid w:val="009434E7"/>
    <w:rsid w:val="00943D52"/>
    <w:rsid w:val="00944238"/>
    <w:rsid w:val="00946669"/>
    <w:rsid w:val="00950CF7"/>
    <w:rsid w:val="00952AFA"/>
    <w:rsid w:val="00954124"/>
    <w:rsid w:val="0095623A"/>
    <w:rsid w:val="009604E6"/>
    <w:rsid w:val="00962592"/>
    <w:rsid w:val="00963621"/>
    <w:rsid w:val="00972F65"/>
    <w:rsid w:val="009734D8"/>
    <w:rsid w:val="00973AFD"/>
    <w:rsid w:val="00974801"/>
    <w:rsid w:val="00975296"/>
    <w:rsid w:val="0097546D"/>
    <w:rsid w:val="00975D07"/>
    <w:rsid w:val="009766E3"/>
    <w:rsid w:val="00976EF4"/>
    <w:rsid w:val="00981AF2"/>
    <w:rsid w:val="00983329"/>
    <w:rsid w:val="00984AAA"/>
    <w:rsid w:val="00984D5C"/>
    <w:rsid w:val="00985E58"/>
    <w:rsid w:val="009872B1"/>
    <w:rsid w:val="00987351"/>
    <w:rsid w:val="00990BC4"/>
    <w:rsid w:val="009923F5"/>
    <w:rsid w:val="00992BC7"/>
    <w:rsid w:val="0099363D"/>
    <w:rsid w:val="00993AE1"/>
    <w:rsid w:val="00995BD6"/>
    <w:rsid w:val="009973AF"/>
    <w:rsid w:val="009A17DA"/>
    <w:rsid w:val="009A2CB3"/>
    <w:rsid w:val="009A66FB"/>
    <w:rsid w:val="009B0B3C"/>
    <w:rsid w:val="009B0BEC"/>
    <w:rsid w:val="009B0EE6"/>
    <w:rsid w:val="009B355A"/>
    <w:rsid w:val="009B3C85"/>
    <w:rsid w:val="009B5B1B"/>
    <w:rsid w:val="009B62BE"/>
    <w:rsid w:val="009C122B"/>
    <w:rsid w:val="009C2D7D"/>
    <w:rsid w:val="009C33B8"/>
    <w:rsid w:val="009C3BAA"/>
    <w:rsid w:val="009C3E9B"/>
    <w:rsid w:val="009C45AD"/>
    <w:rsid w:val="009D1D53"/>
    <w:rsid w:val="009D4055"/>
    <w:rsid w:val="009D4057"/>
    <w:rsid w:val="009D4B22"/>
    <w:rsid w:val="009D5BB1"/>
    <w:rsid w:val="009D5D00"/>
    <w:rsid w:val="009E1FA0"/>
    <w:rsid w:val="009E223F"/>
    <w:rsid w:val="009E29F2"/>
    <w:rsid w:val="009E50A5"/>
    <w:rsid w:val="009F0401"/>
    <w:rsid w:val="009F3AEA"/>
    <w:rsid w:val="009F50C0"/>
    <w:rsid w:val="009F6852"/>
    <w:rsid w:val="009F7A79"/>
    <w:rsid w:val="00A02B0C"/>
    <w:rsid w:val="00A04490"/>
    <w:rsid w:val="00A05222"/>
    <w:rsid w:val="00A078A4"/>
    <w:rsid w:val="00A137D6"/>
    <w:rsid w:val="00A165E0"/>
    <w:rsid w:val="00A21521"/>
    <w:rsid w:val="00A224D3"/>
    <w:rsid w:val="00A24C46"/>
    <w:rsid w:val="00A24C87"/>
    <w:rsid w:val="00A25BFF"/>
    <w:rsid w:val="00A26DFD"/>
    <w:rsid w:val="00A27F84"/>
    <w:rsid w:val="00A304B2"/>
    <w:rsid w:val="00A32154"/>
    <w:rsid w:val="00A32714"/>
    <w:rsid w:val="00A32883"/>
    <w:rsid w:val="00A356B8"/>
    <w:rsid w:val="00A40000"/>
    <w:rsid w:val="00A42D52"/>
    <w:rsid w:val="00A466D9"/>
    <w:rsid w:val="00A46F4B"/>
    <w:rsid w:val="00A474B5"/>
    <w:rsid w:val="00A479DA"/>
    <w:rsid w:val="00A501ED"/>
    <w:rsid w:val="00A5085A"/>
    <w:rsid w:val="00A51B77"/>
    <w:rsid w:val="00A51BD2"/>
    <w:rsid w:val="00A52C8C"/>
    <w:rsid w:val="00A53E85"/>
    <w:rsid w:val="00A55063"/>
    <w:rsid w:val="00A57E43"/>
    <w:rsid w:val="00A60270"/>
    <w:rsid w:val="00A60D5D"/>
    <w:rsid w:val="00A610B9"/>
    <w:rsid w:val="00A62AA2"/>
    <w:rsid w:val="00A63C6A"/>
    <w:rsid w:val="00A67AF4"/>
    <w:rsid w:val="00A70562"/>
    <w:rsid w:val="00A70AC5"/>
    <w:rsid w:val="00A73FD1"/>
    <w:rsid w:val="00A742E9"/>
    <w:rsid w:val="00A744BB"/>
    <w:rsid w:val="00A808ED"/>
    <w:rsid w:val="00A81C15"/>
    <w:rsid w:val="00A82E7C"/>
    <w:rsid w:val="00A838C1"/>
    <w:rsid w:val="00A83D8B"/>
    <w:rsid w:val="00A846C2"/>
    <w:rsid w:val="00A85BD0"/>
    <w:rsid w:val="00A876E6"/>
    <w:rsid w:val="00A913CB"/>
    <w:rsid w:val="00A92927"/>
    <w:rsid w:val="00A9341A"/>
    <w:rsid w:val="00A938EF"/>
    <w:rsid w:val="00A93CC4"/>
    <w:rsid w:val="00A9686D"/>
    <w:rsid w:val="00A97B24"/>
    <w:rsid w:val="00AA01FC"/>
    <w:rsid w:val="00AA0215"/>
    <w:rsid w:val="00AA09CF"/>
    <w:rsid w:val="00AA5B62"/>
    <w:rsid w:val="00AA6D17"/>
    <w:rsid w:val="00AA7233"/>
    <w:rsid w:val="00AB03FB"/>
    <w:rsid w:val="00AB15AF"/>
    <w:rsid w:val="00AB40C5"/>
    <w:rsid w:val="00AB48B2"/>
    <w:rsid w:val="00AB56C8"/>
    <w:rsid w:val="00AC1D67"/>
    <w:rsid w:val="00AC20C5"/>
    <w:rsid w:val="00AC21BC"/>
    <w:rsid w:val="00AC6724"/>
    <w:rsid w:val="00AC6A9E"/>
    <w:rsid w:val="00AC74CE"/>
    <w:rsid w:val="00AD014F"/>
    <w:rsid w:val="00AD042F"/>
    <w:rsid w:val="00AD0C41"/>
    <w:rsid w:val="00AD55E8"/>
    <w:rsid w:val="00AD662B"/>
    <w:rsid w:val="00AD7434"/>
    <w:rsid w:val="00AE07CE"/>
    <w:rsid w:val="00AE0A05"/>
    <w:rsid w:val="00AE4DDB"/>
    <w:rsid w:val="00AE5592"/>
    <w:rsid w:val="00AE67A8"/>
    <w:rsid w:val="00AF0A19"/>
    <w:rsid w:val="00AF1C6B"/>
    <w:rsid w:val="00AF73A1"/>
    <w:rsid w:val="00AF7489"/>
    <w:rsid w:val="00AF7843"/>
    <w:rsid w:val="00B010F4"/>
    <w:rsid w:val="00B019A5"/>
    <w:rsid w:val="00B01D62"/>
    <w:rsid w:val="00B01F3A"/>
    <w:rsid w:val="00B04791"/>
    <w:rsid w:val="00B050E3"/>
    <w:rsid w:val="00B067D5"/>
    <w:rsid w:val="00B07A3C"/>
    <w:rsid w:val="00B07ED2"/>
    <w:rsid w:val="00B11F43"/>
    <w:rsid w:val="00B13C6C"/>
    <w:rsid w:val="00B1468E"/>
    <w:rsid w:val="00B14AEE"/>
    <w:rsid w:val="00B16306"/>
    <w:rsid w:val="00B17ED6"/>
    <w:rsid w:val="00B20FA2"/>
    <w:rsid w:val="00B21A26"/>
    <w:rsid w:val="00B21CDF"/>
    <w:rsid w:val="00B2348F"/>
    <w:rsid w:val="00B23607"/>
    <w:rsid w:val="00B24374"/>
    <w:rsid w:val="00B2510F"/>
    <w:rsid w:val="00B263EC"/>
    <w:rsid w:val="00B268CD"/>
    <w:rsid w:val="00B270C8"/>
    <w:rsid w:val="00B27804"/>
    <w:rsid w:val="00B30B96"/>
    <w:rsid w:val="00B31EEA"/>
    <w:rsid w:val="00B32E97"/>
    <w:rsid w:val="00B34A5B"/>
    <w:rsid w:val="00B360D4"/>
    <w:rsid w:val="00B372C7"/>
    <w:rsid w:val="00B43E4D"/>
    <w:rsid w:val="00B50F98"/>
    <w:rsid w:val="00B516F2"/>
    <w:rsid w:val="00B529A6"/>
    <w:rsid w:val="00B540E2"/>
    <w:rsid w:val="00B54B71"/>
    <w:rsid w:val="00B61DF4"/>
    <w:rsid w:val="00B6239C"/>
    <w:rsid w:val="00B6255F"/>
    <w:rsid w:val="00B62A6B"/>
    <w:rsid w:val="00B62DE4"/>
    <w:rsid w:val="00B62DF9"/>
    <w:rsid w:val="00B63012"/>
    <w:rsid w:val="00B72665"/>
    <w:rsid w:val="00B73807"/>
    <w:rsid w:val="00B73F86"/>
    <w:rsid w:val="00B7562C"/>
    <w:rsid w:val="00B75D57"/>
    <w:rsid w:val="00B7675F"/>
    <w:rsid w:val="00B8004A"/>
    <w:rsid w:val="00B80FC2"/>
    <w:rsid w:val="00B83DB7"/>
    <w:rsid w:val="00B85592"/>
    <w:rsid w:val="00B856B5"/>
    <w:rsid w:val="00B861AC"/>
    <w:rsid w:val="00B87A25"/>
    <w:rsid w:val="00B87B44"/>
    <w:rsid w:val="00B925FE"/>
    <w:rsid w:val="00B9300C"/>
    <w:rsid w:val="00B94212"/>
    <w:rsid w:val="00B94C80"/>
    <w:rsid w:val="00B94D89"/>
    <w:rsid w:val="00B95403"/>
    <w:rsid w:val="00B9582F"/>
    <w:rsid w:val="00B96086"/>
    <w:rsid w:val="00B96D45"/>
    <w:rsid w:val="00BA29E5"/>
    <w:rsid w:val="00BA514A"/>
    <w:rsid w:val="00BA754F"/>
    <w:rsid w:val="00BA760B"/>
    <w:rsid w:val="00BB0111"/>
    <w:rsid w:val="00BB11D8"/>
    <w:rsid w:val="00BB2EE9"/>
    <w:rsid w:val="00BB557B"/>
    <w:rsid w:val="00BB565F"/>
    <w:rsid w:val="00BB5682"/>
    <w:rsid w:val="00BB6F7C"/>
    <w:rsid w:val="00BC59E7"/>
    <w:rsid w:val="00BD004A"/>
    <w:rsid w:val="00BD0264"/>
    <w:rsid w:val="00BD2386"/>
    <w:rsid w:val="00BD479A"/>
    <w:rsid w:val="00BD7D68"/>
    <w:rsid w:val="00BE1992"/>
    <w:rsid w:val="00BE19EB"/>
    <w:rsid w:val="00BE2C83"/>
    <w:rsid w:val="00BE5D31"/>
    <w:rsid w:val="00BE6D4E"/>
    <w:rsid w:val="00BE7CA8"/>
    <w:rsid w:val="00BF122F"/>
    <w:rsid w:val="00BF23D9"/>
    <w:rsid w:val="00BF3C58"/>
    <w:rsid w:val="00BF49C3"/>
    <w:rsid w:val="00BF6F5C"/>
    <w:rsid w:val="00BF7B04"/>
    <w:rsid w:val="00C00BBC"/>
    <w:rsid w:val="00C03D36"/>
    <w:rsid w:val="00C04D60"/>
    <w:rsid w:val="00C0563D"/>
    <w:rsid w:val="00C0704A"/>
    <w:rsid w:val="00C10267"/>
    <w:rsid w:val="00C12743"/>
    <w:rsid w:val="00C13672"/>
    <w:rsid w:val="00C138C9"/>
    <w:rsid w:val="00C140A8"/>
    <w:rsid w:val="00C140E8"/>
    <w:rsid w:val="00C21ED6"/>
    <w:rsid w:val="00C238DE"/>
    <w:rsid w:val="00C24D73"/>
    <w:rsid w:val="00C27089"/>
    <w:rsid w:val="00C273E8"/>
    <w:rsid w:val="00C27E65"/>
    <w:rsid w:val="00C31EC7"/>
    <w:rsid w:val="00C322EA"/>
    <w:rsid w:val="00C32871"/>
    <w:rsid w:val="00C33874"/>
    <w:rsid w:val="00C33E25"/>
    <w:rsid w:val="00C366B9"/>
    <w:rsid w:val="00C367AB"/>
    <w:rsid w:val="00C36B24"/>
    <w:rsid w:val="00C40133"/>
    <w:rsid w:val="00C42045"/>
    <w:rsid w:val="00C44EDB"/>
    <w:rsid w:val="00C457E3"/>
    <w:rsid w:val="00C45ABC"/>
    <w:rsid w:val="00C45E37"/>
    <w:rsid w:val="00C45E69"/>
    <w:rsid w:val="00C4693F"/>
    <w:rsid w:val="00C51718"/>
    <w:rsid w:val="00C523F7"/>
    <w:rsid w:val="00C54ACB"/>
    <w:rsid w:val="00C5725F"/>
    <w:rsid w:val="00C5751A"/>
    <w:rsid w:val="00C57ECC"/>
    <w:rsid w:val="00C61FFF"/>
    <w:rsid w:val="00C6213B"/>
    <w:rsid w:val="00C634F5"/>
    <w:rsid w:val="00C63D72"/>
    <w:rsid w:val="00C6598C"/>
    <w:rsid w:val="00C66A6E"/>
    <w:rsid w:val="00C66D1B"/>
    <w:rsid w:val="00C67851"/>
    <w:rsid w:val="00C7006E"/>
    <w:rsid w:val="00C710D1"/>
    <w:rsid w:val="00C74FFB"/>
    <w:rsid w:val="00C754F9"/>
    <w:rsid w:val="00C7722B"/>
    <w:rsid w:val="00C83A35"/>
    <w:rsid w:val="00C83C1F"/>
    <w:rsid w:val="00C87A3D"/>
    <w:rsid w:val="00C912AD"/>
    <w:rsid w:val="00C93885"/>
    <w:rsid w:val="00CA1024"/>
    <w:rsid w:val="00CA158F"/>
    <w:rsid w:val="00CA1DD1"/>
    <w:rsid w:val="00CA7E11"/>
    <w:rsid w:val="00CB0604"/>
    <w:rsid w:val="00CB0994"/>
    <w:rsid w:val="00CB0E9B"/>
    <w:rsid w:val="00CB1390"/>
    <w:rsid w:val="00CB3995"/>
    <w:rsid w:val="00CB556C"/>
    <w:rsid w:val="00CB5ABF"/>
    <w:rsid w:val="00CB6D62"/>
    <w:rsid w:val="00CB7C38"/>
    <w:rsid w:val="00CC15B3"/>
    <w:rsid w:val="00CC170C"/>
    <w:rsid w:val="00CC1994"/>
    <w:rsid w:val="00CC326A"/>
    <w:rsid w:val="00CC5F40"/>
    <w:rsid w:val="00CD0F0A"/>
    <w:rsid w:val="00CD172F"/>
    <w:rsid w:val="00CD1E1E"/>
    <w:rsid w:val="00CD1F3F"/>
    <w:rsid w:val="00CD1F4E"/>
    <w:rsid w:val="00CD2A08"/>
    <w:rsid w:val="00CE0E19"/>
    <w:rsid w:val="00CE2BA3"/>
    <w:rsid w:val="00CE3B7F"/>
    <w:rsid w:val="00CE6602"/>
    <w:rsid w:val="00CE6865"/>
    <w:rsid w:val="00CE703D"/>
    <w:rsid w:val="00CF0CA3"/>
    <w:rsid w:val="00CF1EDA"/>
    <w:rsid w:val="00CF2727"/>
    <w:rsid w:val="00CF4909"/>
    <w:rsid w:val="00CF5CC8"/>
    <w:rsid w:val="00CF64BE"/>
    <w:rsid w:val="00CF6892"/>
    <w:rsid w:val="00D01939"/>
    <w:rsid w:val="00D01BCF"/>
    <w:rsid w:val="00D0244A"/>
    <w:rsid w:val="00D04FA4"/>
    <w:rsid w:val="00D07A40"/>
    <w:rsid w:val="00D10740"/>
    <w:rsid w:val="00D168EA"/>
    <w:rsid w:val="00D213A1"/>
    <w:rsid w:val="00D21915"/>
    <w:rsid w:val="00D2265E"/>
    <w:rsid w:val="00D24673"/>
    <w:rsid w:val="00D27D66"/>
    <w:rsid w:val="00D30122"/>
    <w:rsid w:val="00D30FC7"/>
    <w:rsid w:val="00D30FF8"/>
    <w:rsid w:val="00D3178C"/>
    <w:rsid w:val="00D32B9E"/>
    <w:rsid w:val="00D341FE"/>
    <w:rsid w:val="00D35194"/>
    <w:rsid w:val="00D3659E"/>
    <w:rsid w:val="00D36C3C"/>
    <w:rsid w:val="00D36CC5"/>
    <w:rsid w:val="00D36F24"/>
    <w:rsid w:val="00D41213"/>
    <w:rsid w:val="00D41606"/>
    <w:rsid w:val="00D420DA"/>
    <w:rsid w:val="00D43F46"/>
    <w:rsid w:val="00D46168"/>
    <w:rsid w:val="00D470AF"/>
    <w:rsid w:val="00D4724B"/>
    <w:rsid w:val="00D4784A"/>
    <w:rsid w:val="00D47FB6"/>
    <w:rsid w:val="00D50C79"/>
    <w:rsid w:val="00D516CB"/>
    <w:rsid w:val="00D61E86"/>
    <w:rsid w:val="00D65E5D"/>
    <w:rsid w:val="00D662BD"/>
    <w:rsid w:val="00D66928"/>
    <w:rsid w:val="00D722D1"/>
    <w:rsid w:val="00D72EA9"/>
    <w:rsid w:val="00D7316E"/>
    <w:rsid w:val="00D755FA"/>
    <w:rsid w:val="00D77CF0"/>
    <w:rsid w:val="00D80D78"/>
    <w:rsid w:val="00D8299D"/>
    <w:rsid w:val="00D835B3"/>
    <w:rsid w:val="00D837CE"/>
    <w:rsid w:val="00D85A40"/>
    <w:rsid w:val="00D861BA"/>
    <w:rsid w:val="00D861E6"/>
    <w:rsid w:val="00D874AE"/>
    <w:rsid w:val="00D90A74"/>
    <w:rsid w:val="00D91126"/>
    <w:rsid w:val="00DA0904"/>
    <w:rsid w:val="00DA27A0"/>
    <w:rsid w:val="00DA3442"/>
    <w:rsid w:val="00DA4B42"/>
    <w:rsid w:val="00DA562C"/>
    <w:rsid w:val="00DA60DD"/>
    <w:rsid w:val="00DA66AD"/>
    <w:rsid w:val="00DA74E9"/>
    <w:rsid w:val="00DB03E0"/>
    <w:rsid w:val="00DB08FD"/>
    <w:rsid w:val="00DB54E9"/>
    <w:rsid w:val="00DB6B8E"/>
    <w:rsid w:val="00DB70CA"/>
    <w:rsid w:val="00DC186F"/>
    <w:rsid w:val="00DC25E0"/>
    <w:rsid w:val="00DC4BB4"/>
    <w:rsid w:val="00DC7634"/>
    <w:rsid w:val="00DC7C79"/>
    <w:rsid w:val="00DC7E48"/>
    <w:rsid w:val="00DD463B"/>
    <w:rsid w:val="00DD5D97"/>
    <w:rsid w:val="00DD619F"/>
    <w:rsid w:val="00DD79D4"/>
    <w:rsid w:val="00DE0308"/>
    <w:rsid w:val="00DE0571"/>
    <w:rsid w:val="00DE074E"/>
    <w:rsid w:val="00DE11F2"/>
    <w:rsid w:val="00DE27FA"/>
    <w:rsid w:val="00DE2D44"/>
    <w:rsid w:val="00DE3A62"/>
    <w:rsid w:val="00DE3FFC"/>
    <w:rsid w:val="00DE6713"/>
    <w:rsid w:val="00DE6CF0"/>
    <w:rsid w:val="00DF0331"/>
    <w:rsid w:val="00DF1F14"/>
    <w:rsid w:val="00DF2034"/>
    <w:rsid w:val="00DF22B7"/>
    <w:rsid w:val="00DF3043"/>
    <w:rsid w:val="00DF3DC2"/>
    <w:rsid w:val="00DF5AFF"/>
    <w:rsid w:val="00DF67F0"/>
    <w:rsid w:val="00DF6879"/>
    <w:rsid w:val="00DF73E9"/>
    <w:rsid w:val="00DF7436"/>
    <w:rsid w:val="00DF74D8"/>
    <w:rsid w:val="00E009B9"/>
    <w:rsid w:val="00E028A6"/>
    <w:rsid w:val="00E036CA"/>
    <w:rsid w:val="00E03E91"/>
    <w:rsid w:val="00E0448B"/>
    <w:rsid w:val="00E060C7"/>
    <w:rsid w:val="00E063E5"/>
    <w:rsid w:val="00E0707F"/>
    <w:rsid w:val="00E075F2"/>
    <w:rsid w:val="00E12037"/>
    <w:rsid w:val="00E15964"/>
    <w:rsid w:val="00E1762E"/>
    <w:rsid w:val="00E17CB4"/>
    <w:rsid w:val="00E23F87"/>
    <w:rsid w:val="00E24E34"/>
    <w:rsid w:val="00E27217"/>
    <w:rsid w:val="00E27C9B"/>
    <w:rsid w:val="00E318A2"/>
    <w:rsid w:val="00E32085"/>
    <w:rsid w:val="00E35E2B"/>
    <w:rsid w:val="00E36669"/>
    <w:rsid w:val="00E3689E"/>
    <w:rsid w:val="00E4042E"/>
    <w:rsid w:val="00E4281A"/>
    <w:rsid w:val="00E44D56"/>
    <w:rsid w:val="00E46FC8"/>
    <w:rsid w:val="00E50FC4"/>
    <w:rsid w:val="00E5101E"/>
    <w:rsid w:val="00E51996"/>
    <w:rsid w:val="00E52459"/>
    <w:rsid w:val="00E54DF8"/>
    <w:rsid w:val="00E60BAF"/>
    <w:rsid w:val="00E61C02"/>
    <w:rsid w:val="00E624C3"/>
    <w:rsid w:val="00E658AC"/>
    <w:rsid w:val="00E65C9C"/>
    <w:rsid w:val="00E663A0"/>
    <w:rsid w:val="00E71BF1"/>
    <w:rsid w:val="00E732AD"/>
    <w:rsid w:val="00E7431C"/>
    <w:rsid w:val="00E7491A"/>
    <w:rsid w:val="00E74C5C"/>
    <w:rsid w:val="00E74FB3"/>
    <w:rsid w:val="00E7506F"/>
    <w:rsid w:val="00E76BA8"/>
    <w:rsid w:val="00E773DB"/>
    <w:rsid w:val="00E82CC1"/>
    <w:rsid w:val="00E847A6"/>
    <w:rsid w:val="00E84B43"/>
    <w:rsid w:val="00E9037D"/>
    <w:rsid w:val="00E907FF"/>
    <w:rsid w:val="00E939D7"/>
    <w:rsid w:val="00E948EA"/>
    <w:rsid w:val="00E95BC8"/>
    <w:rsid w:val="00E96DD0"/>
    <w:rsid w:val="00E97DC7"/>
    <w:rsid w:val="00EA1490"/>
    <w:rsid w:val="00EA1657"/>
    <w:rsid w:val="00EA2984"/>
    <w:rsid w:val="00EA35C9"/>
    <w:rsid w:val="00EA42D8"/>
    <w:rsid w:val="00EA5359"/>
    <w:rsid w:val="00EA5FC8"/>
    <w:rsid w:val="00EA6F56"/>
    <w:rsid w:val="00EA7642"/>
    <w:rsid w:val="00EA7BC7"/>
    <w:rsid w:val="00EB188D"/>
    <w:rsid w:val="00EB2832"/>
    <w:rsid w:val="00EB38E0"/>
    <w:rsid w:val="00EB56AE"/>
    <w:rsid w:val="00EB5B81"/>
    <w:rsid w:val="00EB62C0"/>
    <w:rsid w:val="00EC3591"/>
    <w:rsid w:val="00EC43F0"/>
    <w:rsid w:val="00EC7995"/>
    <w:rsid w:val="00ED0F29"/>
    <w:rsid w:val="00ED3A72"/>
    <w:rsid w:val="00ED691E"/>
    <w:rsid w:val="00EE080F"/>
    <w:rsid w:val="00EE164A"/>
    <w:rsid w:val="00EE1EC5"/>
    <w:rsid w:val="00EE48A7"/>
    <w:rsid w:val="00EE4E5A"/>
    <w:rsid w:val="00EE52B0"/>
    <w:rsid w:val="00EE65C6"/>
    <w:rsid w:val="00EE6CAD"/>
    <w:rsid w:val="00EF0247"/>
    <w:rsid w:val="00EF11A5"/>
    <w:rsid w:val="00EF49E8"/>
    <w:rsid w:val="00EF4A05"/>
    <w:rsid w:val="00EF53D8"/>
    <w:rsid w:val="00EF6159"/>
    <w:rsid w:val="00EF6195"/>
    <w:rsid w:val="00EF6323"/>
    <w:rsid w:val="00F03022"/>
    <w:rsid w:val="00F034E7"/>
    <w:rsid w:val="00F05057"/>
    <w:rsid w:val="00F12F22"/>
    <w:rsid w:val="00F13DFF"/>
    <w:rsid w:val="00F15070"/>
    <w:rsid w:val="00F15D10"/>
    <w:rsid w:val="00F169BE"/>
    <w:rsid w:val="00F20623"/>
    <w:rsid w:val="00F23787"/>
    <w:rsid w:val="00F24882"/>
    <w:rsid w:val="00F27269"/>
    <w:rsid w:val="00F3195F"/>
    <w:rsid w:val="00F32CAA"/>
    <w:rsid w:val="00F32CB1"/>
    <w:rsid w:val="00F3310A"/>
    <w:rsid w:val="00F3559C"/>
    <w:rsid w:val="00F35FD4"/>
    <w:rsid w:val="00F36CD7"/>
    <w:rsid w:val="00F40B40"/>
    <w:rsid w:val="00F4320A"/>
    <w:rsid w:val="00F43A3C"/>
    <w:rsid w:val="00F44A34"/>
    <w:rsid w:val="00F4765D"/>
    <w:rsid w:val="00F5036B"/>
    <w:rsid w:val="00F50730"/>
    <w:rsid w:val="00F52231"/>
    <w:rsid w:val="00F5387A"/>
    <w:rsid w:val="00F54A26"/>
    <w:rsid w:val="00F54B01"/>
    <w:rsid w:val="00F56CDD"/>
    <w:rsid w:val="00F5726D"/>
    <w:rsid w:val="00F608BE"/>
    <w:rsid w:val="00F6469F"/>
    <w:rsid w:val="00F65571"/>
    <w:rsid w:val="00F670DD"/>
    <w:rsid w:val="00F6758C"/>
    <w:rsid w:val="00F747F0"/>
    <w:rsid w:val="00F7511C"/>
    <w:rsid w:val="00F7643A"/>
    <w:rsid w:val="00F77379"/>
    <w:rsid w:val="00F77382"/>
    <w:rsid w:val="00F8002F"/>
    <w:rsid w:val="00F80827"/>
    <w:rsid w:val="00F811F8"/>
    <w:rsid w:val="00F83900"/>
    <w:rsid w:val="00F84A00"/>
    <w:rsid w:val="00F84AE5"/>
    <w:rsid w:val="00F85144"/>
    <w:rsid w:val="00F87A91"/>
    <w:rsid w:val="00F9109E"/>
    <w:rsid w:val="00F9146F"/>
    <w:rsid w:val="00F94289"/>
    <w:rsid w:val="00F95C8F"/>
    <w:rsid w:val="00F97F7D"/>
    <w:rsid w:val="00FA1B2A"/>
    <w:rsid w:val="00FA31C8"/>
    <w:rsid w:val="00FA4451"/>
    <w:rsid w:val="00FA56F9"/>
    <w:rsid w:val="00FA7524"/>
    <w:rsid w:val="00FA7FB2"/>
    <w:rsid w:val="00FB7074"/>
    <w:rsid w:val="00FC1141"/>
    <w:rsid w:val="00FC1761"/>
    <w:rsid w:val="00FC252E"/>
    <w:rsid w:val="00FC38E1"/>
    <w:rsid w:val="00FC451F"/>
    <w:rsid w:val="00FC573A"/>
    <w:rsid w:val="00FC5C2B"/>
    <w:rsid w:val="00FC77D1"/>
    <w:rsid w:val="00FD0E76"/>
    <w:rsid w:val="00FD0E96"/>
    <w:rsid w:val="00FD2A21"/>
    <w:rsid w:val="00FD5670"/>
    <w:rsid w:val="00FD5F15"/>
    <w:rsid w:val="00FD6B02"/>
    <w:rsid w:val="00FE1814"/>
    <w:rsid w:val="00FE54EB"/>
    <w:rsid w:val="00FE5781"/>
    <w:rsid w:val="00FE6977"/>
    <w:rsid w:val="00FE6B4B"/>
    <w:rsid w:val="00FE6D61"/>
    <w:rsid w:val="00FF1AF1"/>
    <w:rsid w:val="00FF1CEB"/>
    <w:rsid w:val="00FF23BF"/>
    <w:rsid w:val="00FF2496"/>
    <w:rsid w:val="00FF3AE0"/>
    <w:rsid w:val="00FF40B9"/>
    <w:rsid w:val="00FF428A"/>
    <w:rsid w:val="00FF4777"/>
    <w:rsid w:val="00FF4898"/>
    <w:rsid w:val="00FF5C33"/>
    <w:rsid w:val="00FF636E"/>
    <w:rsid w:val="00FF656F"/>
    <w:rsid w:val="00FF673A"/>
    <w:rsid w:val="00FF7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20CCA"/>
  <w15:chartTrackingRefBased/>
  <w15:docId w15:val="{94B86C34-818A-4432-88E6-3AAA9E7E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1E2"/>
  </w:style>
  <w:style w:type="paragraph" w:styleId="1">
    <w:name w:val="heading 1"/>
    <w:aliases w:val="Capitole"/>
    <w:basedOn w:val="a"/>
    <w:next w:val="a"/>
    <w:link w:val="10"/>
    <w:uiPriority w:val="9"/>
    <w:qFormat/>
    <w:rsid w:val="009351E2"/>
    <w:pPr>
      <w:keepNext/>
      <w:keepLines/>
      <w:numPr>
        <w:numId w:val="1"/>
      </w:numPr>
      <w:spacing w:before="240" w:after="0" w:line="276" w:lineRule="auto"/>
      <w:jc w:val="center"/>
      <w:outlineLvl w:val="0"/>
    </w:pPr>
    <w:rPr>
      <w:rFonts w:ascii="Times New Roman" w:eastAsiaTheme="majorEastAsia" w:hAnsi="Times New Roman" w:cstheme="majorBidi"/>
      <w:b/>
      <w:sz w:val="32"/>
      <w:szCs w:val="32"/>
      <w:lang w:val="ro-MD"/>
    </w:rPr>
  </w:style>
  <w:style w:type="paragraph" w:styleId="2">
    <w:name w:val="heading 2"/>
    <w:aliases w:val="Subcapitole"/>
    <w:basedOn w:val="a"/>
    <w:next w:val="a"/>
    <w:link w:val="20"/>
    <w:uiPriority w:val="9"/>
    <w:unhideWhenUsed/>
    <w:qFormat/>
    <w:rsid w:val="00F13DF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DF67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autoRedefine/>
    <w:uiPriority w:val="9"/>
    <w:unhideWhenUsed/>
    <w:qFormat/>
    <w:rsid w:val="00DA74E9"/>
    <w:pPr>
      <w:keepNext/>
      <w:keepLines/>
      <w:shd w:val="clear" w:color="auto" w:fill="FFFFFF"/>
      <w:tabs>
        <w:tab w:val="left" w:pos="284"/>
      </w:tabs>
      <w:spacing w:after="0" w:line="276" w:lineRule="auto"/>
      <w:jc w:val="both"/>
      <w:outlineLvl w:val="3"/>
    </w:pPr>
    <w:rPr>
      <w:rFonts w:asciiTheme="majorHAnsi" w:hAnsiTheme="majorHAnsi" w:cstheme="majorHAnsi"/>
      <w:iCs/>
      <w:color w:val="333333"/>
      <w:sz w:val="18"/>
      <w:szCs w:val="18"/>
      <w:lang w:val="ro-MD"/>
    </w:rPr>
  </w:style>
  <w:style w:type="paragraph" w:styleId="5">
    <w:name w:val="heading 5"/>
    <w:basedOn w:val="a"/>
    <w:next w:val="a"/>
    <w:link w:val="50"/>
    <w:uiPriority w:val="9"/>
    <w:semiHidden/>
    <w:unhideWhenUsed/>
    <w:qFormat/>
    <w:rsid w:val="009351E2"/>
    <w:pPr>
      <w:keepNext/>
      <w:keepLines/>
      <w:numPr>
        <w:ilvl w:val="4"/>
        <w:numId w:val="1"/>
      </w:numPr>
      <w:spacing w:before="40" w:after="0" w:line="276" w:lineRule="auto"/>
      <w:jc w:val="both"/>
      <w:outlineLvl w:val="4"/>
    </w:pPr>
    <w:rPr>
      <w:rFonts w:asciiTheme="majorHAnsi" w:eastAsiaTheme="majorEastAsia" w:hAnsiTheme="majorHAnsi" w:cstheme="majorBidi"/>
      <w:color w:val="2E74B5" w:themeColor="accent1" w:themeShade="BF"/>
      <w:sz w:val="28"/>
      <w:lang w:val="ro-MD"/>
    </w:rPr>
  </w:style>
  <w:style w:type="paragraph" w:styleId="6">
    <w:name w:val="heading 6"/>
    <w:basedOn w:val="a"/>
    <w:next w:val="a"/>
    <w:link w:val="60"/>
    <w:uiPriority w:val="9"/>
    <w:semiHidden/>
    <w:unhideWhenUsed/>
    <w:qFormat/>
    <w:rsid w:val="009351E2"/>
    <w:pPr>
      <w:keepNext/>
      <w:keepLines/>
      <w:numPr>
        <w:ilvl w:val="5"/>
        <w:numId w:val="1"/>
      </w:numPr>
      <w:spacing w:before="40" w:after="0" w:line="276" w:lineRule="auto"/>
      <w:jc w:val="both"/>
      <w:outlineLvl w:val="5"/>
    </w:pPr>
    <w:rPr>
      <w:rFonts w:asciiTheme="majorHAnsi" w:eastAsiaTheme="majorEastAsia" w:hAnsiTheme="majorHAnsi" w:cstheme="majorBidi"/>
      <w:color w:val="1F4D78" w:themeColor="accent1" w:themeShade="7F"/>
      <w:sz w:val="28"/>
      <w:lang w:val="ro-MD"/>
    </w:rPr>
  </w:style>
  <w:style w:type="paragraph" w:styleId="7">
    <w:name w:val="heading 7"/>
    <w:basedOn w:val="a"/>
    <w:next w:val="a"/>
    <w:link w:val="70"/>
    <w:uiPriority w:val="9"/>
    <w:semiHidden/>
    <w:unhideWhenUsed/>
    <w:qFormat/>
    <w:rsid w:val="009351E2"/>
    <w:pPr>
      <w:keepNext/>
      <w:keepLines/>
      <w:numPr>
        <w:ilvl w:val="6"/>
        <w:numId w:val="1"/>
      </w:numPr>
      <w:spacing w:before="40" w:after="0" w:line="276" w:lineRule="auto"/>
      <w:jc w:val="both"/>
      <w:outlineLvl w:val="6"/>
    </w:pPr>
    <w:rPr>
      <w:rFonts w:asciiTheme="majorHAnsi" w:eastAsiaTheme="majorEastAsia" w:hAnsiTheme="majorHAnsi" w:cstheme="majorBidi"/>
      <w:i/>
      <w:iCs/>
      <w:color w:val="1F4D78" w:themeColor="accent1" w:themeShade="7F"/>
      <w:sz w:val="28"/>
      <w:lang w:val="ro-MD"/>
    </w:rPr>
  </w:style>
  <w:style w:type="paragraph" w:styleId="8">
    <w:name w:val="heading 8"/>
    <w:basedOn w:val="a"/>
    <w:next w:val="a"/>
    <w:link w:val="80"/>
    <w:uiPriority w:val="9"/>
    <w:semiHidden/>
    <w:unhideWhenUsed/>
    <w:qFormat/>
    <w:rsid w:val="009351E2"/>
    <w:pPr>
      <w:keepNext/>
      <w:keepLines/>
      <w:numPr>
        <w:ilvl w:val="7"/>
        <w:numId w:val="1"/>
      </w:numPr>
      <w:spacing w:before="40" w:after="0" w:line="276" w:lineRule="auto"/>
      <w:jc w:val="both"/>
      <w:outlineLvl w:val="7"/>
    </w:pPr>
    <w:rPr>
      <w:rFonts w:asciiTheme="majorHAnsi" w:eastAsiaTheme="majorEastAsia" w:hAnsiTheme="majorHAnsi" w:cstheme="majorBidi"/>
      <w:color w:val="272727" w:themeColor="text1" w:themeTint="D8"/>
      <w:sz w:val="21"/>
      <w:szCs w:val="21"/>
      <w:lang w:val="ro-MD"/>
    </w:rPr>
  </w:style>
  <w:style w:type="paragraph" w:styleId="9">
    <w:name w:val="heading 9"/>
    <w:basedOn w:val="a"/>
    <w:next w:val="a"/>
    <w:link w:val="90"/>
    <w:uiPriority w:val="9"/>
    <w:semiHidden/>
    <w:unhideWhenUsed/>
    <w:qFormat/>
    <w:rsid w:val="009351E2"/>
    <w:pPr>
      <w:keepNext/>
      <w:keepLines/>
      <w:numPr>
        <w:ilvl w:val="8"/>
        <w:numId w:val="1"/>
      </w:numPr>
      <w:spacing w:before="40" w:after="0" w:line="276" w:lineRule="auto"/>
      <w:jc w:val="both"/>
      <w:outlineLvl w:val="8"/>
    </w:pPr>
    <w:rPr>
      <w:rFonts w:asciiTheme="majorHAnsi" w:eastAsiaTheme="majorEastAsia" w:hAnsiTheme="majorHAnsi" w:cstheme="majorBidi"/>
      <w:i/>
      <w:iCs/>
      <w:color w:val="272727" w:themeColor="text1" w:themeTint="D8"/>
      <w:sz w:val="21"/>
      <w:szCs w:val="21"/>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Capitole Знак"/>
    <w:basedOn w:val="a0"/>
    <w:link w:val="1"/>
    <w:uiPriority w:val="9"/>
    <w:rsid w:val="009351E2"/>
    <w:rPr>
      <w:rFonts w:ascii="Times New Roman" w:eastAsiaTheme="majorEastAsia" w:hAnsi="Times New Roman" w:cstheme="majorBidi"/>
      <w:b/>
      <w:sz w:val="32"/>
      <w:szCs w:val="32"/>
      <w:lang w:val="ro-MD"/>
    </w:rPr>
  </w:style>
  <w:style w:type="character" w:customStyle="1" w:styleId="40">
    <w:name w:val="Заголовок 4 Знак"/>
    <w:basedOn w:val="a0"/>
    <w:link w:val="4"/>
    <w:uiPriority w:val="9"/>
    <w:rsid w:val="00DA74E9"/>
    <w:rPr>
      <w:rFonts w:asciiTheme="majorHAnsi" w:hAnsiTheme="majorHAnsi" w:cstheme="majorHAnsi"/>
      <w:iCs/>
      <w:color w:val="333333"/>
      <w:sz w:val="18"/>
      <w:szCs w:val="18"/>
      <w:shd w:val="clear" w:color="auto" w:fill="FFFFFF"/>
      <w:lang w:val="ro-MD"/>
    </w:rPr>
  </w:style>
  <w:style w:type="character" w:customStyle="1" w:styleId="50">
    <w:name w:val="Заголовок 5 Знак"/>
    <w:basedOn w:val="a0"/>
    <w:link w:val="5"/>
    <w:uiPriority w:val="9"/>
    <w:semiHidden/>
    <w:rsid w:val="009351E2"/>
    <w:rPr>
      <w:rFonts w:asciiTheme="majorHAnsi" w:eastAsiaTheme="majorEastAsia" w:hAnsiTheme="majorHAnsi" w:cstheme="majorBidi"/>
      <w:color w:val="2E74B5" w:themeColor="accent1" w:themeShade="BF"/>
      <w:sz w:val="28"/>
      <w:lang w:val="ro-MD"/>
    </w:rPr>
  </w:style>
  <w:style w:type="character" w:customStyle="1" w:styleId="60">
    <w:name w:val="Заголовок 6 Знак"/>
    <w:basedOn w:val="a0"/>
    <w:link w:val="6"/>
    <w:uiPriority w:val="9"/>
    <w:semiHidden/>
    <w:rsid w:val="009351E2"/>
    <w:rPr>
      <w:rFonts w:asciiTheme="majorHAnsi" w:eastAsiaTheme="majorEastAsia" w:hAnsiTheme="majorHAnsi" w:cstheme="majorBidi"/>
      <w:color w:val="1F4D78" w:themeColor="accent1" w:themeShade="7F"/>
      <w:sz w:val="28"/>
      <w:lang w:val="ro-MD"/>
    </w:rPr>
  </w:style>
  <w:style w:type="character" w:customStyle="1" w:styleId="70">
    <w:name w:val="Заголовок 7 Знак"/>
    <w:basedOn w:val="a0"/>
    <w:link w:val="7"/>
    <w:uiPriority w:val="9"/>
    <w:semiHidden/>
    <w:rsid w:val="009351E2"/>
    <w:rPr>
      <w:rFonts w:asciiTheme="majorHAnsi" w:eastAsiaTheme="majorEastAsia" w:hAnsiTheme="majorHAnsi" w:cstheme="majorBidi"/>
      <w:i/>
      <w:iCs/>
      <w:color w:val="1F4D78" w:themeColor="accent1" w:themeShade="7F"/>
      <w:sz w:val="28"/>
      <w:lang w:val="ro-MD"/>
    </w:rPr>
  </w:style>
  <w:style w:type="character" w:customStyle="1" w:styleId="80">
    <w:name w:val="Заголовок 8 Знак"/>
    <w:basedOn w:val="a0"/>
    <w:link w:val="8"/>
    <w:uiPriority w:val="9"/>
    <w:semiHidden/>
    <w:rsid w:val="009351E2"/>
    <w:rPr>
      <w:rFonts w:asciiTheme="majorHAnsi" w:eastAsiaTheme="majorEastAsia" w:hAnsiTheme="majorHAnsi" w:cstheme="majorBidi"/>
      <w:color w:val="272727" w:themeColor="text1" w:themeTint="D8"/>
      <w:sz w:val="21"/>
      <w:szCs w:val="21"/>
      <w:lang w:val="ro-MD"/>
    </w:rPr>
  </w:style>
  <w:style w:type="character" w:customStyle="1" w:styleId="90">
    <w:name w:val="Заголовок 9 Знак"/>
    <w:basedOn w:val="a0"/>
    <w:link w:val="9"/>
    <w:uiPriority w:val="9"/>
    <w:semiHidden/>
    <w:rsid w:val="009351E2"/>
    <w:rPr>
      <w:rFonts w:asciiTheme="majorHAnsi" w:eastAsiaTheme="majorEastAsia" w:hAnsiTheme="majorHAnsi" w:cstheme="majorBidi"/>
      <w:i/>
      <w:iCs/>
      <w:color w:val="272727" w:themeColor="text1" w:themeTint="D8"/>
      <w:sz w:val="21"/>
      <w:szCs w:val="21"/>
      <w:lang w:val="ro-MD"/>
    </w:rPr>
  </w:style>
  <w:style w:type="paragraph" w:styleId="a3">
    <w:name w:val="footnote text"/>
    <w:aliases w:val="Fußnote Char Char,Fußnote Char,Fußnote Char Car Char Char,Fußnote Char Car Char Char Char Char Char Char Char Char Char Char,Fußnote Char Car Char Char Char Char Char Char Char Char Char Char Char Char Char Char,single space,fn,FOOTNOTES,A"/>
    <w:basedOn w:val="a"/>
    <w:link w:val="a4"/>
    <w:uiPriority w:val="99"/>
    <w:unhideWhenUsed/>
    <w:qFormat/>
    <w:rsid w:val="009351E2"/>
    <w:pPr>
      <w:spacing w:after="0" w:line="240" w:lineRule="auto"/>
    </w:pPr>
    <w:rPr>
      <w:sz w:val="20"/>
      <w:szCs w:val="20"/>
    </w:rPr>
  </w:style>
  <w:style w:type="character" w:customStyle="1" w:styleId="a4">
    <w:name w:val="Текст сноски Знак"/>
    <w:aliases w:val="Fußnote Char Char Знак,Fußnote Char Знак,Fußnote Char Car Char Char Знак,Fußnote Char Car Char Char Char Char Char Char Char Char Char Char Знак,single space Знак,fn Знак,FOOTNOTES Знак,A Знак"/>
    <w:basedOn w:val="a0"/>
    <w:link w:val="a3"/>
    <w:uiPriority w:val="99"/>
    <w:rsid w:val="009351E2"/>
    <w:rPr>
      <w:sz w:val="20"/>
      <w:szCs w:val="20"/>
    </w:rPr>
  </w:style>
  <w:style w:type="character" w:styleId="a5">
    <w:name w:val="footnote reference"/>
    <w:aliases w:val="ftref,Times 10 Point,Exposant 3 Point,Footnote symbol,Footnote reference number,EN Footnote Reference,note TESI,16 Point,Superscript 6 Point,Footnote Text Char2,Char Char1,FOOTNOTES Char1,fn Char1,single space Char1,ft Char1,Ref,fr"/>
    <w:basedOn w:val="a0"/>
    <w:link w:val="FNRefeCharChar"/>
    <w:uiPriority w:val="99"/>
    <w:unhideWhenUsed/>
    <w:rsid w:val="009351E2"/>
    <w:rPr>
      <w:vertAlign w:val="superscript"/>
    </w:rPr>
  </w:style>
  <w:style w:type="paragraph" w:styleId="a6">
    <w:name w:val="Normal (Web)"/>
    <w:aliases w:val="Обычный (веб) Знак2,Обычный (веб) Знак1 Знак,Обычный (веб) Знак Знак Знак,Знак Знак Знак Знак,Знак Знак1 Знак,Обычный (веб) Знак Знак1,Знак Знак2,Текст сноски1,Текст сноски11,Текст сноски2,footnote text,Char1,A Знак Знак"/>
    <w:basedOn w:val="a"/>
    <w:link w:val="a7"/>
    <w:uiPriority w:val="99"/>
    <w:unhideWhenUsed/>
    <w:qFormat/>
    <w:rsid w:val="009351E2"/>
    <w:pPr>
      <w:spacing w:after="0" w:line="240" w:lineRule="auto"/>
      <w:ind w:firstLine="567"/>
      <w:jc w:val="both"/>
    </w:pPr>
    <w:rPr>
      <w:rFonts w:ascii="Times New Roman" w:eastAsia="Times New Roman" w:hAnsi="Times New Roman" w:cs="Times New Roman"/>
      <w:sz w:val="24"/>
      <w:szCs w:val="24"/>
    </w:rPr>
  </w:style>
  <w:style w:type="character" w:customStyle="1" w:styleId="a7">
    <w:name w:val="Обычный (веб) Знак"/>
    <w:aliases w:val="Обычный (веб) Знак2 Знак,Обычный (веб) Знак1 Знак Знак,Обычный (веб) Знак Знак Знак Знак,Знак Знак Знак Знак Знак,Знак Знак1 Знак Знак,Обычный (веб) Знак Знак1 Знак,Знак Знак2 Знак,Текст сноски1 Знак,Текст сноски11 Знак,Char1 Знак"/>
    <w:basedOn w:val="a0"/>
    <w:link w:val="a6"/>
    <w:uiPriority w:val="99"/>
    <w:rsid w:val="009351E2"/>
    <w:rPr>
      <w:rFonts w:ascii="Times New Roman" w:eastAsia="Times New Roman" w:hAnsi="Times New Roman" w:cs="Times New Roman"/>
      <w:sz w:val="24"/>
      <w:szCs w:val="24"/>
    </w:rPr>
  </w:style>
  <w:style w:type="paragraph" w:customStyle="1" w:styleId="FNRefeCharChar">
    <w:name w:val="FNRefe Char Char"/>
    <w:aliases w:val="BVI fnr Char Char, BVI fnr Char Char Char, BVI fnr Car Car Char Char Char,BVI fnr Car Char Char Char, BVI fnr Car Car Car Car Char Char Char Char Char,BVI fnr Char Char Char,BVI fnr Car Car Char Char Char"/>
    <w:basedOn w:val="a"/>
    <w:link w:val="a5"/>
    <w:uiPriority w:val="99"/>
    <w:qFormat/>
    <w:rsid w:val="009351E2"/>
    <w:pPr>
      <w:spacing w:line="240" w:lineRule="exact"/>
    </w:pPr>
    <w:rPr>
      <w:vertAlign w:val="superscript"/>
    </w:rPr>
  </w:style>
  <w:style w:type="paragraph" w:styleId="a8">
    <w:name w:val="No Spacing"/>
    <w:aliases w:val="Subsol,referinta"/>
    <w:link w:val="a9"/>
    <w:uiPriority w:val="1"/>
    <w:qFormat/>
    <w:rsid w:val="009351E2"/>
    <w:pPr>
      <w:widowControl w:val="0"/>
      <w:autoSpaceDE w:val="0"/>
      <w:autoSpaceDN w:val="0"/>
      <w:adjustRightInd w:val="0"/>
      <w:spacing w:after="0" w:line="240" w:lineRule="auto"/>
    </w:pPr>
    <w:rPr>
      <w:rFonts w:ascii="Arial" w:eastAsiaTheme="minorEastAsia" w:hAnsi="Arial" w:cs="Arial"/>
      <w:sz w:val="20"/>
      <w:szCs w:val="20"/>
    </w:rPr>
  </w:style>
  <w:style w:type="character" w:customStyle="1" w:styleId="LegturInternet">
    <w:name w:val="Legătură Internet"/>
    <w:basedOn w:val="a0"/>
    <w:rsid w:val="009351E2"/>
    <w:rPr>
      <w:color w:val="0563C1"/>
      <w:u w:val="single"/>
    </w:rPr>
  </w:style>
  <w:style w:type="table" w:styleId="-1">
    <w:name w:val="Grid Table 1 Light"/>
    <w:basedOn w:val="a1"/>
    <w:uiPriority w:val="46"/>
    <w:rsid w:val="009351E2"/>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a">
    <w:name w:val="List Paragraph"/>
    <w:aliases w:val="List Paragraph 1,Scriptoria bullet points,strikethrough,Абзац списка1,standaard met opsomming,HotarirePunct1,Bullets,References,Liste 1,List Paragraph nowy,Numbered List Paragraph,List Paragraph (numbered (a)),Dot pt,Paragraphe de liste2"/>
    <w:basedOn w:val="a"/>
    <w:link w:val="ab"/>
    <w:uiPriority w:val="34"/>
    <w:qFormat/>
    <w:rsid w:val="00504112"/>
    <w:pPr>
      <w:ind w:left="720"/>
      <w:contextualSpacing/>
    </w:pPr>
  </w:style>
  <w:style w:type="character" w:customStyle="1" w:styleId="ab">
    <w:name w:val="Абзац списка Знак"/>
    <w:aliases w:val="List Paragraph 1 Знак,Scriptoria bullet points Знак,strikethrough Знак,Абзац списка1 Знак,standaard met opsomming Знак,HotarirePunct1 Знак,Bullets Знак,References Знак,Liste 1 Знак,List Paragraph nowy Знак,Numbered List Paragraph Знак"/>
    <w:link w:val="aa"/>
    <w:uiPriority w:val="34"/>
    <w:locked/>
    <w:rsid w:val="00504112"/>
  </w:style>
  <w:style w:type="paragraph" w:styleId="ac">
    <w:name w:val="header"/>
    <w:basedOn w:val="a"/>
    <w:link w:val="ad"/>
    <w:uiPriority w:val="99"/>
    <w:unhideWhenUsed/>
    <w:rsid w:val="00D861BA"/>
    <w:pPr>
      <w:tabs>
        <w:tab w:val="center" w:pos="4844"/>
        <w:tab w:val="right" w:pos="9689"/>
      </w:tabs>
      <w:spacing w:after="0" w:line="240" w:lineRule="auto"/>
    </w:pPr>
  </w:style>
  <w:style w:type="character" w:customStyle="1" w:styleId="ad">
    <w:name w:val="Верхний колонтитул Знак"/>
    <w:basedOn w:val="a0"/>
    <w:link w:val="ac"/>
    <w:uiPriority w:val="99"/>
    <w:rsid w:val="00D861BA"/>
  </w:style>
  <w:style w:type="paragraph" w:styleId="ae">
    <w:name w:val="footer"/>
    <w:basedOn w:val="a"/>
    <w:link w:val="af"/>
    <w:uiPriority w:val="99"/>
    <w:unhideWhenUsed/>
    <w:rsid w:val="00D861BA"/>
    <w:pPr>
      <w:tabs>
        <w:tab w:val="center" w:pos="4844"/>
        <w:tab w:val="right" w:pos="9689"/>
      </w:tabs>
      <w:spacing w:after="0" w:line="240" w:lineRule="auto"/>
    </w:pPr>
  </w:style>
  <w:style w:type="character" w:customStyle="1" w:styleId="af">
    <w:name w:val="Нижний колонтитул Знак"/>
    <w:basedOn w:val="a0"/>
    <w:link w:val="ae"/>
    <w:uiPriority w:val="99"/>
    <w:rsid w:val="00D861BA"/>
  </w:style>
  <w:style w:type="character" w:customStyle="1" w:styleId="20">
    <w:name w:val="Заголовок 2 Знак"/>
    <w:aliases w:val="Subcapitole Знак"/>
    <w:basedOn w:val="a0"/>
    <w:link w:val="2"/>
    <w:uiPriority w:val="9"/>
    <w:rsid w:val="00F13DFF"/>
    <w:rPr>
      <w:rFonts w:asciiTheme="majorHAnsi" w:eastAsiaTheme="majorEastAsia" w:hAnsiTheme="majorHAnsi" w:cstheme="majorBidi"/>
      <w:color w:val="2E74B5" w:themeColor="accent1" w:themeShade="BF"/>
      <w:sz w:val="26"/>
      <w:szCs w:val="26"/>
    </w:rPr>
  </w:style>
  <w:style w:type="character" w:styleId="af0">
    <w:name w:val="Strong"/>
    <w:basedOn w:val="a0"/>
    <w:uiPriority w:val="22"/>
    <w:qFormat/>
    <w:rsid w:val="00F77379"/>
    <w:rPr>
      <w:b/>
      <w:bCs/>
    </w:rPr>
  </w:style>
  <w:style w:type="paragraph" w:customStyle="1" w:styleId="Default">
    <w:name w:val="Default"/>
    <w:rsid w:val="00F7737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t">
    <w:name w:val="tt"/>
    <w:basedOn w:val="a"/>
    <w:qFormat/>
    <w:rsid w:val="00C5751A"/>
    <w:pPr>
      <w:spacing w:after="0" w:line="240" w:lineRule="auto"/>
      <w:jc w:val="center"/>
    </w:pPr>
    <w:rPr>
      <w:rFonts w:ascii="Times New Roman" w:eastAsia="Times New Roman" w:hAnsi="Times New Roman" w:cs="Times New Roman"/>
      <w:b/>
      <w:bCs/>
      <w:sz w:val="24"/>
      <w:szCs w:val="24"/>
      <w:lang w:val="ro-MD" w:eastAsia="ro-RO"/>
    </w:rPr>
  </w:style>
  <w:style w:type="table" w:styleId="af1">
    <w:name w:val="Table Grid"/>
    <w:basedOn w:val="a1"/>
    <w:uiPriority w:val="39"/>
    <w:rsid w:val="000B6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F9109E"/>
    <w:rPr>
      <w:color w:val="0563C1" w:themeColor="hyperlink"/>
      <w:u w:val="single"/>
    </w:rPr>
  </w:style>
  <w:style w:type="paragraph" w:styleId="af3">
    <w:name w:val="annotation text"/>
    <w:basedOn w:val="a"/>
    <w:link w:val="af4"/>
    <w:uiPriority w:val="99"/>
    <w:unhideWhenUsed/>
    <w:rsid w:val="00F9109E"/>
    <w:pPr>
      <w:spacing w:line="240" w:lineRule="auto"/>
    </w:pPr>
    <w:rPr>
      <w:sz w:val="20"/>
      <w:szCs w:val="20"/>
    </w:rPr>
  </w:style>
  <w:style w:type="character" w:customStyle="1" w:styleId="af4">
    <w:name w:val="Текст примечания Знак"/>
    <w:basedOn w:val="a0"/>
    <w:link w:val="af3"/>
    <w:uiPriority w:val="99"/>
    <w:rsid w:val="00F9109E"/>
    <w:rPr>
      <w:sz w:val="20"/>
      <w:szCs w:val="20"/>
    </w:rPr>
  </w:style>
  <w:style w:type="numbering" w:customStyle="1" w:styleId="NoList1">
    <w:name w:val="No List1"/>
    <w:next w:val="a2"/>
    <w:uiPriority w:val="99"/>
    <w:semiHidden/>
    <w:unhideWhenUsed/>
    <w:rsid w:val="00CD2A08"/>
  </w:style>
  <w:style w:type="character" w:customStyle="1" w:styleId="21">
    <w:name w:val="Основной текст (2)_"/>
    <w:basedOn w:val="a0"/>
    <w:link w:val="22"/>
    <w:rsid w:val="00CD2A08"/>
    <w:rPr>
      <w:rFonts w:ascii="Book Antiqua" w:eastAsia="Book Antiqua" w:hAnsi="Book Antiqua" w:cs="Book Antiqua"/>
      <w:sz w:val="18"/>
      <w:szCs w:val="18"/>
      <w:shd w:val="clear" w:color="auto" w:fill="FFFFFF"/>
    </w:rPr>
  </w:style>
  <w:style w:type="paragraph" w:customStyle="1" w:styleId="22">
    <w:name w:val="Основной текст (2)"/>
    <w:basedOn w:val="a"/>
    <w:link w:val="21"/>
    <w:rsid w:val="00CD2A08"/>
    <w:pPr>
      <w:widowControl w:val="0"/>
      <w:shd w:val="clear" w:color="auto" w:fill="FFFFFF"/>
      <w:spacing w:before="720" w:after="260" w:line="245" w:lineRule="exact"/>
    </w:pPr>
    <w:rPr>
      <w:rFonts w:ascii="Book Antiqua" w:eastAsia="Book Antiqua" w:hAnsi="Book Antiqua" w:cs="Book Antiqua"/>
      <w:sz w:val="18"/>
      <w:szCs w:val="18"/>
    </w:rPr>
  </w:style>
  <w:style w:type="character" w:customStyle="1" w:styleId="31">
    <w:name w:val="Основной текст (3)_"/>
    <w:basedOn w:val="a0"/>
    <w:link w:val="32"/>
    <w:rsid w:val="00CD2A08"/>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CD2A08"/>
    <w:pPr>
      <w:widowControl w:val="0"/>
      <w:shd w:val="clear" w:color="auto" w:fill="FFFFFF"/>
      <w:spacing w:after="0" w:line="322" w:lineRule="exact"/>
      <w:jc w:val="center"/>
    </w:pPr>
    <w:rPr>
      <w:rFonts w:ascii="Times New Roman" w:eastAsia="Times New Roman" w:hAnsi="Times New Roman" w:cs="Times New Roman"/>
      <w:b/>
      <w:bCs/>
      <w:sz w:val="28"/>
      <w:szCs w:val="28"/>
    </w:rPr>
  </w:style>
  <w:style w:type="paragraph" w:styleId="af5">
    <w:name w:val="endnote text"/>
    <w:basedOn w:val="a"/>
    <w:link w:val="af6"/>
    <w:uiPriority w:val="99"/>
    <w:semiHidden/>
    <w:unhideWhenUsed/>
    <w:rsid w:val="00B6239C"/>
    <w:pPr>
      <w:spacing w:after="0" w:line="240" w:lineRule="auto"/>
    </w:pPr>
    <w:rPr>
      <w:sz w:val="20"/>
      <w:szCs w:val="20"/>
    </w:rPr>
  </w:style>
  <w:style w:type="character" w:customStyle="1" w:styleId="af6">
    <w:name w:val="Текст концевой сноски Знак"/>
    <w:basedOn w:val="a0"/>
    <w:link w:val="af5"/>
    <w:uiPriority w:val="99"/>
    <w:semiHidden/>
    <w:rsid w:val="00B6239C"/>
    <w:rPr>
      <w:sz w:val="20"/>
      <w:szCs w:val="20"/>
    </w:rPr>
  </w:style>
  <w:style w:type="character" w:styleId="af7">
    <w:name w:val="endnote reference"/>
    <w:basedOn w:val="a0"/>
    <w:uiPriority w:val="99"/>
    <w:semiHidden/>
    <w:unhideWhenUsed/>
    <w:rsid w:val="00B6239C"/>
    <w:rPr>
      <w:vertAlign w:val="superscript"/>
    </w:rPr>
  </w:style>
  <w:style w:type="paragraph" w:customStyle="1" w:styleId="Normal1">
    <w:name w:val="Normal1"/>
    <w:basedOn w:val="a"/>
    <w:rsid w:val="00E44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a0"/>
    <w:rsid w:val="00E44D56"/>
  </w:style>
  <w:style w:type="paragraph" w:customStyle="1" w:styleId="list0020paragraph">
    <w:name w:val="list_0020paragraph"/>
    <w:basedOn w:val="a"/>
    <w:rsid w:val="00E44D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a0"/>
    <w:rsid w:val="00E44D56"/>
  </w:style>
  <w:style w:type="paragraph" w:styleId="33">
    <w:name w:val="Body Text 3"/>
    <w:basedOn w:val="a"/>
    <w:link w:val="34"/>
    <w:uiPriority w:val="99"/>
    <w:unhideWhenUsed/>
    <w:rsid w:val="00C74FFB"/>
    <w:pPr>
      <w:spacing w:after="120"/>
    </w:pPr>
    <w:rPr>
      <w:sz w:val="16"/>
      <w:szCs w:val="16"/>
      <w:lang w:val="ru-RU"/>
    </w:rPr>
  </w:style>
  <w:style w:type="character" w:customStyle="1" w:styleId="34">
    <w:name w:val="Основной текст 3 Знак"/>
    <w:basedOn w:val="a0"/>
    <w:link w:val="33"/>
    <w:uiPriority w:val="99"/>
    <w:rsid w:val="00C74FFB"/>
    <w:rPr>
      <w:sz w:val="16"/>
      <w:szCs w:val="16"/>
      <w:lang w:val="ru-RU"/>
    </w:rPr>
  </w:style>
  <w:style w:type="character" w:styleId="af8">
    <w:name w:val="annotation reference"/>
    <w:basedOn w:val="a0"/>
    <w:uiPriority w:val="99"/>
    <w:semiHidden/>
    <w:unhideWhenUsed/>
    <w:rsid w:val="00D41213"/>
    <w:rPr>
      <w:sz w:val="16"/>
      <w:szCs w:val="16"/>
    </w:rPr>
  </w:style>
  <w:style w:type="paragraph" w:styleId="af9">
    <w:name w:val="annotation subject"/>
    <w:basedOn w:val="af3"/>
    <w:next w:val="af3"/>
    <w:link w:val="afa"/>
    <w:uiPriority w:val="99"/>
    <w:semiHidden/>
    <w:unhideWhenUsed/>
    <w:rsid w:val="00D41213"/>
    <w:rPr>
      <w:b/>
      <w:bCs/>
    </w:rPr>
  </w:style>
  <w:style w:type="character" w:customStyle="1" w:styleId="afa">
    <w:name w:val="Тема примечания Знак"/>
    <w:basedOn w:val="af4"/>
    <w:link w:val="af9"/>
    <w:uiPriority w:val="99"/>
    <w:semiHidden/>
    <w:rsid w:val="00D41213"/>
    <w:rPr>
      <w:b/>
      <w:bCs/>
      <w:sz w:val="20"/>
      <w:szCs w:val="20"/>
    </w:rPr>
  </w:style>
  <w:style w:type="paragraph" w:styleId="afb">
    <w:name w:val="Balloon Text"/>
    <w:basedOn w:val="a"/>
    <w:link w:val="afc"/>
    <w:uiPriority w:val="99"/>
    <w:semiHidden/>
    <w:unhideWhenUsed/>
    <w:rsid w:val="00D41213"/>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D41213"/>
    <w:rPr>
      <w:rFonts w:ascii="Segoe UI" w:hAnsi="Segoe UI" w:cs="Segoe UI"/>
      <w:sz w:val="18"/>
      <w:szCs w:val="18"/>
    </w:rPr>
  </w:style>
  <w:style w:type="paragraph" w:customStyle="1" w:styleId="Text">
    <w:name w:val="Text"/>
    <w:basedOn w:val="a"/>
    <w:link w:val="TextChar"/>
    <w:qFormat/>
    <w:rsid w:val="006838A4"/>
    <w:pPr>
      <w:spacing w:after="0" w:line="276" w:lineRule="auto"/>
      <w:ind w:firstLine="709"/>
      <w:jc w:val="both"/>
    </w:pPr>
    <w:rPr>
      <w:rFonts w:ascii="Times New Roman" w:hAnsi="Times New Roman" w:cs="Times New Roman"/>
      <w:sz w:val="28"/>
      <w:szCs w:val="28"/>
      <w:lang w:val="ro-MD"/>
    </w:rPr>
  </w:style>
  <w:style w:type="character" w:customStyle="1" w:styleId="TextChar">
    <w:name w:val="Text Char"/>
    <w:basedOn w:val="a0"/>
    <w:link w:val="Text"/>
    <w:rsid w:val="006838A4"/>
    <w:rPr>
      <w:rFonts w:ascii="Times New Roman" w:hAnsi="Times New Roman" w:cs="Times New Roman"/>
      <w:sz w:val="28"/>
      <w:szCs w:val="28"/>
      <w:lang w:val="ro-MD"/>
    </w:rPr>
  </w:style>
  <w:style w:type="character" w:styleId="afd">
    <w:name w:val="Emphasis"/>
    <w:basedOn w:val="a0"/>
    <w:uiPriority w:val="20"/>
    <w:qFormat/>
    <w:rsid w:val="00A82E7C"/>
    <w:rPr>
      <w:i/>
      <w:iCs/>
    </w:rPr>
  </w:style>
  <w:style w:type="paragraph" w:styleId="afe">
    <w:name w:val="Body Text"/>
    <w:basedOn w:val="a"/>
    <w:link w:val="aff"/>
    <w:uiPriority w:val="99"/>
    <w:semiHidden/>
    <w:unhideWhenUsed/>
    <w:rsid w:val="00793126"/>
    <w:pPr>
      <w:spacing w:after="120"/>
    </w:pPr>
  </w:style>
  <w:style w:type="character" w:customStyle="1" w:styleId="aff">
    <w:name w:val="Основной текст Знак"/>
    <w:basedOn w:val="a0"/>
    <w:link w:val="afe"/>
    <w:uiPriority w:val="99"/>
    <w:semiHidden/>
    <w:rsid w:val="00793126"/>
  </w:style>
  <w:style w:type="table" w:customStyle="1" w:styleId="TableGrid1">
    <w:name w:val="Table Grid1"/>
    <w:basedOn w:val="a1"/>
    <w:next w:val="af1"/>
    <w:uiPriority w:val="39"/>
    <w:rsid w:val="00A3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aliases w:val="Subsol Знак,referinta Знак"/>
    <w:link w:val="a8"/>
    <w:uiPriority w:val="1"/>
    <w:locked/>
    <w:rsid w:val="001141B5"/>
    <w:rPr>
      <w:rFonts w:ascii="Arial" w:eastAsiaTheme="minorEastAsia" w:hAnsi="Arial" w:cs="Arial"/>
      <w:sz w:val="20"/>
      <w:szCs w:val="20"/>
    </w:rPr>
  </w:style>
  <w:style w:type="character" w:customStyle="1" w:styleId="30">
    <w:name w:val="Заголовок 3 Знак"/>
    <w:basedOn w:val="a0"/>
    <w:link w:val="3"/>
    <w:uiPriority w:val="9"/>
    <w:semiHidden/>
    <w:rsid w:val="00DF67F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52501">
      <w:bodyDiv w:val="1"/>
      <w:marLeft w:val="0"/>
      <w:marRight w:val="0"/>
      <w:marTop w:val="0"/>
      <w:marBottom w:val="0"/>
      <w:divBdr>
        <w:top w:val="none" w:sz="0" w:space="0" w:color="auto"/>
        <w:left w:val="none" w:sz="0" w:space="0" w:color="auto"/>
        <w:bottom w:val="none" w:sz="0" w:space="0" w:color="auto"/>
        <w:right w:val="none" w:sz="0" w:space="0" w:color="auto"/>
      </w:divBdr>
    </w:div>
    <w:div w:id="108667688">
      <w:bodyDiv w:val="1"/>
      <w:marLeft w:val="0"/>
      <w:marRight w:val="0"/>
      <w:marTop w:val="0"/>
      <w:marBottom w:val="0"/>
      <w:divBdr>
        <w:top w:val="none" w:sz="0" w:space="0" w:color="auto"/>
        <w:left w:val="none" w:sz="0" w:space="0" w:color="auto"/>
        <w:bottom w:val="none" w:sz="0" w:space="0" w:color="auto"/>
        <w:right w:val="none" w:sz="0" w:space="0" w:color="auto"/>
      </w:divBdr>
    </w:div>
    <w:div w:id="119762659">
      <w:bodyDiv w:val="1"/>
      <w:marLeft w:val="0"/>
      <w:marRight w:val="0"/>
      <w:marTop w:val="0"/>
      <w:marBottom w:val="0"/>
      <w:divBdr>
        <w:top w:val="none" w:sz="0" w:space="0" w:color="auto"/>
        <w:left w:val="none" w:sz="0" w:space="0" w:color="auto"/>
        <w:bottom w:val="none" w:sz="0" w:space="0" w:color="auto"/>
        <w:right w:val="none" w:sz="0" w:space="0" w:color="auto"/>
      </w:divBdr>
    </w:div>
    <w:div w:id="228544755">
      <w:bodyDiv w:val="1"/>
      <w:marLeft w:val="0"/>
      <w:marRight w:val="0"/>
      <w:marTop w:val="0"/>
      <w:marBottom w:val="0"/>
      <w:divBdr>
        <w:top w:val="none" w:sz="0" w:space="0" w:color="auto"/>
        <w:left w:val="none" w:sz="0" w:space="0" w:color="auto"/>
        <w:bottom w:val="none" w:sz="0" w:space="0" w:color="auto"/>
        <w:right w:val="none" w:sz="0" w:space="0" w:color="auto"/>
      </w:divBdr>
    </w:div>
    <w:div w:id="348875838">
      <w:bodyDiv w:val="1"/>
      <w:marLeft w:val="0"/>
      <w:marRight w:val="0"/>
      <w:marTop w:val="0"/>
      <w:marBottom w:val="0"/>
      <w:divBdr>
        <w:top w:val="none" w:sz="0" w:space="0" w:color="auto"/>
        <w:left w:val="none" w:sz="0" w:space="0" w:color="auto"/>
        <w:bottom w:val="none" w:sz="0" w:space="0" w:color="auto"/>
        <w:right w:val="none" w:sz="0" w:space="0" w:color="auto"/>
      </w:divBdr>
    </w:div>
    <w:div w:id="381759663">
      <w:bodyDiv w:val="1"/>
      <w:marLeft w:val="0"/>
      <w:marRight w:val="0"/>
      <w:marTop w:val="0"/>
      <w:marBottom w:val="0"/>
      <w:divBdr>
        <w:top w:val="none" w:sz="0" w:space="0" w:color="auto"/>
        <w:left w:val="none" w:sz="0" w:space="0" w:color="auto"/>
        <w:bottom w:val="none" w:sz="0" w:space="0" w:color="auto"/>
        <w:right w:val="none" w:sz="0" w:space="0" w:color="auto"/>
      </w:divBdr>
    </w:div>
    <w:div w:id="389882744">
      <w:bodyDiv w:val="1"/>
      <w:marLeft w:val="0"/>
      <w:marRight w:val="0"/>
      <w:marTop w:val="0"/>
      <w:marBottom w:val="0"/>
      <w:divBdr>
        <w:top w:val="none" w:sz="0" w:space="0" w:color="auto"/>
        <w:left w:val="none" w:sz="0" w:space="0" w:color="auto"/>
        <w:bottom w:val="none" w:sz="0" w:space="0" w:color="auto"/>
        <w:right w:val="none" w:sz="0" w:space="0" w:color="auto"/>
      </w:divBdr>
    </w:div>
    <w:div w:id="501244691">
      <w:bodyDiv w:val="1"/>
      <w:marLeft w:val="0"/>
      <w:marRight w:val="0"/>
      <w:marTop w:val="0"/>
      <w:marBottom w:val="0"/>
      <w:divBdr>
        <w:top w:val="none" w:sz="0" w:space="0" w:color="auto"/>
        <w:left w:val="none" w:sz="0" w:space="0" w:color="auto"/>
        <w:bottom w:val="none" w:sz="0" w:space="0" w:color="auto"/>
        <w:right w:val="none" w:sz="0" w:space="0" w:color="auto"/>
      </w:divBdr>
    </w:div>
    <w:div w:id="574240090">
      <w:bodyDiv w:val="1"/>
      <w:marLeft w:val="0"/>
      <w:marRight w:val="0"/>
      <w:marTop w:val="0"/>
      <w:marBottom w:val="0"/>
      <w:divBdr>
        <w:top w:val="none" w:sz="0" w:space="0" w:color="auto"/>
        <w:left w:val="none" w:sz="0" w:space="0" w:color="auto"/>
        <w:bottom w:val="none" w:sz="0" w:space="0" w:color="auto"/>
        <w:right w:val="none" w:sz="0" w:space="0" w:color="auto"/>
      </w:divBdr>
    </w:div>
    <w:div w:id="645474720">
      <w:bodyDiv w:val="1"/>
      <w:marLeft w:val="0"/>
      <w:marRight w:val="0"/>
      <w:marTop w:val="0"/>
      <w:marBottom w:val="0"/>
      <w:divBdr>
        <w:top w:val="none" w:sz="0" w:space="0" w:color="auto"/>
        <w:left w:val="none" w:sz="0" w:space="0" w:color="auto"/>
        <w:bottom w:val="none" w:sz="0" w:space="0" w:color="auto"/>
        <w:right w:val="none" w:sz="0" w:space="0" w:color="auto"/>
      </w:divBdr>
    </w:div>
    <w:div w:id="766000210">
      <w:bodyDiv w:val="1"/>
      <w:marLeft w:val="0"/>
      <w:marRight w:val="0"/>
      <w:marTop w:val="0"/>
      <w:marBottom w:val="0"/>
      <w:divBdr>
        <w:top w:val="none" w:sz="0" w:space="0" w:color="auto"/>
        <w:left w:val="none" w:sz="0" w:space="0" w:color="auto"/>
        <w:bottom w:val="none" w:sz="0" w:space="0" w:color="auto"/>
        <w:right w:val="none" w:sz="0" w:space="0" w:color="auto"/>
      </w:divBdr>
    </w:div>
    <w:div w:id="828327000">
      <w:bodyDiv w:val="1"/>
      <w:marLeft w:val="0"/>
      <w:marRight w:val="0"/>
      <w:marTop w:val="0"/>
      <w:marBottom w:val="0"/>
      <w:divBdr>
        <w:top w:val="none" w:sz="0" w:space="0" w:color="auto"/>
        <w:left w:val="none" w:sz="0" w:space="0" w:color="auto"/>
        <w:bottom w:val="none" w:sz="0" w:space="0" w:color="auto"/>
        <w:right w:val="none" w:sz="0" w:space="0" w:color="auto"/>
      </w:divBdr>
    </w:div>
    <w:div w:id="837768195">
      <w:bodyDiv w:val="1"/>
      <w:marLeft w:val="0"/>
      <w:marRight w:val="0"/>
      <w:marTop w:val="0"/>
      <w:marBottom w:val="0"/>
      <w:divBdr>
        <w:top w:val="none" w:sz="0" w:space="0" w:color="auto"/>
        <w:left w:val="none" w:sz="0" w:space="0" w:color="auto"/>
        <w:bottom w:val="none" w:sz="0" w:space="0" w:color="auto"/>
        <w:right w:val="none" w:sz="0" w:space="0" w:color="auto"/>
      </w:divBdr>
    </w:div>
    <w:div w:id="940995140">
      <w:bodyDiv w:val="1"/>
      <w:marLeft w:val="0"/>
      <w:marRight w:val="0"/>
      <w:marTop w:val="0"/>
      <w:marBottom w:val="0"/>
      <w:divBdr>
        <w:top w:val="none" w:sz="0" w:space="0" w:color="auto"/>
        <w:left w:val="none" w:sz="0" w:space="0" w:color="auto"/>
        <w:bottom w:val="none" w:sz="0" w:space="0" w:color="auto"/>
        <w:right w:val="none" w:sz="0" w:space="0" w:color="auto"/>
      </w:divBdr>
    </w:div>
    <w:div w:id="947932352">
      <w:bodyDiv w:val="1"/>
      <w:marLeft w:val="0"/>
      <w:marRight w:val="0"/>
      <w:marTop w:val="0"/>
      <w:marBottom w:val="0"/>
      <w:divBdr>
        <w:top w:val="none" w:sz="0" w:space="0" w:color="auto"/>
        <w:left w:val="none" w:sz="0" w:space="0" w:color="auto"/>
        <w:bottom w:val="none" w:sz="0" w:space="0" w:color="auto"/>
        <w:right w:val="none" w:sz="0" w:space="0" w:color="auto"/>
      </w:divBdr>
    </w:div>
    <w:div w:id="1033193495">
      <w:bodyDiv w:val="1"/>
      <w:marLeft w:val="0"/>
      <w:marRight w:val="0"/>
      <w:marTop w:val="0"/>
      <w:marBottom w:val="0"/>
      <w:divBdr>
        <w:top w:val="none" w:sz="0" w:space="0" w:color="auto"/>
        <w:left w:val="none" w:sz="0" w:space="0" w:color="auto"/>
        <w:bottom w:val="none" w:sz="0" w:space="0" w:color="auto"/>
        <w:right w:val="none" w:sz="0" w:space="0" w:color="auto"/>
      </w:divBdr>
    </w:div>
    <w:div w:id="1044871604">
      <w:bodyDiv w:val="1"/>
      <w:marLeft w:val="0"/>
      <w:marRight w:val="0"/>
      <w:marTop w:val="0"/>
      <w:marBottom w:val="0"/>
      <w:divBdr>
        <w:top w:val="none" w:sz="0" w:space="0" w:color="auto"/>
        <w:left w:val="none" w:sz="0" w:space="0" w:color="auto"/>
        <w:bottom w:val="none" w:sz="0" w:space="0" w:color="auto"/>
        <w:right w:val="none" w:sz="0" w:space="0" w:color="auto"/>
      </w:divBdr>
    </w:div>
    <w:div w:id="1104613809">
      <w:bodyDiv w:val="1"/>
      <w:marLeft w:val="0"/>
      <w:marRight w:val="0"/>
      <w:marTop w:val="0"/>
      <w:marBottom w:val="0"/>
      <w:divBdr>
        <w:top w:val="none" w:sz="0" w:space="0" w:color="auto"/>
        <w:left w:val="none" w:sz="0" w:space="0" w:color="auto"/>
        <w:bottom w:val="none" w:sz="0" w:space="0" w:color="auto"/>
        <w:right w:val="none" w:sz="0" w:space="0" w:color="auto"/>
      </w:divBdr>
    </w:div>
    <w:div w:id="1113403590">
      <w:bodyDiv w:val="1"/>
      <w:marLeft w:val="0"/>
      <w:marRight w:val="0"/>
      <w:marTop w:val="0"/>
      <w:marBottom w:val="0"/>
      <w:divBdr>
        <w:top w:val="none" w:sz="0" w:space="0" w:color="auto"/>
        <w:left w:val="none" w:sz="0" w:space="0" w:color="auto"/>
        <w:bottom w:val="none" w:sz="0" w:space="0" w:color="auto"/>
        <w:right w:val="none" w:sz="0" w:space="0" w:color="auto"/>
      </w:divBdr>
    </w:div>
    <w:div w:id="1227761000">
      <w:bodyDiv w:val="1"/>
      <w:marLeft w:val="0"/>
      <w:marRight w:val="0"/>
      <w:marTop w:val="0"/>
      <w:marBottom w:val="0"/>
      <w:divBdr>
        <w:top w:val="none" w:sz="0" w:space="0" w:color="auto"/>
        <w:left w:val="none" w:sz="0" w:space="0" w:color="auto"/>
        <w:bottom w:val="none" w:sz="0" w:space="0" w:color="auto"/>
        <w:right w:val="none" w:sz="0" w:space="0" w:color="auto"/>
      </w:divBdr>
    </w:div>
    <w:div w:id="1261528599">
      <w:bodyDiv w:val="1"/>
      <w:marLeft w:val="0"/>
      <w:marRight w:val="0"/>
      <w:marTop w:val="0"/>
      <w:marBottom w:val="0"/>
      <w:divBdr>
        <w:top w:val="none" w:sz="0" w:space="0" w:color="auto"/>
        <w:left w:val="none" w:sz="0" w:space="0" w:color="auto"/>
        <w:bottom w:val="none" w:sz="0" w:space="0" w:color="auto"/>
        <w:right w:val="none" w:sz="0" w:space="0" w:color="auto"/>
      </w:divBdr>
    </w:div>
    <w:div w:id="1271082973">
      <w:bodyDiv w:val="1"/>
      <w:marLeft w:val="0"/>
      <w:marRight w:val="0"/>
      <w:marTop w:val="0"/>
      <w:marBottom w:val="0"/>
      <w:divBdr>
        <w:top w:val="none" w:sz="0" w:space="0" w:color="auto"/>
        <w:left w:val="none" w:sz="0" w:space="0" w:color="auto"/>
        <w:bottom w:val="none" w:sz="0" w:space="0" w:color="auto"/>
        <w:right w:val="none" w:sz="0" w:space="0" w:color="auto"/>
      </w:divBdr>
    </w:div>
    <w:div w:id="1271401061">
      <w:bodyDiv w:val="1"/>
      <w:marLeft w:val="0"/>
      <w:marRight w:val="0"/>
      <w:marTop w:val="0"/>
      <w:marBottom w:val="0"/>
      <w:divBdr>
        <w:top w:val="none" w:sz="0" w:space="0" w:color="auto"/>
        <w:left w:val="none" w:sz="0" w:space="0" w:color="auto"/>
        <w:bottom w:val="none" w:sz="0" w:space="0" w:color="auto"/>
        <w:right w:val="none" w:sz="0" w:space="0" w:color="auto"/>
      </w:divBdr>
    </w:div>
    <w:div w:id="1650399855">
      <w:bodyDiv w:val="1"/>
      <w:marLeft w:val="0"/>
      <w:marRight w:val="0"/>
      <w:marTop w:val="0"/>
      <w:marBottom w:val="0"/>
      <w:divBdr>
        <w:top w:val="none" w:sz="0" w:space="0" w:color="auto"/>
        <w:left w:val="none" w:sz="0" w:space="0" w:color="auto"/>
        <w:bottom w:val="none" w:sz="0" w:space="0" w:color="auto"/>
        <w:right w:val="none" w:sz="0" w:space="0" w:color="auto"/>
      </w:divBdr>
    </w:div>
    <w:div w:id="1709791079">
      <w:bodyDiv w:val="1"/>
      <w:marLeft w:val="0"/>
      <w:marRight w:val="0"/>
      <w:marTop w:val="0"/>
      <w:marBottom w:val="0"/>
      <w:divBdr>
        <w:top w:val="none" w:sz="0" w:space="0" w:color="auto"/>
        <w:left w:val="none" w:sz="0" w:space="0" w:color="auto"/>
        <w:bottom w:val="none" w:sz="0" w:space="0" w:color="auto"/>
        <w:right w:val="none" w:sz="0" w:space="0" w:color="auto"/>
      </w:divBdr>
    </w:div>
    <w:div w:id="1857571286">
      <w:bodyDiv w:val="1"/>
      <w:marLeft w:val="0"/>
      <w:marRight w:val="0"/>
      <w:marTop w:val="0"/>
      <w:marBottom w:val="0"/>
      <w:divBdr>
        <w:top w:val="none" w:sz="0" w:space="0" w:color="auto"/>
        <w:left w:val="none" w:sz="0" w:space="0" w:color="auto"/>
        <w:bottom w:val="none" w:sz="0" w:space="0" w:color="auto"/>
        <w:right w:val="none" w:sz="0" w:space="0" w:color="auto"/>
      </w:divBdr>
    </w:div>
    <w:div w:id="1863276329">
      <w:bodyDiv w:val="1"/>
      <w:marLeft w:val="0"/>
      <w:marRight w:val="0"/>
      <w:marTop w:val="0"/>
      <w:marBottom w:val="0"/>
      <w:divBdr>
        <w:top w:val="none" w:sz="0" w:space="0" w:color="auto"/>
        <w:left w:val="none" w:sz="0" w:space="0" w:color="auto"/>
        <w:bottom w:val="none" w:sz="0" w:space="0" w:color="auto"/>
        <w:right w:val="none" w:sz="0" w:space="0" w:color="auto"/>
      </w:divBdr>
    </w:div>
    <w:div w:id="1894153574">
      <w:bodyDiv w:val="1"/>
      <w:marLeft w:val="0"/>
      <w:marRight w:val="0"/>
      <w:marTop w:val="0"/>
      <w:marBottom w:val="0"/>
      <w:divBdr>
        <w:top w:val="none" w:sz="0" w:space="0" w:color="auto"/>
        <w:left w:val="none" w:sz="0" w:space="0" w:color="auto"/>
        <w:bottom w:val="none" w:sz="0" w:space="0" w:color="auto"/>
        <w:right w:val="none" w:sz="0" w:space="0" w:color="auto"/>
      </w:divBdr>
    </w:div>
    <w:div w:id="1930960504">
      <w:bodyDiv w:val="1"/>
      <w:marLeft w:val="0"/>
      <w:marRight w:val="0"/>
      <w:marTop w:val="0"/>
      <w:marBottom w:val="0"/>
      <w:divBdr>
        <w:top w:val="none" w:sz="0" w:space="0" w:color="auto"/>
        <w:left w:val="none" w:sz="0" w:space="0" w:color="auto"/>
        <w:bottom w:val="none" w:sz="0" w:space="0" w:color="auto"/>
        <w:right w:val="none" w:sz="0" w:space="0" w:color="auto"/>
      </w:divBdr>
    </w:div>
    <w:div w:id="1949510373">
      <w:bodyDiv w:val="1"/>
      <w:marLeft w:val="0"/>
      <w:marRight w:val="0"/>
      <w:marTop w:val="0"/>
      <w:marBottom w:val="0"/>
      <w:divBdr>
        <w:top w:val="none" w:sz="0" w:space="0" w:color="auto"/>
        <w:left w:val="none" w:sz="0" w:space="0" w:color="auto"/>
        <w:bottom w:val="none" w:sz="0" w:space="0" w:color="auto"/>
        <w:right w:val="none" w:sz="0" w:space="0" w:color="auto"/>
      </w:divBdr>
    </w:div>
    <w:div w:id="2050254466">
      <w:bodyDiv w:val="1"/>
      <w:marLeft w:val="0"/>
      <w:marRight w:val="0"/>
      <w:marTop w:val="0"/>
      <w:marBottom w:val="0"/>
      <w:divBdr>
        <w:top w:val="none" w:sz="0" w:space="0" w:color="auto"/>
        <w:left w:val="none" w:sz="0" w:space="0" w:color="auto"/>
        <w:bottom w:val="none" w:sz="0" w:space="0" w:color="auto"/>
        <w:right w:val="none" w:sz="0" w:space="0" w:color="auto"/>
      </w:divBdr>
    </w:div>
    <w:div w:id="2091385842">
      <w:bodyDiv w:val="1"/>
      <w:marLeft w:val="0"/>
      <w:marRight w:val="0"/>
      <w:marTop w:val="0"/>
      <w:marBottom w:val="0"/>
      <w:divBdr>
        <w:top w:val="none" w:sz="0" w:space="0" w:color="auto"/>
        <w:left w:val="none" w:sz="0" w:space="0" w:color="auto"/>
        <w:bottom w:val="none" w:sz="0" w:space="0" w:color="auto"/>
        <w:right w:val="none" w:sz="0" w:space="0" w:color="auto"/>
      </w:divBdr>
    </w:div>
    <w:div w:id="21471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gov.md" TargetMode="External"/><Relationship Id="rId18" Type="http://schemas.microsoft.com/office/2007/relationships/diagramDrawing" Target="diagrams/drawing1.xml"/><Relationship Id="rId26" Type="http://schemas.openxmlformats.org/officeDocument/2006/relationships/diagramQuickStyle" Target="diagrams/quickStyle3.xml"/><Relationship Id="rId39"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diagramQuickStyle" Target="diagrams/quickStyle2.xml"/><Relationship Id="rId34" Type="http://schemas.microsoft.com/office/2007/relationships/diagramDrawing" Target="diagrams/drawing4.xml"/><Relationship Id="rId42"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diagramColors" Target="diagrams/colors1.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s://mitp.md/" TargetMode="External"/><Relationship Id="rId41"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tistica.md" TargetMode="Externa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footer" Target="footer1.xml"/><Relationship Id="rId40" Type="http://schemas.openxmlformats.org/officeDocument/2006/relationships/chart" Target="charts/chart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36" Type="http://schemas.openxmlformats.org/officeDocument/2006/relationships/hyperlink" Target="https://www.ccrm.md/ro/responsabilitati-in-auditul-financiar-3596.html" TargetMode="External"/><Relationship Id="rId10" Type="http://schemas.openxmlformats.org/officeDocument/2006/relationships/hyperlink" Target="mailto:ccrm@ccrm.md" TargetMode="External"/><Relationship Id="rId19" Type="http://schemas.openxmlformats.org/officeDocument/2006/relationships/diagramData" Target="diagrams/data2.xml"/><Relationship Id="rId31" Type="http://schemas.openxmlformats.org/officeDocument/2006/relationships/diagramLayout" Target="diagrams/layout4.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rm.md/"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s://www.legis.md/cautare/getResults?doc_id=130581&amp;lang=ro" TargetMode="External"/><Relationship Id="rId43" Type="http://schemas.openxmlformats.org/officeDocument/2006/relationships/chart" Target="charts/chart7.xml"/></Relationships>
</file>

<file path=word/_rels/footnotes.xml.rels><?xml version="1.0" encoding="UTF-8" standalone="yes"?>
<Relationships xmlns="http://schemas.openxmlformats.org/package/2006/relationships"><Relationship Id="rId2" Type="http://schemas.openxmlformats.org/officeDocument/2006/relationships/hyperlink" Target="https://mitp.md/" TargetMode="External"/><Relationship Id="rId1" Type="http://schemas.openxmlformats.org/officeDocument/2006/relationships/hyperlink" Target="http://www.statistica.md"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ccrm\Misiuni%20de%20audit\CNAS%202021\executare\rogaciov\transferur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320" b="1" i="0" u="none" strike="noStrike" kern="1200" spc="0" baseline="0">
                <a:solidFill>
                  <a:schemeClr val="dk1"/>
                </a:solidFill>
                <a:latin typeface="+mj-lt"/>
                <a:ea typeface="+mn-ea"/>
                <a:cs typeface="+mn-cs"/>
              </a:defRPr>
            </a:pPr>
            <a:r>
              <a:rPr lang="ro-MD"/>
              <a:t>Suma</a:t>
            </a:r>
            <a:r>
              <a:rPr lang="en-US"/>
              <a:t> transferurilor </a:t>
            </a:r>
            <a:r>
              <a:rPr lang="ro-MD"/>
              <a:t>cu destinație generală, mi</a:t>
            </a:r>
            <a:r>
              <a:rPr lang="en-US"/>
              <a:t>l</a:t>
            </a:r>
            <a:r>
              <a:rPr lang="ro-MD"/>
              <a:t>. lei</a:t>
            </a:r>
            <a:endParaRPr lang="en-US"/>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dk1"/>
              </a:solidFill>
              <a:latin typeface="+mj-lt"/>
              <a:ea typeface="+mn-ea"/>
              <a:cs typeface="+mn-cs"/>
            </a:defRPr>
          </a:pPr>
          <a:endParaRPr lang="ru-RU"/>
        </a:p>
      </c:txPr>
    </c:title>
    <c:autoTitleDeleted val="0"/>
    <c:plotArea>
      <c:layout/>
      <c:barChart>
        <c:barDir val="col"/>
        <c:grouping val="clustered"/>
        <c:varyColors val="0"/>
        <c:ser>
          <c:idx val="0"/>
          <c:order val="0"/>
          <c:tx>
            <c:strRef>
              <c:f>Sheet2!$G$5</c:f>
              <c:strCache>
                <c:ptCount val="1"/>
                <c:pt idx="0">
                  <c:v>Dinamica transferurilor de la bugetul de stat pentru acoperirea
Dinamica transferurilor de la bugetul de stat pentru acoperirea deficitului bugetului asigurărilor sociale de stat în anii 2017-2021</c:v>
                </c:pt>
              </c:strCache>
            </c:strRef>
          </c:tx>
          <c:spPr>
            <a:solidFill>
              <a:schemeClr val="accent3"/>
            </a:solidFill>
            <a:ln>
              <a:noFill/>
            </a:ln>
            <a:effectLst>
              <a:outerShdw blurRad="50800" dist="38100" dir="2700000" algn="tl" rotWithShape="0">
                <a:prstClr val="black">
                  <a:alpha val="40000"/>
                </a:prstClr>
              </a:outerShdw>
            </a:effectLst>
          </c:spPr>
          <c:invertIfNegative val="0"/>
          <c:dLbls>
            <c:dLbl>
              <c:idx val="3"/>
              <c:tx>
                <c:rich>
                  <a:bodyPr/>
                  <a:lstStyle/>
                  <a:p>
                    <a:fld id="{2E49391F-971C-43D2-896B-B081D0093B3B}" type="VALUE">
                      <a:rPr lang="en-US"/>
                      <a:pPr/>
                      <a:t>[ЗНАЧЕНИЕ]</a:t>
                    </a:fld>
                    <a:endParaRPr lang="ru-RU"/>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B1-4711-92B9-CE8FD9E19677}"/>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anchor="ctr" anchorCtr="1"/>
              <a:lstStyle/>
              <a:p>
                <a:pPr>
                  <a:defRPr sz="1200" b="1" i="0" u="none" strike="noStrike" kern="1200" baseline="0">
                    <a:solidFill>
                      <a:schemeClr val="dk1"/>
                    </a:solidFill>
                    <a:latin typeface="+mj-lt"/>
                    <a:ea typeface="+mn-ea"/>
                    <a:cs typeface="+mn-cs"/>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Sheet2!$F$6:$F$10</c:f>
              <c:numCache>
                <c:formatCode>General</c:formatCode>
                <c:ptCount val="5"/>
                <c:pt idx="0">
                  <c:v>2018</c:v>
                </c:pt>
                <c:pt idx="1">
                  <c:v>2019</c:v>
                </c:pt>
                <c:pt idx="2">
                  <c:v>2020</c:v>
                </c:pt>
                <c:pt idx="3">
                  <c:v>2021</c:v>
                </c:pt>
                <c:pt idx="4">
                  <c:v>2022</c:v>
                </c:pt>
              </c:numCache>
            </c:numRef>
          </c:cat>
          <c:val>
            <c:numRef>
              <c:f>Sheet2!$G$6:$G$10</c:f>
              <c:numCache>
                <c:formatCode>General</c:formatCode>
                <c:ptCount val="5"/>
                <c:pt idx="0">
                  <c:v>1113.9000000000001</c:v>
                </c:pt>
                <c:pt idx="1">
                  <c:v>1987.7</c:v>
                </c:pt>
                <c:pt idx="2">
                  <c:v>2554.6</c:v>
                </c:pt>
                <c:pt idx="3" formatCode="0.0">
                  <c:v>2840</c:v>
                </c:pt>
                <c:pt idx="4">
                  <c:v>4434.1000000000004</c:v>
                </c:pt>
              </c:numCache>
            </c:numRef>
          </c:val>
          <c:extLst xmlns:c16r2="http://schemas.microsoft.com/office/drawing/2015/06/chart">
            <c:ext xmlns:c16="http://schemas.microsoft.com/office/drawing/2014/chart" uri="{C3380CC4-5D6E-409C-BE32-E72D297353CC}">
              <c16:uniqueId val="{00000001-62B1-4711-92B9-CE8FD9E19677}"/>
            </c:ext>
          </c:extLst>
        </c:ser>
        <c:dLbls>
          <c:showLegendKey val="0"/>
          <c:showVal val="0"/>
          <c:showCatName val="0"/>
          <c:showSerName val="0"/>
          <c:showPercent val="0"/>
          <c:showBubbleSize val="0"/>
        </c:dLbls>
        <c:gapWidth val="219"/>
        <c:overlap val="-27"/>
        <c:axId val="256926944"/>
        <c:axId val="256928120"/>
      </c:barChart>
      <c:catAx>
        <c:axId val="25692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dk1"/>
                </a:solidFill>
                <a:latin typeface="+mj-lt"/>
                <a:ea typeface="+mn-ea"/>
                <a:cs typeface="+mn-cs"/>
              </a:defRPr>
            </a:pPr>
            <a:endParaRPr lang="ru-RU"/>
          </a:p>
        </c:txPr>
        <c:crossAx val="256928120"/>
        <c:crosses val="autoZero"/>
        <c:auto val="1"/>
        <c:lblAlgn val="ctr"/>
        <c:lblOffset val="100"/>
        <c:noMultiLvlLbl val="0"/>
      </c:catAx>
      <c:valAx>
        <c:axId val="256928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dk1"/>
                </a:solidFill>
                <a:latin typeface="+mj-lt"/>
                <a:ea typeface="+mn-ea"/>
                <a:cs typeface="+mn-cs"/>
              </a:defRPr>
            </a:pPr>
            <a:endParaRPr lang="ru-RU"/>
          </a:p>
        </c:txPr>
        <c:crossAx val="256926944"/>
        <c:crosses val="autoZero"/>
        <c:crossBetween val="between"/>
      </c:valAx>
      <c:spPr>
        <a:noFill/>
        <a:ln>
          <a:noFill/>
        </a:ln>
        <a:effectLst/>
      </c:spPr>
    </c:plotArea>
    <c:plotVisOnly val="1"/>
    <c:dispBlanksAs val="gap"/>
    <c:showDLblsOverMax val="0"/>
  </c:chart>
  <c:spPr>
    <a:solidFill>
      <a:schemeClr val="lt1"/>
    </a:solidFill>
    <a:ln w="12700" cap="flat" cmpd="sng" algn="ctr">
      <a:solidFill>
        <a:schemeClr val="accent6"/>
      </a:solidFill>
      <a:prstDash val="solid"/>
      <a:miter lim="800000"/>
    </a:ln>
    <a:effectLst/>
  </c:spPr>
  <c:txPr>
    <a:bodyPr/>
    <a:lstStyle/>
    <a:p>
      <a:pPr>
        <a:defRPr sz="1100" b="1">
          <a:solidFill>
            <a:schemeClr val="dk1"/>
          </a:solidFill>
          <a:latin typeface="+mj-lt"/>
          <a:ea typeface="+mn-ea"/>
          <a:cs typeface="+mn-cs"/>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1159047827354911E-2"/>
          <c:y val="7.032639065278129E-2"/>
          <c:w val="0.5702229148439778"/>
          <c:h val="0.92967360934721865"/>
        </c:manualLayout>
      </c:layout>
      <c:pie3DChart>
        <c:varyColors val="1"/>
        <c:ser>
          <c:idx val="0"/>
          <c:order val="0"/>
          <c:tx>
            <c:strRef>
              <c:f>Sheet1!$B$1</c:f>
              <c:strCache>
                <c:ptCount val="1"/>
                <c:pt idx="0">
                  <c:v>Series 1</c:v>
                </c:pt>
              </c:strCache>
            </c:strRef>
          </c:tx>
          <c:dPt>
            <c:idx val="0"/>
            <c:bubble3D val="0"/>
            <c:spPr>
              <a:gradFill>
                <a:gsLst>
                  <a:gs pos="100000">
                    <a:schemeClr val="accent3">
                      <a:shade val="53000"/>
                      <a:lumMod val="60000"/>
                      <a:lumOff val="40000"/>
                    </a:schemeClr>
                  </a:gs>
                  <a:gs pos="0">
                    <a:schemeClr val="accent3">
                      <a:shade val="53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1-FB5C-43C6-8B2B-BE2951343A6B}"/>
              </c:ext>
            </c:extLst>
          </c:dPt>
          <c:dPt>
            <c:idx val="1"/>
            <c:bubble3D val="0"/>
            <c:spPr>
              <a:gradFill>
                <a:gsLst>
                  <a:gs pos="100000">
                    <a:schemeClr val="accent3">
                      <a:shade val="76000"/>
                      <a:lumMod val="60000"/>
                      <a:lumOff val="40000"/>
                    </a:schemeClr>
                  </a:gs>
                  <a:gs pos="0">
                    <a:schemeClr val="accent3">
                      <a:shade val="76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3-FB5C-43C6-8B2B-BE2951343A6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5-FB5C-43C6-8B2B-BE2951343A6B}"/>
              </c:ext>
            </c:extLst>
          </c:dPt>
          <c:dPt>
            <c:idx val="3"/>
            <c:bubble3D val="0"/>
            <c:spPr>
              <a:gradFill>
                <a:gsLst>
                  <a:gs pos="100000">
                    <a:schemeClr val="accent3">
                      <a:tint val="77000"/>
                      <a:lumMod val="60000"/>
                      <a:lumOff val="40000"/>
                    </a:schemeClr>
                  </a:gs>
                  <a:gs pos="0">
                    <a:schemeClr val="accent3">
                      <a:tint val="77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7-FB5C-43C6-8B2B-BE2951343A6B}"/>
              </c:ext>
            </c:extLst>
          </c:dPt>
          <c:dPt>
            <c:idx val="4"/>
            <c:bubble3D val="0"/>
            <c:explosion val="8"/>
            <c:spPr>
              <a:gradFill>
                <a:gsLst>
                  <a:gs pos="100000">
                    <a:schemeClr val="accent3">
                      <a:tint val="54000"/>
                      <a:lumMod val="60000"/>
                      <a:lumOff val="40000"/>
                    </a:schemeClr>
                  </a:gs>
                  <a:gs pos="0">
                    <a:schemeClr val="accent3">
                      <a:tint val="54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9-FB5C-43C6-8B2B-BE2951343A6B}"/>
              </c:ext>
            </c:extLst>
          </c:dPt>
          <c:dLbls>
            <c:dLbl>
              <c:idx val="0"/>
              <c:layout>
                <c:manualLayout>
                  <c:x val="-3.6725357247010787E-2"/>
                  <c:y val="-0.2282910704710298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j-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B5C-43C6-8B2B-BE2951343A6B}"/>
                </c:ext>
                <c:ext xmlns:c15="http://schemas.microsoft.com/office/drawing/2012/chart" uri="{CE6537A1-D6FC-4f65-9D91-7224C49458BB}"/>
              </c:extLst>
            </c:dLbl>
            <c:dLbl>
              <c:idx val="1"/>
              <c:layout>
                <c:manualLayout>
                  <c:x val="0.11884587343248761"/>
                  <c:y val="3.0022154488753422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j-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B5C-43C6-8B2B-BE2951343A6B}"/>
                </c:ext>
                <c:ext xmlns:c15="http://schemas.microsoft.com/office/drawing/2012/chart" uri="{CE6537A1-D6FC-4f65-9D91-7224C49458BB}"/>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j-lt"/>
                      <a:ea typeface="+mn-ea"/>
                      <a:cs typeface="+mn-cs"/>
                    </a:defRPr>
                  </a:pPr>
                  <a:endParaRPr lang="ru-RU"/>
                </a:p>
              </c:txPr>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j-lt"/>
                      <a:ea typeface="+mn-ea"/>
                      <a:cs typeface="+mn-cs"/>
                    </a:defRPr>
                  </a:pPr>
                  <a:endParaRPr lang="ru-RU"/>
                </a:p>
              </c:txPr>
              <c:showLegendKey val="0"/>
              <c:showVal val="1"/>
              <c:showCatName val="0"/>
              <c:showSerName val="0"/>
              <c:showPercent val="0"/>
              <c:showBubbleSize val="0"/>
            </c:dLbl>
            <c:dLbl>
              <c:idx val="4"/>
              <c:layout>
                <c:manualLayout>
                  <c:x val="4.0862222951297753E-2"/>
                  <c:y val="-0.12014753196173059"/>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j-lt"/>
                        <a:ea typeface="+mn-ea"/>
                        <a:cs typeface="+mn-cs"/>
                      </a:defRPr>
                    </a:pPr>
                    <a:fld id="{DCDCAB9F-104E-4547-AC53-FA9F7CDD510B}" type="VALUE">
                      <a:rPr lang="en-US" b="1">
                        <a:latin typeface="+mj-lt"/>
                      </a:rPr>
                      <a:pPr>
                        <a:defRPr>
                          <a:latin typeface="+mj-lt"/>
                        </a:defRPr>
                      </a:pPr>
                      <a:t>[ЗНАЧЕНИЕ]</a:t>
                    </a:fld>
                    <a:endParaRPr lang="ru-RU"/>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j-lt"/>
                      <a:ea typeface="+mn-ea"/>
                      <a:cs typeface="+mn-cs"/>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B5C-43C6-8B2B-BE2951343A6B}"/>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Sheet1!$A$2:$A$6</c:f>
              <c:strCache>
                <c:ptCount val="5"/>
                <c:pt idx="0">
                  <c:v>CONTRIBUŢII DE ASIGURĂRI SOCIALE DE STAT OBLIGATORII (18573.33 mil.lei)</c:v>
                </c:pt>
                <c:pt idx="1">
                  <c:v>VENITURI DIN PROPRIETATE (6.01 mil.lei)</c:v>
                </c:pt>
                <c:pt idx="2">
                  <c:v>AMENZI ŞI SANCŢIUNI (1.0 mil.lei)</c:v>
                </c:pt>
                <c:pt idx="3">
                  <c:v>ALTE VENITURI ŞI VENITURI NEIDENTIFICATE (421.7 mil.lei)</c:v>
                </c:pt>
                <c:pt idx="4">
                  <c:v>TRANSFERURI PRIMITE ÎN CADRUL BUGETULUI PUBLIC NAŢIONAL               (14794.03 mil.lei)</c:v>
                </c:pt>
              </c:strCache>
            </c:strRef>
          </c:cat>
          <c:val>
            <c:numRef>
              <c:f>Sheet1!$B$2:$B$6</c:f>
              <c:numCache>
                <c:formatCode>0.00%</c:formatCode>
                <c:ptCount val="5"/>
                <c:pt idx="0">
                  <c:v>0.54959999999999998</c:v>
                </c:pt>
                <c:pt idx="1">
                  <c:v>2.0000000000000001E-4</c:v>
                </c:pt>
                <c:pt idx="2">
                  <c:v>0</c:v>
                </c:pt>
                <c:pt idx="3">
                  <c:v>1.2500000000000001E-2</c:v>
                </c:pt>
                <c:pt idx="4">
                  <c:v>0.43769999999999998</c:v>
                </c:pt>
              </c:numCache>
            </c:numRef>
          </c:val>
          <c:extLst xmlns:c16r2="http://schemas.microsoft.com/office/drawing/2015/06/chart">
            <c:ext xmlns:c16="http://schemas.microsoft.com/office/drawing/2014/chart" uri="{C3380CC4-5D6E-409C-BE32-E72D297353CC}">
              <c16:uniqueId val="{0000000A-FB5C-43C6-8B2B-BE2951343A6B}"/>
            </c:ext>
          </c:extLst>
        </c:ser>
        <c:ser>
          <c:idx val="1"/>
          <c:order val="1"/>
          <c:tx>
            <c:strRef>
              <c:f>Sheet1!$C$1</c:f>
              <c:strCache>
                <c:ptCount val="1"/>
                <c:pt idx="0">
                  <c:v>Series 2</c:v>
                </c:pt>
              </c:strCache>
            </c:strRef>
          </c:tx>
          <c:dPt>
            <c:idx val="0"/>
            <c:bubble3D val="0"/>
            <c:spPr>
              <a:gradFill>
                <a:gsLst>
                  <a:gs pos="100000">
                    <a:schemeClr val="accent3">
                      <a:shade val="53000"/>
                      <a:lumMod val="60000"/>
                      <a:lumOff val="40000"/>
                    </a:schemeClr>
                  </a:gs>
                  <a:gs pos="0">
                    <a:schemeClr val="accent3">
                      <a:shade val="53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C-FB5C-43C6-8B2B-BE2951343A6B}"/>
              </c:ext>
            </c:extLst>
          </c:dPt>
          <c:dPt>
            <c:idx val="1"/>
            <c:bubble3D val="0"/>
            <c:spPr>
              <a:gradFill>
                <a:gsLst>
                  <a:gs pos="100000">
                    <a:schemeClr val="accent3">
                      <a:shade val="76000"/>
                      <a:lumMod val="60000"/>
                      <a:lumOff val="40000"/>
                    </a:schemeClr>
                  </a:gs>
                  <a:gs pos="0">
                    <a:schemeClr val="accent3">
                      <a:shade val="76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E-FB5C-43C6-8B2B-BE2951343A6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0-FB5C-43C6-8B2B-BE2951343A6B}"/>
              </c:ext>
            </c:extLst>
          </c:dPt>
          <c:dPt>
            <c:idx val="3"/>
            <c:bubble3D val="0"/>
            <c:spPr>
              <a:gradFill>
                <a:gsLst>
                  <a:gs pos="100000">
                    <a:schemeClr val="accent3">
                      <a:tint val="77000"/>
                      <a:lumMod val="60000"/>
                      <a:lumOff val="40000"/>
                    </a:schemeClr>
                  </a:gs>
                  <a:gs pos="0">
                    <a:schemeClr val="accent3">
                      <a:tint val="77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2-FB5C-43C6-8B2B-BE2951343A6B}"/>
              </c:ext>
            </c:extLst>
          </c:dPt>
          <c:dPt>
            <c:idx val="4"/>
            <c:bubble3D val="0"/>
            <c:spPr>
              <a:gradFill>
                <a:gsLst>
                  <a:gs pos="100000">
                    <a:schemeClr val="accent3">
                      <a:tint val="54000"/>
                      <a:lumMod val="60000"/>
                      <a:lumOff val="40000"/>
                    </a:schemeClr>
                  </a:gs>
                  <a:gs pos="0">
                    <a:schemeClr val="accent3">
                      <a:tint val="54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4-FB5C-43C6-8B2B-BE2951343A6B}"/>
              </c:ext>
            </c:extLst>
          </c:dPt>
          <c:cat>
            <c:strRef>
              <c:f>Sheet1!$A$2:$A$6</c:f>
              <c:strCache>
                <c:ptCount val="5"/>
                <c:pt idx="0">
                  <c:v>CONTRIBUŢII DE ASIGURĂRI SOCIALE DE STAT OBLIGATORII (18573.33 mil.lei)</c:v>
                </c:pt>
                <c:pt idx="1">
                  <c:v>VENITURI DIN PROPRIETATE (6.01 mil.lei)</c:v>
                </c:pt>
                <c:pt idx="2">
                  <c:v>AMENZI ŞI SANCŢIUNI (1.0 mil.lei)</c:v>
                </c:pt>
                <c:pt idx="3">
                  <c:v>ALTE VENITURI ŞI VENITURI NEIDENTIFICATE (421.7 mil.lei)</c:v>
                </c:pt>
                <c:pt idx="4">
                  <c:v>TRANSFERURI PRIMITE ÎN CADRUL BUGETULUI PUBLIC NAŢIONAL               (14794.03 mil.lei)</c:v>
                </c:pt>
              </c:strCache>
            </c:strRef>
          </c:cat>
          <c:val>
            <c:numRef>
              <c:f>Sheet1!$C$2:$C$6</c:f>
              <c:numCache>
                <c:formatCode>General</c:formatCode>
                <c:ptCount val="5"/>
              </c:numCache>
            </c:numRef>
          </c:val>
          <c:extLst xmlns:c16r2="http://schemas.microsoft.com/office/drawing/2015/06/chart">
            <c:ext xmlns:c16="http://schemas.microsoft.com/office/drawing/2014/chart" uri="{C3380CC4-5D6E-409C-BE32-E72D297353CC}">
              <c16:uniqueId val="{00000015-FB5C-43C6-8B2B-BE2951343A6B}"/>
            </c:ext>
          </c:extLst>
        </c:ser>
        <c:ser>
          <c:idx val="2"/>
          <c:order val="2"/>
          <c:tx>
            <c:strRef>
              <c:f>Sheet1!$D$1</c:f>
              <c:strCache>
                <c:ptCount val="1"/>
                <c:pt idx="0">
                  <c:v>Series 3</c:v>
                </c:pt>
              </c:strCache>
            </c:strRef>
          </c:tx>
          <c:dPt>
            <c:idx val="0"/>
            <c:bubble3D val="0"/>
            <c:spPr>
              <a:gradFill>
                <a:gsLst>
                  <a:gs pos="100000">
                    <a:schemeClr val="accent3">
                      <a:shade val="53000"/>
                      <a:lumMod val="60000"/>
                      <a:lumOff val="40000"/>
                    </a:schemeClr>
                  </a:gs>
                  <a:gs pos="0">
                    <a:schemeClr val="accent3">
                      <a:shade val="53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7-FB5C-43C6-8B2B-BE2951343A6B}"/>
              </c:ext>
            </c:extLst>
          </c:dPt>
          <c:dPt>
            <c:idx val="1"/>
            <c:bubble3D val="0"/>
            <c:spPr>
              <a:gradFill>
                <a:gsLst>
                  <a:gs pos="100000">
                    <a:schemeClr val="accent3">
                      <a:shade val="76000"/>
                      <a:lumMod val="60000"/>
                      <a:lumOff val="40000"/>
                    </a:schemeClr>
                  </a:gs>
                  <a:gs pos="0">
                    <a:schemeClr val="accent3">
                      <a:shade val="76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9-FB5C-43C6-8B2B-BE2951343A6B}"/>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B-FB5C-43C6-8B2B-BE2951343A6B}"/>
              </c:ext>
            </c:extLst>
          </c:dPt>
          <c:dPt>
            <c:idx val="3"/>
            <c:bubble3D val="0"/>
            <c:spPr>
              <a:gradFill>
                <a:gsLst>
                  <a:gs pos="100000">
                    <a:schemeClr val="accent3">
                      <a:tint val="77000"/>
                      <a:lumMod val="60000"/>
                      <a:lumOff val="40000"/>
                    </a:schemeClr>
                  </a:gs>
                  <a:gs pos="0">
                    <a:schemeClr val="accent3">
                      <a:tint val="77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D-FB5C-43C6-8B2B-BE2951343A6B}"/>
              </c:ext>
            </c:extLst>
          </c:dPt>
          <c:dPt>
            <c:idx val="4"/>
            <c:bubble3D val="0"/>
            <c:spPr>
              <a:gradFill>
                <a:gsLst>
                  <a:gs pos="100000">
                    <a:schemeClr val="accent3">
                      <a:tint val="54000"/>
                      <a:lumMod val="60000"/>
                      <a:lumOff val="40000"/>
                    </a:schemeClr>
                  </a:gs>
                  <a:gs pos="0">
                    <a:schemeClr val="accent3">
                      <a:tint val="54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F-FB5C-43C6-8B2B-BE2951343A6B}"/>
              </c:ext>
            </c:extLst>
          </c:dPt>
          <c:cat>
            <c:strRef>
              <c:f>Sheet1!$A$2:$A$6</c:f>
              <c:strCache>
                <c:ptCount val="5"/>
                <c:pt idx="0">
                  <c:v>CONTRIBUŢII DE ASIGURĂRI SOCIALE DE STAT OBLIGATORII (18573.33 mil.lei)</c:v>
                </c:pt>
                <c:pt idx="1">
                  <c:v>VENITURI DIN PROPRIETATE (6.01 mil.lei)</c:v>
                </c:pt>
                <c:pt idx="2">
                  <c:v>AMENZI ŞI SANCŢIUNI (1.0 mil.lei)</c:v>
                </c:pt>
                <c:pt idx="3">
                  <c:v>ALTE VENITURI ŞI VENITURI NEIDENTIFICATE (421.7 mil.lei)</c:v>
                </c:pt>
                <c:pt idx="4">
                  <c:v>TRANSFERURI PRIMITE ÎN CADRUL BUGETULUI PUBLIC NAŢIONAL               (14794.03 mil.lei)</c:v>
                </c:pt>
              </c:strCache>
            </c:strRef>
          </c:cat>
          <c:val>
            <c:numRef>
              <c:f>Sheet1!$D$2:$D$6</c:f>
              <c:numCache>
                <c:formatCode>General</c:formatCode>
                <c:ptCount val="5"/>
              </c:numCache>
            </c:numRef>
          </c:val>
          <c:extLst xmlns:c16r2="http://schemas.microsoft.com/office/drawing/2015/06/chart">
            <c:ext xmlns:c16="http://schemas.microsoft.com/office/drawing/2014/chart" uri="{C3380CC4-5D6E-409C-BE32-E72D297353CC}">
              <c16:uniqueId val="{00000020-FB5C-43C6-8B2B-BE2951343A6B}"/>
            </c:ext>
          </c:extLst>
        </c:ser>
        <c:dLbls>
          <c:showLegendKey val="0"/>
          <c:showVal val="0"/>
          <c:showCatName val="0"/>
          <c:showSerName val="0"/>
          <c:showPercent val="0"/>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900" b="1" i="0" u="none" strike="noStrike" kern="1200" baseline="0">
                <a:solidFill>
                  <a:schemeClr val="dk1">
                    <a:lumMod val="65000"/>
                    <a:lumOff val="35000"/>
                  </a:schemeClr>
                </a:solidFill>
                <a:latin typeface="+mj-lt"/>
                <a:ea typeface="+mn-ea"/>
                <a:cs typeface="+mn-cs"/>
              </a:defRPr>
            </a:pPr>
            <a:endParaRPr lang="ru-RU"/>
          </a:p>
        </c:txPr>
      </c:legendEntry>
      <c:legendEntry>
        <c:idx val="1"/>
        <c:txPr>
          <a:bodyPr rot="0" spcFirstLastPara="1" vertOverflow="ellipsis" vert="horz" wrap="square" anchor="ctr" anchorCtr="1"/>
          <a:lstStyle/>
          <a:p>
            <a:pPr>
              <a:defRPr sz="900" b="1" i="0" u="none" strike="noStrike" kern="1200" baseline="0">
                <a:solidFill>
                  <a:schemeClr val="dk1">
                    <a:lumMod val="65000"/>
                    <a:lumOff val="35000"/>
                  </a:schemeClr>
                </a:solidFill>
                <a:latin typeface="+mj-lt"/>
                <a:ea typeface="+mn-ea"/>
                <a:cs typeface="+mn-cs"/>
              </a:defRPr>
            </a:pPr>
            <a:endParaRPr lang="ru-RU"/>
          </a:p>
        </c:txPr>
      </c:legendEntry>
      <c:legendEntry>
        <c:idx val="2"/>
        <c:txPr>
          <a:bodyPr rot="0" spcFirstLastPara="1" vertOverflow="ellipsis" vert="horz" wrap="square" anchor="ctr" anchorCtr="1"/>
          <a:lstStyle/>
          <a:p>
            <a:pPr>
              <a:defRPr sz="900" b="1" i="0" u="none" strike="noStrike" kern="1200" baseline="0">
                <a:solidFill>
                  <a:schemeClr val="dk1">
                    <a:lumMod val="65000"/>
                    <a:lumOff val="35000"/>
                  </a:schemeClr>
                </a:solidFill>
                <a:latin typeface="+mj-lt"/>
                <a:ea typeface="+mn-ea"/>
                <a:cs typeface="+mn-cs"/>
              </a:defRPr>
            </a:pPr>
            <a:endParaRPr lang="ru-RU"/>
          </a:p>
        </c:txPr>
      </c:legendEntry>
      <c:legendEntry>
        <c:idx val="3"/>
        <c:txPr>
          <a:bodyPr rot="0" spcFirstLastPara="1" vertOverflow="ellipsis" vert="horz" wrap="square" anchor="ctr" anchorCtr="1"/>
          <a:lstStyle/>
          <a:p>
            <a:pPr>
              <a:defRPr sz="900" b="1" i="0" u="none" strike="noStrike" kern="1200" baseline="0">
                <a:solidFill>
                  <a:schemeClr val="dk1">
                    <a:lumMod val="65000"/>
                    <a:lumOff val="35000"/>
                  </a:schemeClr>
                </a:solidFill>
                <a:latin typeface="+mj-lt"/>
                <a:ea typeface="+mn-ea"/>
                <a:cs typeface="+mn-cs"/>
              </a:defRPr>
            </a:pPr>
            <a:endParaRPr lang="ru-RU"/>
          </a:p>
        </c:txPr>
      </c:legendEntry>
      <c:legendEntry>
        <c:idx val="4"/>
        <c:txPr>
          <a:bodyPr rot="0" spcFirstLastPara="1" vertOverflow="ellipsis" vert="horz" wrap="square" anchor="ctr" anchorCtr="1"/>
          <a:lstStyle/>
          <a:p>
            <a:pPr>
              <a:defRPr sz="900" b="1" i="0" u="none" strike="noStrike" kern="1200" baseline="0">
                <a:solidFill>
                  <a:schemeClr val="dk1">
                    <a:lumMod val="65000"/>
                    <a:lumOff val="35000"/>
                  </a:schemeClr>
                </a:solidFill>
                <a:latin typeface="+mj-lt"/>
                <a:ea typeface="+mn-ea"/>
                <a:cs typeface="+mn-cs"/>
              </a:defRPr>
            </a:pPr>
            <a:endParaRPr lang="ru-RU"/>
          </a:p>
        </c:txPr>
      </c:legendEntry>
      <c:layout>
        <c:manualLayout>
          <c:xMode val="edge"/>
          <c:yMode val="edge"/>
          <c:x val="0.65883730679498398"/>
          <c:y val="0.13268034036068072"/>
          <c:w val="0.32727380431612713"/>
          <c:h val="0.8310995399768577"/>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Veniturile proprii BASS</c:v>
                </c:pt>
              </c:strCache>
            </c:strRef>
          </c:tx>
          <c:spPr>
            <a:solidFill>
              <a:schemeClr val="accent3">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j-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Anul 2018</c:v>
                </c:pt>
                <c:pt idx="1">
                  <c:v>Anul 2019</c:v>
                </c:pt>
                <c:pt idx="2">
                  <c:v>Anul 2020</c:v>
                </c:pt>
                <c:pt idx="3">
                  <c:v>Anul 2021</c:v>
                </c:pt>
                <c:pt idx="4">
                  <c:v>Anul 2022</c:v>
                </c:pt>
              </c:strCache>
            </c:strRef>
          </c:cat>
          <c:val>
            <c:numRef>
              <c:f>Sheet1!$B$2:$B$6</c:f>
              <c:numCache>
                <c:formatCode>General</c:formatCode>
                <c:ptCount val="5"/>
                <c:pt idx="0">
                  <c:v>13037.9</c:v>
                </c:pt>
                <c:pt idx="1">
                  <c:v>13635.7</c:v>
                </c:pt>
                <c:pt idx="2">
                  <c:v>14295.4</c:v>
                </c:pt>
                <c:pt idx="3">
                  <c:v>16223.9</c:v>
                </c:pt>
                <c:pt idx="4">
                  <c:v>19002</c:v>
                </c:pt>
              </c:numCache>
            </c:numRef>
          </c:val>
          <c:extLst xmlns:c16r2="http://schemas.microsoft.com/office/drawing/2015/06/chart">
            <c:ext xmlns:c16="http://schemas.microsoft.com/office/drawing/2014/chart" uri="{C3380CC4-5D6E-409C-BE32-E72D297353CC}">
              <c16:uniqueId val="{00000000-5799-4014-813B-D0A9AA7B7C53}"/>
            </c:ext>
          </c:extLst>
        </c:ser>
        <c:ser>
          <c:idx val="1"/>
          <c:order val="1"/>
          <c:tx>
            <c:strRef>
              <c:f>Sheet1!$C$1</c:f>
              <c:strCache>
                <c:ptCount val="1"/>
                <c:pt idx="0">
                  <c:v>Transferuri primite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j-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Anul 2018</c:v>
                </c:pt>
                <c:pt idx="1">
                  <c:v>Anul 2019</c:v>
                </c:pt>
                <c:pt idx="2">
                  <c:v>Anul 2020</c:v>
                </c:pt>
                <c:pt idx="3">
                  <c:v>Anul 2021</c:v>
                </c:pt>
                <c:pt idx="4">
                  <c:v>Anul 2022</c:v>
                </c:pt>
              </c:strCache>
            </c:strRef>
          </c:cat>
          <c:val>
            <c:numRef>
              <c:f>Sheet1!$C$2:$C$6</c:f>
              <c:numCache>
                <c:formatCode>General</c:formatCode>
                <c:ptCount val="5"/>
                <c:pt idx="0">
                  <c:v>6670.2</c:v>
                </c:pt>
                <c:pt idx="1">
                  <c:v>7957</c:v>
                </c:pt>
                <c:pt idx="2">
                  <c:v>9769.4</c:v>
                </c:pt>
                <c:pt idx="3">
                  <c:v>10724.7</c:v>
                </c:pt>
                <c:pt idx="4">
                  <c:v>14794</c:v>
                </c:pt>
              </c:numCache>
            </c:numRef>
          </c:val>
          <c:extLst xmlns:c16r2="http://schemas.microsoft.com/office/drawing/2015/06/chart">
            <c:ext xmlns:c16="http://schemas.microsoft.com/office/drawing/2014/chart" uri="{C3380CC4-5D6E-409C-BE32-E72D297353CC}">
              <c16:uniqueId val="{00000001-5799-4014-813B-D0A9AA7B7C53}"/>
            </c:ext>
          </c:extLst>
        </c:ser>
        <c:ser>
          <c:idx val="2"/>
          <c:order val="2"/>
          <c:tx>
            <c:strRef>
              <c:f>Sheet1!$D$1</c:f>
              <c:strCache>
                <c:ptCount val="1"/>
                <c:pt idx="0">
                  <c:v>Total venituri</c:v>
                </c:pt>
              </c:strCache>
            </c:strRef>
          </c:tx>
          <c:spPr>
            <a:solidFill>
              <a:schemeClr val="accent3">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j-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Anul 2018</c:v>
                </c:pt>
                <c:pt idx="1">
                  <c:v>Anul 2019</c:v>
                </c:pt>
                <c:pt idx="2">
                  <c:v>Anul 2020</c:v>
                </c:pt>
                <c:pt idx="3">
                  <c:v>Anul 2021</c:v>
                </c:pt>
                <c:pt idx="4">
                  <c:v>Anul 2022</c:v>
                </c:pt>
              </c:strCache>
            </c:strRef>
          </c:cat>
          <c:val>
            <c:numRef>
              <c:f>Sheet1!$D$2:$D$6</c:f>
              <c:numCache>
                <c:formatCode>General</c:formatCode>
                <c:ptCount val="5"/>
                <c:pt idx="0">
                  <c:v>19790.3</c:v>
                </c:pt>
                <c:pt idx="1">
                  <c:v>21748.3</c:v>
                </c:pt>
                <c:pt idx="2">
                  <c:v>24285.5</c:v>
                </c:pt>
                <c:pt idx="3">
                  <c:v>27246.5</c:v>
                </c:pt>
                <c:pt idx="4">
                  <c:v>33796</c:v>
                </c:pt>
              </c:numCache>
            </c:numRef>
          </c:val>
          <c:extLst xmlns:c16r2="http://schemas.microsoft.com/office/drawing/2015/06/chart">
            <c:ext xmlns:c16="http://schemas.microsoft.com/office/drawing/2014/chart" uri="{C3380CC4-5D6E-409C-BE32-E72D297353CC}">
              <c16:uniqueId val="{00000002-5799-4014-813B-D0A9AA7B7C53}"/>
            </c:ext>
          </c:extLst>
        </c:ser>
        <c:dLbls>
          <c:showLegendKey val="0"/>
          <c:showVal val="1"/>
          <c:showCatName val="0"/>
          <c:showSerName val="0"/>
          <c:showPercent val="0"/>
          <c:showBubbleSize val="0"/>
        </c:dLbls>
        <c:gapWidth val="75"/>
        <c:axId val="256786344"/>
        <c:axId val="256786736"/>
      </c:barChart>
      <c:catAx>
        <c:axId val="256786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j-lt"/>
                <a:ea typeface="+mn-ea"/>
                <a:cs typeface="+mn-cs"/>
              </a:defRPr>
            </a:pPr>
            <a:endParaRPr lang="ru-RU"/>
          </a:p>
        </c:txPr>
        <c:crossAx val="256786736"/>
        <c:crosses val="autoZero"/>
        <c:auto val="1"/>
        <c:lblAlgn val="ctr"/>
        <c:lblOffset val="100"/>
        <c:noMultiLvlLbl val="0"/>
      </c:catAx>
      <c:valAx>
        <c:axId val="2567867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56786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j-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Sheet1!$B$1</c:f>
              <c:strCache>
                <c:ptCount val="1"/>
                <c:pt idx="0">
                  <c:v>Ponderea contribuțiilor și primelor de asigurări obligatorii în total venituri</c:v>
                </c:pt>
              </c:strCache>
            </c:strRef>
          </c:tx>
          <c:spPr>
            <a:solidFill>
              <a:schemeClr val="accent3">
                <a:shade val="65000"/>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Anul 2019</c:v>
                </c:pt>
                <c:pt idx="1">
                  <c:v>Anul 2020</c:v>
                </c:pt>
                <c:pt idx="2">
                  <c:v>Anul 2021</c:v>
                </c:pt>
                <c:pt idx="3">
                  <c:v>Anul 2022</c:v>
                </c:pt>
              </c:strCache>
            </c:strRef>
          </c:cat>
          <c:val>
            <c:numRef>
              <c:f>Sheet1!$B$2:$B$5</c:f>
              <c:numCache>
                <c:formatCode>0.00%</c:formatCode>
                <c:ptCount val="4"/>
                <c:pt idx="0">
                  <c:v>0.627</c:v>
                </c:pt>
                <c:pt idx="1">
                  <c:v>0.58860000000000001</c:v>
                </c:pt>
                <c:pt idx="2">
                  <c:v>0.59540000000000004</c:v>
                </c:pt>
                <c:pt idx="3">
                  <c:v>0.56200000000000006</c:v>
                </c:pt>
              </c:numCache>
            </c:numRef>
          </c:val>
          <c:extLst xmlns:c16r2="http://schemas.microsoft.com/office/drawing/2015/06/chart">
            <c:ext xmlns:c16="http://schemas.microsoft.com/office/drawing/2014/chart" uri="{C3380CC4-5D6E-409C-BE32-E72D297353CC}">
              <c16:uniqueId val="{00000000-DEC6-44A9-AF08-6A003EC69E4C}"/>
            </c:ext>
          </c:extLst>
        </c:ser>
        <c:ser>
          <c:idx val="1"/>
          <c:order val="1"/>
          <c:tx>
            <c:strRef>
              <c:f>Sheet1!$C$1</c:f>
              <c:strCache>
                <c:ptCount val="1"/>
                <c:pt idx="0">
                  <c:v>Ponderea transferurilor în total venituri</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Anul 2019</c:v>
                </c:pt>
                <c:pt idx="1">
                  <c:v>Anul 2020</c:v>
                </c:pt>
                <c:pt idx="2">
                  <c:v>Anul 2021</c:v>
                </c:pt>
                <c:pt idx="3">
                  <c:v>Anul 2022</c:v>
                </c:pt>
              </c:strCache>
            </c:strRef>
          </c:cat>
          <c:val>
            <c:numRef>
              <c:f>Sheet1!$C$2:$C$5</c:f>
              <c:numCache>
                <c:formatCode>0.00%</c:formatCode>
                <c:ptCount val="4"/>
                <c:pt idx="0">
                  <c:v>0.3659</c:v>
                </c:pt>
                <c:pt idx="1">
                  <c:v>0.40229999999999999</c:v>
                </c:pt>
                <c:pt idx="2">
                  <c:v>0.39360000000000001</c:v>
                </c:pt>
                <c:pt idx="3">
                  <c:v>0.438</c:v>
                </c:pt>
              </c:numCache>
            </c:numRef>
          </c:val>
          <c:extLst xmlns:c16r2="http://schemas.microsoft.com/office/drawing/2015/06/chart">
            <c:ext xmlns:c16="http://schemas.microsoft.com/office/drawing/2014/chart" uri="{C3380CC4-5D6E-409C-BE32-E72D297353CC}">
              <c16:uniqueId val="{00000001-DEC6-44A9-AF08-6A003EC69E4C}"/>
            </c:ext>
          </c:extLst>
        </c:ser>
        <c:dLbls>
          <c:dLblPos val="ctr"/>
          <c:showLegendKey val="0"/>
          <c:showVal val="1"/>
          <c:showCatName val="0"/>
          <c:showSerName val="0"/>
          <c:showPercent val="0"/>
          <c:showBubbleSize val="0"/>
        </c:dLbls>
        <c:gapWidth val="150"/>
        <c:axId val="256787520"/>
        <c:axId val="256787912"/>
      </c:barChart>
      <c:lineChart>
        <c:grouping val="standard"/>
        <c:varyColors val="0"/>
        <c:ser>
          <c:idx val="2"/>
          <c:order val="2"/>
          <c:tx>
            <c:strRef>
              <c:f>Sheet1!$D$1</c:f>
              <c:strCache>
                <c:ptCount val="1"/>
                <c:pt idx="0">
                  <c:v>Total venituri</c:v>
                </c:pt>
              </c:strCache>
            </c:strRef>
          </c:tx>
          <c:spPr>
            <a:ln w="31750" cap="rnd">
              <a:solidFill>
                <a:schemeClr val="accent3">
                  <a:tint val="65000"/>
                  <a:alpha val="85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j-lt"/>
                    <a:ea typeface="+mn-ea"/>
                    <a:cs typeface="+mn-cs"/>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Anul 2019</c:v>
                </c:pt>
                <c:pt idx="1">
                  <c:v>Anul 2020</c:v>
                </c:pt>
                <c:pt idx="2">
                  <c:v>Anul 2021</c:v>
                </c:pt>
                <c:pt idx="3">
                  <c:v>Anul 2022</c:v>
                </c:pt>
              </c:strCache>
            </c:strRef>
          </c:cat>
          <c:val>
            <c:numRef>
              <c:f>Sheet1!$D$2:$D$5</c:f>
              <c:numCache>
                <c:formatCode>0%</c:formatCode>
                <c:ptCount val="4"/>
                <c:pt idx="0">
                  <c:v>1</c:v>
                </c:pt>
                <c:pt idx="1">
                  <c:v>1</c:v>
                </c:pt>
                <c:pt idx="2">
                  <c:v>1</c:v>
                </c:pt>
                <c:pt idx="3">
                  <c:v>1</c:v>
                </c:pt>
              </c:numCache>
            </c:numRef>
          </c:val>
          <c:smooth val="0"/>
          <c:extLst xmlns:c16r2="http://schemas.microsoft.com/office/drawing/2015/06/chart">
            <c:ext xmlns:c16="http://schemas.microsoft.com/office/drawing/2014/chart" uri="{C3380CC4-5D6E-409C-BE32-E72D297353CC}">
              <c16:uniqueId val="{00000002-DEC6-44A9-AF08-6A003EC69E4C}"/>
            </c:ext>
          </c:extLst>
        </c:ser>
        <c:dLbls>
          <c:showLegendKey val="0"/>
          <c:showVal val="0"/>
          <c:showCatName val="0"/>
          <c:showSerName val="0"/>
          <c:showPercent val="0"/>
          <c:showBubbleSize val="0"/>
        </c:dLbls>
        <c:marker val="1"/>
        <c:smooth val="0"/>
        <c:axId val="256928904"/>
        <c:axId val="254184816"/>
      </c:lineChart>
      <c:catAx>
        <c:axId val="25678752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1" i="0" u="none" strike="noStrike" kern="1200" cap="all" baseline="0">
                <a:solidFill>
                  <a:sysClr val="windowText" lastClr="000000"/>
                </a:solidFill>
                <a:latin typeface="+mj-lt"/>
                <a:ea typeface="+mn-ea"/>
                <a:cs typeface="+mn-cs"/>
              </a:defRPr>
            </a:pPr>
            <a:endParaRPr lang="ru-RU"/>
          </a:p>
        </c:txPr>
        <c:crossAx val="256787912"/>
        <c:crosses val="autoZero"/>
        <c:auto val="1"/>
        <c:lblAlgn val="ctr"/>
        <c:lblOffset val="100"/>
        <c:noMultiLvlLbl val="0"/>
      </c:catAx>
      <c:valAx>
        <c:axId val="256787912"/>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256787520"/>
        <c:crosses val="autoZero"/>
        <c:crossBetween val="between"/>
      </c:valAx>
      <c:valAx>
        <c:axId val="254184816"/>
        <c:scaling>
          <c:orientation val="minMax"/>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j-lt"/>
                <a:ea typeface="+mn-ea"/>
                <a:cs typeface="+mn-cs"/>
              </a:defRPr>
            </a:pPr>
            <a:endParaRPr lang="ru-RU"/>
          </a:p>
        </c:txPr>
        <c:crossAx val="256928904"/>
        <c:crosses val="max"/>
        <c:crossBetween val="between"/>
      </c:valAx>
      <c:catAx>
        <c:axId val="256928904"/>
        <c:scaling>
          <c:orientation val="minMax"/>
        </c:scaling>
        <c:delete val="1"/>
        <c:axPos val="b"/>
        <c:numFmt formatCode="General" sourceLinked="1"/>
        <c:majorTickMark val="out"/>
        <c:minorTickMark val="none"/>
        <c:tickLblPos val="nextTo"/>
        <c:crossAx val="254184816"/>
        <c:crosses val="autoZero"/>
        <c:auto val="1"/>
        <c:lblAlgn val="ctr"/>
        <c:lblOffset val="100"/>
        <c:noMultiLvlLbl val="0"/>
      </c:cat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j-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solidFill>
            <a:sysClr val="windowText" lastClr="000000"/>
          </a:solidFill>
          <a:latin typeface="+mj-lt"/>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Sheet1!$B$1</c:f>
              <c:strCache>
                <c:ptCount val="1"/>
                <c:pt idx="0">
                  <c:v>Sales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j-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Anul 2018 </c:v>
                </c:pt>
                <c:pt idx="1">
                  <c:v>Anul 2019</c:v>
                </c:pt>
                <c:pt idx="2">
                  <c:v>Anul 2020 </c:v>
                </c:pt>
                <c:pt idx="3">
                  <c:v>Anul 2021 </c:v>
                </c:pt>
                <c:pt idx="4">
                  <c:v>Anul 2022</c:v>
                </c:pt>
              </c:strCache>
            </c:strRef>
          </c:cat>
          <c:val>
            <c:numRef>
              <c:f>Sheet1!$B$2:$B$6</c:f>
              <c:numCache>
                <c:formatCode>General</c:formatCode>
                <c:ptCount val="5"/>
                <c:pt idx="0">
                  <c:v>19473</c:v>
                </c:pt>
                <c:pt idx="1">
                  <c:v>21681.8</c:v>
                </c:pt>
                <c:pt idx="2">
                  <c:v>24300.6</c:v>
                </c:pt>
                <c:pt idx="3">
                  <c:v>27149.3</c:v>
                </c:pt>
                <c:pt idx="4">
                  <c:v>33773.300000000003</c:v>
                </c:pt>
              </c:numCache>
            </c:numRef>
          </c:val>
          <c:extLst xmlns:c16r2="http://schemas.microsoft.com/office/drawing/2015/06/chart">
            <c:ext xmlns:c16="http://schemas.microsoft.com/office/drawing/2014/chart" uri="{C3380CC4-5D6E-409C-BE32-E72D297353CC}">
              <c16:uniqueId val="{00000000-CE6D-45EB-A9D6-4AA274694B8C}"/>
            </c:ext>
          </c:extLst>
        </c:ser>
        <c:dLbls>
          <c:showLegendKey val="0"/>
          <c:showVal val="0"/>
          <c:showCatName val="0"/>
          <c:showSerName val="0"/>
          <c:showPercent val="1"/>
          <c:showBubbleSize val="0"/>
        </c:dLbls>
        <c:gapWidth val="79"/>
        <c:shape val="box"/>
        <c:axId val="258011552"/>
        <c:axId val="258011944"/>
        <c:axId val="0"/>
      </c:bar3DChart>
      <c:catAx>
        <c:axId val="258011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j-lt"/>
                <a:ea typeface="+mn-ea"/>
                <a:cs typeface="+mn-cs"/>
              </a:defRPr>
            </a:pPr>
            <a:endParaRPr lang="ru-RU"/>
          </a:p>
        </c:txPr>
        <c:crossAx val="258011944"/>
        <c:crosses val="autoZero"/>
        <c:auto val="1"/>
        <c:lblAlgn val="ctr"/>
        <c:lblOffset val="100"/>
        <c:noMultiLvlLbl val="0"/>
      </c:catAx>
      <c:valAx>
        <c:axId val="258011944"/>
        <c:scaling>
          <c:orientation val="minMax"/>
        </c:scaling>
        <c:delete val="1"/>
        <c:axPos val="b"/>
        <c:numFmt formatCode="General" sourceLinked="1"/>
        <c:majorTickMark val="none"/>
        <c:minorTickMark val="none"/>
        <c:tickLblPos val="nextTo"/>
        <c:crossAx val="25801155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2577996715927751E-2"/>
          <c:y val="4.3650793650793648E-2"/>
          <c:w val="0.62349711673971786"/>
          <c:h val="0.94047619047619047"/>
        </c:manualLayout>
      </c:layout>
      <c:pie3DChart>
        <c:varyColors val="1"/>
        <c:ser>
          <c:idx val="0"/>
          <c:order val="0"/>
          <c:tx>
            <c:strRef>
              <c:f>Sheet1!$B$1</c:f>
              <c:strCache>
                <c:ptCount val="1"/>
                <c:pt idx="0">
                  <c:v>Sales</c:v>
                </c:pt>
              </c:strCache>
            </c:strRef>
          </c:tx>
          <c:dPt>
            <c:idx val="0"/>
            <c:bubble3D val="0"/>
            <c:explosion val="8"/>
            <c:spPr>
              <a:gradFill>
                <a:gsLst>
                  <a:gs pos="100000">
                    <a:schemeClr val="accent3">
                      <a:shade val="42000"/>
                      <a:lumMod val="60000"/>
                      <a:lumOff val="40000"/>
                    </a:schemeClr>
                  </a:gs>
                  <a:gs pos="0">
                    <a:schemeClr val="accent3">
                      <a:shade val="42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1-B98D-4B9C-986A-328CAD6546BC}"/>
              </c:ext>
            </c:extLst>
          </c:dPt>
          <c:dPt>
            <c:idx val="1"/>
            <c:bubble3D val="0"/>
            <c:explosion val="6"/>
            <c:spPr>
              <a:gradFill>
                <a:gsLst>
                  <a:gs pos="100000">
                    <a:schemeClr val="accent3">
                      <a:shade val="55000"/>
                      <a:lumMod val="60000"/>
                      <a:lumOff val="40000"/>
                    </a:schemeClr>
                  </a:gs>
                  <a:gs pos="0">
                    <a:schemeClr val="accent3">
                      <a:shade val="55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3-B98D-4B9C-986A-328CAD6546BC}"/>
              </c:ext>
            </c:extLst>
          </c:dPt>
          <c:dPt>
            <c:idx val="2"/>
            <c:bubble3D val="0"/>
            <c:explosion val="3"/>
            <c:spPr>
              <a:gradFill>
                <a:gsLst>
                  <a:gs pos="100000">
                    <a:schemeClr val="accent3">
                      <a:shade val="68000"/>
                      <a:lumMod val="60000"/>
                      <a:lumOff val="40000"/>
                    </a:schemeClr>
                  </a:gs>
                  <a:gs pos="0">
                    <a:schemeClr val="accent3">
                      <a:shade val="68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5-B98D-4B9C-986A-328CAD6546BC}"/>
              </c:ext>
            </c:extLst>
          </c:dPt>
          <c:dPt>
            <c:idx val="3"/>
            <c:bubble3D val="0"/>
            <c:spPr>
              <a:gradFill>
                <a:gsLst>
                  <a:gs pos="100000">
                    <a:schemeClr val="accent3">
                      <a:shade val="80000"/>
                      <a:lumMod val="60000"/>
                      <a:lumOff val="40000"/>
                    </a:schemeClr>
                  </a:gs>
                  <a:gs pos="0">
                    <a:schemeClr val="accent3">
                      <a:shade val="80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7-B98D-4B9C-986A-328CAD6546BC}"/>
              </c:ext>
            </c:extLst>
          </c:dPt>
          <c:dPt>
            <c:idx val="4"/>
            <c:bubble3D val="0"/>
            <c:spPr>
              <a:gradFill>
                <a:gsLst>
                  <a:gs pos="100000">
                    <a:schemeClr val="accent3">
                      <a:shade val="93000"/>
                      <a:lumMod val="60000"/>
                      <a:lumOff val="40000"/>
                    </a:schemeClr>
                  </a:gs>
                  <a:gs pos="0">
                    <a:schemeClr val="accent3">
                      <a:shade val="93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9-B98D-4B9C-986A-328CAD6546BC}"/>
              </c:ext>
            </c:extLst>
          </c:dPt>
          <c:dPt>
            <c:idx val="5"/>
            <c:bubble3D val="0"/>
            <c:spPr>
              <a:gradFill>
                <a:gsLst>
                  <a:gs pos="100000">
                    <a:schemeClr val="accent3">
                      <a:tint val="94000"/>
                      <a:lumMod val="60000"/>
                      <a:lumOff val="40000"/>
                    </a:schemeClr>
                  </a:gs>
                  <a:gs pos="0">
                    <a:schemeClr val="accent3">
                      <a:tint val="94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B-B98D-4B9C-986A-328CAD6546BC}"/>
              </c:ext>
            </c:extLst>
          </c:dPt>
          <c:dPt>
            <c:idx val="6"/>
            <c:bubble3D val="0"/>
            <c:explosion val="4"/>
            <c:spPr>
              <a:gradFill>
                <a:gsLst>
                  <a:gs pos="100000">
                    <a:schemeClr val="accent3">
                      <a:tint val="81000"/>
                      <a:lumMod val="60000"/>
                      <a:lumOff val="40000"/>
                    </a:schemeClr>
                  </a:gs>
                  <a:gs pos="0">
                    <a:schemeClr val="accent3">
                      <a:tint val="81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D-B98D-4B9C-986A-328CAD6546BC}"/>
              </c:ext>
            </c:extLst>
          </c:dPt>
          <c:dPt>
            <c:idx val="7"/>
            <c:bubble3D val="0"/>
            <c:explosion val="5"/>
            <c:spPr>
              <a:gradFill>
                <a:gsLst>
                  <a:gs pos="100000">
                    <a:schemeClr val="accent3">
                      <a:tint val="69000"/>
                      <a:lumMod val="60000"/>
                      <a:lumOff val="40000"/>
                    </a:schemeClr>
                  </a:gs>
                  <a:gs pos="0">
                    <a:schemeClr val="accent3">
                      <a:tint val="69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0F-B98D-4B9C-986A-328CAD6546BC}"/>
              </c:ext>
            </c:extLst>
          </c:dPt>
          <c:dPt>
            <c:idx val="8"/>
            <c:bubble3D val="0"/>
            <c:explosion val="9"/>
            <c:spPr>
              <a:gradFill>
                <a:gsLst>
                  <a:gs pos="100000">
                    <a:schemeClr val="accent3">
                      <a:tint val="56000"/>
                      <a:lumMod val="60000"/>
                      <a:lumOff val="40000"/>
                    </a:schemeClr>
                  </a:gs>
                  <a:gs pos="0">
                    <a:schemeClr val="accent3">
                      <a:tint val="56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1-B98D-4B9C-986A-328CAD6546BC}"/>
              </c:ext>
            </c:extLst>
          </c:dPt>
          <c:dPt>
            <c:idx val="9"/>
            <c:bubble3D val="0"/>
            <c:explosion val="8"/>
            <c:spPr>
              <a:gradFill>
                <a:gsLst>
                  <a:gs pos="100000">
                    <a:schemeClr val="accent3">
                      <a:tint val="43000"/>
                      <a:lumMod val="60000"/>
                      <a:lumOff val="40000"/>
                    </a:schemeClr>
                  </a:gs>
                  <a:gs pos="0">
                    <a:schemeClr val="accent3">
                      <a:tint val="43000"/>
                    </a:schemeClr>
                  </a:gs>
                </a:gsLst>
                <a:lin ang="5400000" scaled="0"/>
              </a:gradFill>
              <a:ln w="50800">
                <a:solidFill>
                  <a:schemeClr val="lt1"/>
                </a:solidFill>
              </a:ln>
              <a:effectLst/>
              <a:sp3d contourW="50800">
                <a:contourClr>
                  <a:schemeClr val="lt1"/>
                </a:contourClr>
              </a:sp3d>
            </c:spPr>
            <c:extLst xmlns:c16r2="http://schemas.microsoft.com/office/drawing/2015/06/chart">
              <c:ext xmlns:c16="http://schemas.microsoft.com/office/drawing/2014/chart" uri="{C3380CC4-5D6E-409C-BE32-E72D297353CC}">
                <c16:uniqueId val="{00000013-B98D-4B9C-986A-328CAD6546BC}"/>
              </c:ext>
            </c:extLst>
          </c:dPt>
          <c:dLbls>
            <c:dLbl>
              <c:idx val="0"/>
              <c:layout>
                <c:manualLayout>
                  <c:x val="7.6370841575837123E-3"/>
                  <c:y val="-1.751437320334960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B98D-4B9C-986A-328CAD6546BC}"/>
                </c:ext>
                <c:ext xmlns:c15="http://schemas.microsoft.com/office/drawing/2012/chart" uri="{CE6537A1-D6FC-4f65-9D91-7224C49458BB}"/>
              </c:extLst>
            </c:dLbl>
            <c:dLbl>
              <c:idx val="1"/>
              <c:layout>
                <c:manualLayout>
                  <c:x val="2.0723594895465654E-2"/>
                  <c:y val="-1.2888388951381077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B98D-4B9C-986A-328CAD6546BC}"/>
                </c:ext>
                <c:ext xmlns:c15="http://schemas.microsoft.com/office/drawing/2012/chart" uri="{CE6537A1-D6FC-4f65-9D91-7224C49458BB}"/>
              </c:extLst>
            </c:dLbl>
            <c:dLbl>
              <c:idx val="3"/>
              <c:layout>
                <c:manualLayout>
                  <c:x val="-2.9194626533752249E-3"/>
                  <c:y val="-2.8697350331208526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7-B98D-4B9C-986A-328CAD6546BC}"/>
                </c:ext>
                <c:ext xmlns:c15="http://schemas.microsoft.com/office/drawing/2012/chart" uri="{CE6537A1-D6FC-4f65-9D91-7224C49458BB}"/>
              </c:extLst>
            </c:dLbl>
            <c:dLbl>
              <c:idx val="4"/>
              <c:layout>
                <c:manualLayout>
                  <c:x val="-2.2250882432799362E-2"/>
                  <c:y val="-0.128153980752406"/>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B98D-4B9C-986A-328CAD6546BC}"/>
                </c:ext>
                <c:ext xmlns:c15="http://schemas.microsoft.com/office/drawing/2012/chart" uri="{CE6537A1-D6FC-4f65-9D91-7224C49458BB}"/>
              </c:extLst>
            </c:dLbl>
            <c:dLbl>
              <c:idx val="5"/>
              <c:layout>
                <c:manualLayout>
                  <c:x val="-6.9220873252914231E-4"/>
                  <c:y val="-4.5035933008373989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B-B98D-4B9C-986A-328CAD6546BC}"/>
                </c:ext>
                <c:ext xmlns:c15="http://schemas.microsoft.com/office/drawing/2012/chart" uri="{CE6537A1-D6FC-4f65-9D91-7224C49458BB}"/>
              </c:extLst>
            </c:dLbl>
            <c:dLbl>
              <c:idx val="6"/>
              <c:layout>
                <c:manualLayout>
                  <c:x val="4.2318794202448815E-2"/>
                  <c:y val="-5.089332583427073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D-B98D-4B9C-986A-328CAD6546BC}"/>
                </c:ext>
                <c:ext xmlns:c15="http://schemas.microsoft.com/office/drawing/2012/chart" uri="{CE6537A1-D6FC-4f65-9D91-7224C49458BB}"/>
              </c:extLst>
            </c:dLbl>
            <c:dLbl>
              <c:idx val="7"/>
              <c:layout>
                <c:manualLayout>
                  <c:x val="-5.975977140788436E-3"/>
                  <c:y val="-1.38838895138108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F-B98D-4B9C-986A-328CAD6546BC}"/>
                </c:ext>
                <c:ext xmlns:c15="http://schemas.microsoft.com/office/drawing/2012/chart" uri="{CE6537A1-D6FC-4f65-9D91-7224C49458BB}"/>
              </c:extLst>
            </c:dLbl>
            <c:dLbl>
              <c:idx val="8"/>
              <c:layout>
                <c:manualLayout>
                  <c:x val="-1.119526007524959E-3"/>
                  <c:y val="-2.7090363704536952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1-B98D-4B9C-986A-328CAD6546BC}"/>
                </c:ext>
                <c:ext xmlns:c15="http://schemas.microsoft.com/office/drawing/2012/chart" uri="{CE6537A1-D6FC-4f65-9D91-7224C49458BB}"/>
              </c:extLst>
            </c:dLbl>
            <c:dLbl>
              <c:idx val="9"/>
              <c:layout>
                <c:manualLayout>
                  <c:x val="-2.0369005598438128E-2"/>
                  <c:y val="-1.7514373203349601E-2"/>
                </c:manualLayout>
              </c:layout>
              <c:dLblPos val="bestFit"/>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13-B98D-4B9C-986A-328CAD6546B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j-lt"/>
                    <a:ea typeface="+mn-ea"/>
                    <a:cs typeface="+mn-cs"/>
                  </a:defRPr>
                </a:pPr>
                <a:endParaRPr lang="ru-RU"/>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Sheet1!$A$2:$A$11</c:f>
              <c:strCache>
                <c:ptCount val="10"/>
                <c:pt idx="0">
                  <c:v>Administrarea sistemului public de asigurări sociale (246.1 mil.lei)</c:v>
                </c:pt>
                <c:pt idx="1">
                  <c:v>Protecţia în caz de incapacitate temporară de muncă (784.5 mil.lei)</c:v>
                </c:pt>
                <c:pt idx="2">
                  <c:v>Protecţia persoanelor în etate (22012.5 mil.lei)</c:v>
                </c:pt>
                <c:pt idx="3">
                  <c:v>Protecţia în legătură cu pierderea întreţinătorului (466.3 mil.lei)</c:v>
                </c:pt>
                <c:pt idx="4">
                  <c:v>Protecţia familiei şi copilului (3090.8 mil.lei)</c:v>
                </c:pt>
                <c:pt idx="5">
                  <c:v>Protecţia şomerilor (43.3 mil.lei)</c:v>
                </c:pt>
                <c:pt idx="6">
                  <c:v>Protecţia socială a persoanelor cu dizabilităţi (3958.2 mil.lei)</c:v>
                </c:pt>
                <c:pt idx="7">
                  <c:v>Susţinerea suplimentară a unor categorii de populaţie (1182.0 mil.lei)</c:v>
                </c:pt>
                <c:pt idx="8">
                  <c:v>Protecţia socială în cazuri excepţionale (1329.1 mil.lei)</c:v>
                </c:pt>
                <c:pt idx="9">
                  <c:v>Protecţia socială a unor categorii de cetăţeni (632.2 mil.lei)</c:v>
                </c:pt>
              </c:strCache>
            </c:strRef>
          </c:cat>
          <c:val>
            <c:numRef>
              <c:f>Sheet1!$B$2:$B$11</c:f>
              <c:numCache>
                <c:formatCode>0.0</c:formatCode>
                <c:ptCount val="10"/>
                <c:pt idx="0">
                  <c:v>246139</c:v>
                </c:pt>
                <c:pt idx="1">
                  <c:v>784490.4</c:v>
                </c:pt>
                <c:pt idx="2">
                  <c:v>22012542</c:v>
                </c:pt>
                <c:pt idx="3">
                  <c:v>466344.8</c:v>
                </c:pt>
                <c:pt idx="4">
                  <c:v>3090804.5</c:v>
                </c:pt>
                <c:pt idx="5">
                  <c:v>43337.7</c:v>
                </c:pt>
                <c:pt idx="6">
                  <c:v>3958218.5</c:v>
                </c:pt>
                <c:pt idx="7">
                  <c:v>1182043.7</c:v>
                </c:pt>
                <c:pt idx="8">
                  <c:v>1329097.7</c:v>
                </c:pt>
                <c:pt idx="9">
                  <c:v>632242.80000000005</c:v>
                </c:pt>
              </c:numCache>
            </c:numRef>
          </c:val>
          <c:extLst xmlns:c16r2="http://schemas.microsoft.com/office/drawing/2015/06/chart">
            <c:ext xmlns:c16="http://schemas.microsoft.com/office/drawing/2014/chart" uri="{C3380CC4-5D6E-409C-BE32-E72D297353CC}">
              <c16:uniqueId val="{00000014-B98D-4B9C-986A-328CAD6546BC}"/>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5018020376763253"/>
          <c:y val="5.9520059992500936E-2"/>
          <c:w val="0.3375045252964069"/>
          <c:h val="0.94047994000749902"/>
        </c:manualLayout>
      </c:layout>
      <c:overlay val="0"/>
      <c:spPr>
        <a:solidFill>
          <a:schemeClr val="lt1">
            <a:alpha val="50000"/>
          </a:schemeClr>
        </a:solid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j-lt"/>
              <a:ea typeface="+mn-ea"/>
              <a:cs typeface="+mn-cs"/>
            </a:defRPr>
          </a:pPr>
          <a:endParaRPr lang="ru-RU"/>
        </a:p>
      </c:txPr>
    </c:legend>
    <c:plotVisOnly val="1"/>
    <c:dispBlanksAs val="gap"/>
    <c:showDLblsOverMax val="0"/>
  </c:chart>
  <c:spPr>
    <a:no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30"/>
      <c:rotY val="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2508250825082501E-3"/>
          <c:y val="0.17928951589384659"/>
          <c:w val="0.58309555364985322"/>
          <c:h val="0.76047572178477696"/>
        </c:manualLayout>
      </c:layout>
      <c:pie3DChart>
        <c:varyColors val="1"/>
        <c:ser>
          <c:idx val="0"/>
          <c:order val="0"/>
          <c:tx>
            <c:strRef>
              <c:f>Лист1!$B$1</c:f>
              <c:strCache>
                <c:ptCount val="1"/>
                <c:pt idx="0">
                  <c:v>Structura prestațiilor de asigurări sociale</c:v>
                </c:pt>
              </c:strCache>
            </c:strRef>
          </c:tx>
          <c:explosion val="20"/>
          <c:dPt>
            <c:idx val="0"/>
            <c:bubble3D val="0"/>
            <c:spPr>
              <a:solidFill>
                <a:schemeClr val="accent3">
                  <a:shade val="44000"/>
                </a:schemeClr>
              </a:solidFill>
              <a:ln>
                <a:noFill/>
              </a:ln>
              <a:effectLst/>
              <a:sp3d/>
            </c:spPr>
            <c:extLst xmlns:c16r2="http://schemas.microsoft.com/office/drawing/2015/06/chart">
              <c:ext xmlns:c16="http://schemas.microsoft.com/office/drawing/2014/chart" uri="{C3380CC4-5D6E-409C-BE32-E72D297353CC}">
                <c16:uniqueId val="{00000001-5576-4FEF-B26F-567891596C1C}"/>
              </c:ext>
            </c:extLst>
          </c:dPt>
          <c:dPt>
            <c:idx val="1"/>
            <c:bubble3D val="0"/>
            <c:spPr>
              <a:solidFill>
                <a:schemeClr val="accent3">
                  <a:shade val="58000"/>
                </a:schemeClr>
              </a:solidFill>
              <a:ln>
                <a:noFill/>
              </a:ln>
              <a:effectLst/>
              <a:sp3d/>
            </c:spPr>
            <c:extLst xmlns:c16r2="http://schemas.microsoft.com/office/drawing/2015/06/chart">
              <c:ext xmlns:c16="http://schemas.microsoft.com/office/drawing/2014/chart" uri="{C3380CC4-5D6E-409C-BE32-E72D297353CC}">
                <c16:uniqueId val="{00000003-5576-4FEF-B26F-567891596C1C}"/>
              </c:ext>
            </c:extLst>
          </c:dPt>
          <c:dPt>
            <c:idx val="2"/>
            <c:bubble3D val="0"/>
            <c:spPr>
              <a:solidFill>
                <a:schemeClr val="accent3">
                  <a:shade val="72000"/>
                </a:schemeClr>
              </a:solidFill>
              <a:ln>
                <a:noFill/>
              </a:ln>
              <a:effectLst/>
              <a:sp3d/>
            </c:spPr>
            <c:extLst xmlns:c16r2="http://schemas.microsoft.com/office/drawing/2015/06/chart">
              <c:ext xmlns:c16="http://schemas.microsoft.com/office/drawing/2014/chart" uri="{C3380CC4-5D6E-409C-BE32-E72D297353CC}">
                <c16:uniqueId val="{00000005-5576-4FEF-B26F-567891596C1C}"/>
              </c:ext>
            </c:extLst>
          </c:dPt>
          <c:dPt>
            <c:idx val="3"/>
            <c:bubble3D val="0"/>
            <c:spPr>
              <a:solidFill>
                <a:schemeClr val="accent3">
                  <a:shade val="86000"/>
                </a:schemeClr>
              </a:solidFill>
              <a:ln>
                <a:noFill/>
              </a:ln>
              <a:effectLst/>
              <a:sp3d/>
            </c:spPr>
            <c:extLst xmlns:c16r2="http://schemas.microsoft.com/office/drawing/2015/06/chart">
              <c:ext xmlns:c16="http://schemas.microsoft.com/office/drawing/2014/chart" uri="{C3380CC4-5D6E-409C-BE32-E72D297353CC}">
                <c16:uniqueId val="{00000007-5576-4FEF-B26F-567891596C1C}"/>
              </c:ext>
            </c:extLst>
          </c:dPt>
          <c:dPt>
            <c:idx val="4"/>
            <c:bubble3D val="0"/>
            <c:spPr>
              <a:solidFill>
                <a:schemeClr val="accent3"/>
              </a:solidFill>
              <a:ln>
                <a:noFill/>
              </a:ln>
              <a:effectLst/>
              <a:sp3d/>
            </c:spPr>
            <c:extLst xmlns:c16r2="http://schemas.microsoft.com/office/drawing/2015/06/chart">
              <c:ext xmlns:c16="http://schemas.microsoft.com/office/drawing/2014/chart" uri="{C3380CC4-5D6E-409C-BE32-E72D297353CC}">
                <c16:uniqueId val="{00000009-5576-4FEF-B26F-567891596C1C}"/>
              </c:ext>
            </c:extLst>
          </c:dPt>
          <c:dPt>
            <c:idx val="5"/>
            <c:bubble3D val="0"/>
            <c:spPr>
              <a:solidFill>
                <a:schemeClr val="accent3">
                  <a:tint val="86000"/>
                </a:schemeClr>
              </a:solidFill>
              <a:ln>
                <a:noFill/>
              </a:ln>
              <a:effectLst/>
              <a:sp3d/>
            </c:spPr>
            <c:extLst xmlns:c16r2="http://schemas.microsoft.com/office/drawing/2015/06/chart">
              <c:ext xmlns:c16="http://schemas.microsoft.com/office/drawing/2014/chart" uri="{C3380CC4-5D6E-409C-BE32-E72D297353CC}">
                <c16:uniqueId val="{0000000B-5576-4FEF-B26F-567891596C1C}"/>
              </c:ext>
            </c:extLst>
          </c:dPt>
          <c:dPt>
            <c:idx val="6"/>
            <c:bubble3D val="0"/>
            <c:spPr>
              <a:solidFill>
                <a:schemeClr val="accent3">
                  <a:tint val="72000"/>
                </a:schemeClr>
              </a:solidFill>
              <a:ln>
                <a:noFill/>
              </a:ln>
              <a:effectLst/>
              <a:sp3d/>
            </c:spPr>
            <c:extLst xmlns:c16r2="http://schemas.microsoft.com/office/drawing/2015/06/chart">
              <c:ext xmlns:c16="http://schemas.microsoft.com/office/drawing/2014/chart" uri="{C3380CC4-5D6E-409C-BE32-E72D297353CC}">
                <c16:uniqueId val="{0000000D-5576-4FEF-B26F-567891596C1C}"/>
              </c:ext>
            </c:extLst>
          </c:dPt>
          <c:dPt>
            <c:idx val="7"/>
            <c:bubble3D val="0"/>
            <c:spPr>
              <a:solidFill>
                <a:schemeClr val="accent3">
                  <a:tint val="58000"/>
                </a:schemeClr>
              </a:solidFill>
              <a:ln>
                <a:noFill/>
              </a:ln>
              <a:effectLst/>
              <a:sp3d/>
            </c:spPr>
            <c:extLst xmlns:c16r2="http://schemas.microsoft.com/office/drawing/2015/06/chart">
              <c:ext xmlns:c16="http://schemas.microsoft.com/office/drawing/2014/chart" uri="{C3380CC4-5D6E-409C-BE32-E72D297353CC}">
                <c16:uniqueId val="{0000000F-5576-4FEF-B26F-567891596C1C}"/>
              </c:ext>
            </c:extLst>
          </c:dPt>
          <c:dPt>
            <c:idx val="8"/>
            <c:bubble3D val="0"/>
            <c:spPr>
              <a:solidFill>
                <a:schemeClr val="accent3">
                  <a:tint val="44000"/>
                </a:schemeClr>
              </a:solidFill>
              <a:ln>
                <a:noFill/>
              </a:ln>
              <a:effectLst/>
              <a:sp3d/>
            </c:spPr>
            <c:extLst xmlns:c16r2="http://schemas.microsoft.com/office/drawing/2015/06/chart">
              <c:ext xmlns:c16="http://schemas.microsoft.com/office/drawing/2014/chart" uri="{C3380CC4-5D6E-409C-BE32-E72D297353CC}">
                <c16:uniqueId val="{00000011-5576-4FEF-B26F-567891596C1C}"/>
              </c:ext>
            </c:extLst>
          </c:dPt>
          <c:dLbls>
            <c:dLbl>
              <c:idx val="0"/>
              <c:layout>
                <c:manualLayout>
                  <c:x val="-8.2477553857748048E-2"/>
                  <c:y val="-0.29842300962379709"/>
                </c:manualLayout>
              </c:layout>
              <c:tx>
                <c:rich>
                  <a:bodyPr/>
                  <a:lstStyle/>
                  <a:p>
                    <a:r>
                      <a:rPr lang="en-US"/>
                      <a:t>83.63%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576-4FEF-B26F-567891596C1C}"/>
                </c:ext>
                <c:ext xmlns:c15="http://schemas.microsoft.com/office/drawing/2012/chart" uri="{CE6537A1-D6FC-4f65-9D91-7224C49458BB}"/>
              </c:extLst>
            </c:dLbl>
            <c:dLbl>
              <c:idx val="1"/>
              <c:layout>
                <c:manualLayout>
                  <c:x val="-9.4253657649229508E-2"/>
                  <c:y val="9.2295494313210852E-2"/>
                </c:manualLayout>
              </c:layout>
              <c:tx>
                <c:rich>
                  <a:bodyPr/>
                  <a:lstStyle/>
                  <a:p>
                    <a:r>
                      <a:rPr lang="en-US"/>
                      <a:t>11.34%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5576-4FEF-B26F-567891596C1C}"/>
                </c:ext>
                <c:ext xmlns:c15="http://schemas.microsoft.com/office/drawing/2012/chart" uri="{CE6537A1-D6FC-4f65-9D91-7224C49458BB}"/>
              </c:extLst>
            </c:dLbl>
            <c:dLbl>
              <c:idx val="2"/>
              <c:layout>
                <c:manualLayout>
                  <c:x val="-9.1782145734258483E-2"/>
                  <c:y val="4.1105278506853096E-3"/>
                </c:manualLayout>
              </c:layout>
              <c:tx>
                <c:rich>
                  <a:bodyPr/>
                  <a:lstStyle/>
                  <a:p>
                    <a:r>
                      <a:rPr lang="en-US"/>
                      <a:t>0.22%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576-4FEF-B26F-567891596C1C}"/>
                </c:ext>
                <c:ext xmlns:c15="http://schemas.microsoft.com/office/drawing/2012/chart" uri="{CE6537A1-D6FC-4f65-9D91-7224C49458BB}"/>
              </c:extLst>
            </c:dLbl>
            <c:dLbl>
              <c:idx val="3"/>
              <c:layout>
                <c:manualLayout>
                  <c:x val="-7.8382757074920109E-2"/>
                  <c:y val="-6.5634295713035876E-2"/>
                </c:manualLayout>
              </c:layout>
              <c:tx>
                <c:rich>
                  <a:bodyPr/>
                  <a:lstStyle/>
                  <a:p>
                    <a:r>
                      <a:rPr lang="en-US"/>
                      <a:t>0.91%</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576-4FEF-B26F-567891596C1C}"/>
                </c:ext>
                <c:ext xmlns:c15="http://schemas.microsoft.com/office/drawing/2012/chart" uri="{CE6537A1-D6FC-4f65-9D91-7224C49458BB}">
                  <c15:layout>
                    <c:manualLayout>
                      <c:w val="7.1163366336633657E-2"/>
                      <c:h val="9.7222222222222224E-2"/>
                    </c:manualLayout>
                  </c15:layout>
                </c:ext>
              </c:extLst>
            </c:dLbl>
            <c:dLbl>
              <c:idx val="4"/>
              <c:layout>
                <c:manualLayout>
                  <c:x val="-1.9951567007094412E-2"/>
                  <c:y val="-4.623177311169438E-2"/>
                </c:manualLayout>
              </c:layout>
              <c:tx>
                <c:rich>
                  <a:bodyPr/>
                  <a:lstStyle/>
                  <a:p>
                    <a:r>
                      <a:rPr lang="en-US"/>
                      <a:t>0,34%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5576-4FEF-B26F-567891596C1C}"/>
                </c:ext>
                <c:ext xmlns:c15="http://schemas.microsoft.com/office/drawing/2012/chart" uri="{CE6537A1-D6FC-4f65-9D91-7224C49458BB}"/>
              </c:extLst>
            </c:dLbl>
            <c:dLbl>
              <c:idx val="5"/>
              <c:layout>
                <c:manualLayout>
                  <c:x val="-2.3888412463293571E-3"/>
                  <c:y val="-0.11914843977836104"/>
                </c:manualLayout>
              </c:layout>
              <c:tx>
                <c:rich>
                  <a:bodyPr/>
                  <a:lstStyle/>
                  <a:p>
                    <a:r>
                      <a:rPr lang="en-US"/>
                      <a:t>0,12%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5576-4FEF-B26F-567891596C1C}"/>
                </c:ext>
                <c:ext xmlns:c15="http://schemas.microsoft.com/office/drawing/2012/chart" uri="{CE6537A1-D6FC-4f65-9D91-7224C49458BB}"/>
              </c:extLst>
            </c:dLbl>
            <c:dLbl>
              <c:idx val="6"/>
              <c:layout>
                <c:manualLayout>
                  <c:x val="5.753456251136925E-2"/>
                  <c:y val="-0.10525955088947216"/>
                </c:manualLayout>
              </c:layout>
              <c:tx>
                <c:rich>
                  <a:bodyPr/>
                  <a:lstStyle/>
                  <a:p>
                    <a:r>
                      <a:rPr lang="en-US"/>
                      <a:t>0,22%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576-4FEF-B26F-567891596C1C}"/>
                </c:ext>
                <c:ext xmlns:c15="http://schemas.microsoft.com/office/drawing/2012/chart" uri="{CE6537A1-D6FC-4f65-9D91-7224C49458BB}"/>
              </c:extLst>
            </c:dLbl>
            <c:dLbl>
              <c:idx val="7"/>
              <c:layout>
                <c:manualLayout>
                  <c:x val="7.3785439567578728E-2"/>
                  <c:y val="-3.35002916302128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576-4FEF-B26F-567891596C1C}"/>
                </c:ext>
                <c:ext xmlns:c15="http://schemas.microsoft.com/office/drawing/2012/chart" uri="{CE6537A1-D6FC-4f65-9D91-7224C49458BB}"/>
              </c:extLst>
            </c:dLbl>
            <c:dLbl>
              <c:idx val="8"/>
              <c:layout>
                <c:manualLayout>
                  <c:x val="3.7710980743743669E-2"/>
                  <c:y val="4.052238261883928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576-4FEF-B26F-567891596C1C}"/>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j-lt"/>
                    <a:ea typeface="+mn-ea"/>
                    <a:cs typeface="+mn-cs"/>
                  </a:defRPr>
                </a:pPr>
                <a:endParaRPr lang="ru-RU"/>
              </a:p>
            </c:txPr>
            <c:showLegendKey val="0"/>
            <c:showVal val="1"/>
            <c:showCatName val="0"/>
            <c:showSerName val="0"/>
            <c:showPercent val="0"/>
            <c:showBubbleSize val="0"/>
            <c:showLeaderLines val="1"/>
            <c:leaderLines>
              <c:spPr>
                <a:ln w="6350" cap="flat" cmpd="sng" algn="ctr">
                  <a:solidFill>
                    <a:schemeClr val="tx1"/>
                  </a:solidFill>
                  <a:prstDash val="solid"/>
                  <a:round/>
                </a:ln>
                <a:effectLst/>
              </c:spPr>
            </c:leaderLines>
            <c:extLst xmlns:c16r2="http://schemas.microsoft.com/office/drawing/2015/06/chart">
              <c:ext xmlns:c15="http://schemas.microsoft.com/office/drawing/2012/chart" uri="{CE6537A1-D6FC-4f65-9D91-7224C49458BB}"/>
            </c:extLst>
          </c:dLbls>
          <c:cat>
            <c:strRef>
              <c:f>Лист1!$A$2:$A$10</c:f>
              <c:strCache>
                <c:ptCount val="9"/>
                <c:pt idx="0">
                  <c:v>pensia pentru limita de vîrstă 83.63%</c:v>
                </c:pt>
                <c:pt idx="1">
                  <c:v>pensia de dizabilitate 11.34%</c:v>
                </c:pt>
                <c:pt idx="2">
                  <c:v>pensiile anticipate pentru limita de vârstă 0.22%</c:v>
                </c:pt>
                <c:pt idx="3">
                  <c:v>pensia funcționarilor publici 0.91%</c:v>
                </c:pt>
                <c:pt idx="4">
                  <c:v>pensiile unor categorii de angajați din aviația civilă 0.34%</c:v>
                </c:pt>
                <c:pt idx="5">
                  <c:v>pensiile judecătorilor 0.22%</c:v>
                </c:pt>
                <c:pt idx="6">
                  <c:v>pensiile procurorilor 0.12%</c:v>
                </c:pt>
                <c:pt idx="7">
                  <c:v>pensiile anticipate pentru carieră lungă 1.5%</c:v>
                </c:pt>
                <c:pt idx="8">
                  <c:v>Alte prestații de asigurări sociale 0.22% </c:v>
                </c:pt>
              </c:strCache>
            </c:strRef>
          </c:cat>
          <c:val>
            <c:numRef>
              <c:f>Лист1!$B$2:$B$10</c:f>
              <c:numCache>
                <c:formatCode>0.00%</c:formatCode>
                <c:ptCount val="9"/>
                <c:pt idx="0">
                  <c:v>0.83630000000000004</c:v>
                </c:pt>
                <c:pt idx="1">
                  <c:v>0.1134</c:v>
                </c:pt>
                <c:pt idx="2">
                  <c:v>2.2000000000000001E-3</c:v>
                </c:pt>
                <c:pt idx="3">
                  <c:v>9.1000000000000004E-3</c:v>
                </c:pt>
                <c:pt idx="4">
                  <c:v>3.3999999999999998E-3</c:v>
                </c:pt>
                <c:pt idx="5">
                  <c:v>2.2000000000000001E-3</c:v>
                </c:pt>
                <c:pt idx="6">
                  <c:v>1.1999999999999999E-3</c:v>
                </c:pt>
                <c:pt idx="7">
                  <c:v>1.4999999999999999E-2</c:v>
                </c:pt>
                <c:pt idx="8">
                  <c:v>2.2000000000000001E-3</c:v>
                </c:pt>
              </c:numCache>
            </c:numRef>
          </c:val>
          <c:extLst xmlns:c16r2="http://schemas.microsoft.com/office/drawing/2015/06/chart">
            <c:ext xmlns:c16="http://schemas.microsoft.com/office/drawing/2014/chart" uri="{C3380CC4-5D6E-409C-BE32-E72D297353CC}">
              <c16:uniqueId val="{00000012-5576-4FEF-B26F-567891596C1C}"/>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7626084951014798"/>
          <c:y val="2.6290828229804612E-2"/>
          <c:w val="0.32260206335594188"/>
          <c:h val="0.9737091717701954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j-lt"/>
              <a:ea typeface="+mn-ea"/>
              <a:cs typeface="+mn-cs"/>
            </a:defRPr>
          </a:pPr>
          <a:endParaRPr lang="ru-RU"/>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latin typeface="+mj-lt"/>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colors3.xml><?xml version="1.0" encoding="utf-8"?>
<cs:colorStyle xmlns:cs="http://schemas.microsoft.com/office/drawing/2012/chartStyle" xmlns:a="http://schemas.openxmlformats.org/drawingml/2006/main" meth="withinLinear" id="16">
  <a:schemeClr val="accent3"/>
</cs:colorStyle>
</file>

<file path=word/charts/colors4.xml><?xml version="1.0" encoding="utf-8"?>
<cs:colorStyle xmlns:cs="http://schemas.microsoft.com/office/drawing/2012/chartStyle" xmlns:a="http://schemas.openxmlformats.org/drawingml/2006/main" meth="withinLinear" id="16">
  <a:schemeClr val="accent3"/>
</cs:colorStyle>
</file>

<file path=word/charts/colors5.xml><?xml version="1.0" encoding="utf-8"?>
<cs:colorStyle xmlns:cs="http://schemas.microsoft.com/office/drawing/2012/chartStyle" xmlns:a="http://schemas.openxmlformats.org/drawingml/2006/main" meth="withinLinear" id="16">
  <a:schemeClr val="accent3"/>
</cs:colorStyle>
</file>

<file path=word/charts/colors6.xml><?xml version="1.0" encoding="utf-8"?>
<cs:colorStyle xmlns:cs="http://schemas.microsoft.com/office/drawing/2012/chartStyle" xmlns:a="http://schemas.openxmlformats.org/drawingml/2006/main" meth="withinLinear" id="16">
  <a:schemeClr val="accent3"/>
</cs:colorStyle>
</file>

<file path=word/charts/colors7.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6">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00">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800" b="1"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9F02E0-76EE-47F7-A635-4F57A0142FA3}" type="doc">
      <dgm:prSet loTypeId="urn:microsoft.com/office/officeart/2009/3/layout/IncreasingArrowsProcess" loCatId="process" qsTypeId="urn:microsoft.com/office/officeart/2005/8/quickstyle/simple1" qsCatId="simple" csTypeId="urn:microsoft.com/office/officeart/2005/8/colors/accent0_1" csCatId="mainScheme" phldr="1"/>
      <dgm:spPr/>
      <dgm:t>
        <a:bodyPr/>
        <a:lstStyle/>
        <a:p>
          <a:endParaRPr lang="en-US"/>
        </a:p>
      </dgm:t>
    </dgm:pt>
    <dgm:pt modelId="{95E8945C-1D76-492D-A2D8-17B4BB54173C}">
      <dgm:prSet phldrT="[Text]" custT="1"/>
      <dgm:spPr>
        <a:xfrm>
          <a:off x="1699" y="1056703"/>
          <a:ext cx="1342816" cy="1408938"/>
        </a:xfrm>
      </dgm:spPr>
      <dgm:t>
        <a:bodyPr/>
        <a:lstStyle/>
        <a:p>
          <a:r>
            <a:rPr lang="ro-RO" sz="1200" b="1">
              <a:latin typeface="Calibri Light" panose="020F0302020204030204"/>
              <a:ea typeface="+mn-ea"/>
              <a:cs typeface="+mn-cs"/>
            </a:rPr>
            <a:t>MMPS</a:t>
          </a:r>
          <a:endParaRPr lang="ro-RO" sz="1200">
            <a:latin typeface="Calibri Light" panose="020F0302020204030204"/>
            <a:ea typeface="+mn-ea"/>
            <a:cs typeface="+mn-cs"/>
          </a:endParaRPr>
        </a:p>
      </dgm:t>
    </dgm:pt>
    <dgm:pt modelId="{56A7895D-8B0E-417B-B005-3FEDF830BD4D}" type="parTrans" cxnId="{5247A5F8-B06F-418C-B794-948E1E3E33CB}">
      <dgm:prSet/>
      <dgm:spPr/>
      <dgm:t>
        <a:bodyPr/>
        <a:lstStyle/>
        <a:p>
          <a:endParaRPr lang="en-US" sz="1200"/>
        </a:p>
      </dgm:t>
    </dgm:pt>
    <dgm:pt modelId="{B9A4D7C8-69D6-4EFB-AE48-4461CF445BAD}" type="sibTrans" cxnId="{5247A5F8-B06F-418C-B794-948E1E3E33CB}">
      <dgm:prSet/>
      <dgm:spPr/>
      <dgm:t>
        <a:bodyPr/>
        <a:lstStyle/>
        <a:p>
          <a:endParaRPr lang="en-US" sz="1200"/>
        </a:p>
      </dgm:t>
    </dgm:pt>
    <dgm:pt modelId="{E3165CAE-1BA0-4642-BD5F-18FC09E91A45}">
      <dgm:prSet phldrT="[Text]" custT="1"/>
      <dgm:spPr>
        <a:xfrm>
          <a:off x="1699" y="1056703"/>
          <a:ext cx="1342816" cy="1408938"/>
        </a:xfrm>
      </dgm:spPr>
      <dgm:t>
        <a:bodyPr/>
        <a:lstStyle/>
        <a:p>
          <a:r>
            <a:rPr lang="ro-MD" sz="1200" b="1">
              <a:latin typeface="Calibri Light" panose="020F0302020204030204"/>
              <a:ea typeface="+mn-ea"/>
              <a:cs typeface="+mn-cs"/>
            </a:rPr>
            <a:t>Structurile teritoriale de asistență socială</a:t>
          </a:r>
          <a:endParaRPr lang="en-US" sz="1200" b="1">
            <a:latin typeface="Calibri Light" panose="020F0302020204030204"/>
            <a:ea typeface="+mn-ea"/>
            <a:cs typeface="+mn-cs"/>
          </a:endParaRPr>
        </a:p>
      </dgm:t>
    </dgm:pt>
    <dgm:pt modelId="{4899FEC0-BCD8-42BC-99AD-8D49087A3E6C}" type="parTrans" cxnId="{404ACEBB-00A6-45EE-A6E6-55C7D64159F3}">
      <dgm:prSet/>
      <dgm:spPr/>
      <dgm:t>
        <a:bodyPr/>
        <a:lstStyle/>
        <a:p>
          <a:endParaRPr lang="en-US" sz="1200"/>
        </a:p>
      </dgm:t>
    </dgm:pt>
    <dgm:pt modelId="{4B7E05D3-65F6-42B1-A856-985574867768}" type="sibTrans" cxnId="{404ACEBB-00A6-45EE-A6E6-55C7D64159F3}">
      <dgm:prSet/>
      <dgm:spPr/>
      <dgm:t>
        <a:bodyPr/>
        <a:lstStyle/>
        <a:p>
          <a:endParaRPr lang="en-US" sz="1200"/>
        </a:p>
      </dgm:t>
    </dgm:pt>
    <dgm:pt modelId="{9AA3A3D2-3121-4525-BBD9-94BA688E4370}">
      <dgm:prSet phldrT="[Text]" custT="1"/>
      <dgm:spPr>
        <a:xfrm>
          <a:off x="1699" y="1056703"/>
          <a:ext cx="1342816" cy="1408938"/>
        </a:xfrm>
      </dgm:spPr>
      <dgm:t>
        <a:bodyPr/>
        <a:lstStyle/>
        <a:p>
          <a:pPr algn="ctr"/>
          <a:r>
            <a:rPr lang="ro-RO" sz="1200">
              <a:latin typeface="Calibri Light" panose="020F0302020204030204"/>
              <a:ea typeface="+mn-ea"/>
              <a:cs typeface="+mn-cs"/>
            </a:rPr>
            <a:t>asigură elaborarea politicililor și monitorizarea realizării acestora</a:t>
          </a:r>
          <a:endParaRPr lang="en-US" sz="1200"/>
        </a:p>
      </dgm:t>
    </dgm:pt>
    <dgm:pt modelId="{A163698F-52C2-4038-A9B9-07C1BCF88C55}" type="parTrans" cxnId="{789EA8B7-E366-4204-96FF-F4F11B40A713}">
      <dgm:prSet/>
      <dgm:spPr/>
      <dgm:t>
        <a:bodyPr/>
        <a:lstStyle/>
        <a:p>
          <a:endParaRPr lang="en-US" sz="1200"/>
        </a:p>
      </dgm:t>
    </dgm:pt>
    <dgm:pt modelId="{6D4F5B71-B1C9-41F0-96F6-FAF37E2AF51D}" type="sibTrans" cxnId="{789EA8B7-E366-4204-96FF-F4F11B40A713}">
      <dgm:prSet/>
      <dgm:spPr/>
      <dgm:t>
        <a:bodyPr/>
        <a:lstStyle/>
        <a:p>
          <a:endParaRPr lang="en-US" sz="1200"/>
        </a:p>
      </dgm:t>
    </dgm:pt>
    <dgm:pt modelId="{8DBD8061-7B61-4AF7-A61F-CC93B4C6BA8C}">
      <dgm:prSet phldrT="[Text]" custT="1"/>
      <dgm:spPr>
        <a:xfrm>
          <a:off x="1699" y="1056703"/>
          <a:ext cx="1342816" cy="1408938"/>
        </a:xfrm>
      </dgm:spPr>
      <dgm:t>
        <a:bodyPr/>
        <a:lstStyle/>
        <a:p>
          <a:pPr algn="ctr"/>
          <a:r>
            <a:rPr lang="en-US" sz="1200" b="1">
              <a:latin typeface="Calibri Light" panose="020F0302020204030204"/>
              <a:ea typeface="+mn-ea"/>
              <a:cs typeface="+mn-cs"/>
            </a:rPr>
            <a:t>CNAS</a:t>
          </a:r>
          <a:endParaRPr lang="ro-MD" sz="1200" b="1">
            <a:latin typeface="Calibri Light" panose="020F0302020204030204"/>
            <a:ea typeface="+mn-ea"/>
            <a:cs typeface="+mn-cs"/>
          </a:endParaRPr>
        </a:p>
      </dgm:t>
    </dgm:pt>
    <dgm:pt modelId="{7C807715-D085-49C4-8E7D-1B56625A7A31}" type="parTrans" cxnId="{CB5C6B1C-1711-4E78-A243-368E187B0F60}">
      <dgm:prSet/>
      <dgm:spPr/>
      <dgm:t>
        <a:bodyPr/>
        <a:lstStyle/>
        <a:p>
          <a:endParaRPr lang="en-US" sz="1200"/>
        </a:p>
      </dgm:t>
    </dgm:pt>
    <dgm:pt modelId="{B38C7EEF-D51B-4350-B324-DDC4CDF8F829}" type="sibTrans" cxnId="{CB5C6B1C-1711-4E78-A243-368E187B0F60}">
      <dgm:prSet/>
      <dgm:spPr/>
      <dgm:t>
        <a:bodyPr/>
        <a:lstStyle/>
        <a:p>
          <a:endParaRPr lang="en-US" sz="1200"/>
        </a:p>
      </dgm:t>
    </dgm:pt>
    <dgm:pt modelId="{B33BDA01-8B85-44FE-9E33-3159E150A07D}">
      <dgm:prSet phldrT="[Text]" custT="1"/>
      <dgm:spPr>
        <a:xfrm>
          <a:off x="1699" y="1056703"/>
          <a:ext cx="1342816" cy="1408938"/>
        </a:xfrm>
      </dgm:spPr>
      <dgm:t>
        <a:bodyPr/>
        <a:lstStyle/>
        <a:p>
          <a:pPr algn="ctr"/>
          <a:r>
            <a:rPr lang="ro-MD" sz="1200">
              <a:latin typeface="Calibri Light" panose="020F0302020204030204"/>
              <a:ea typeface="+mn-ea"/>
              <a:cs typeface="+mn-cs"/>
            </a:rPr>
            <a:t>acordă d</a:t>
          </a:r>
          <a:r>
            <a:rPr lang="ro-RO" sz="1200">
              <a:latin typeface="Calibri Light" panose="020F0302020204030204"/>
              <a:ea typeface="+mn-ea"/>
              <a:cs typeface="+mn-cs"/>
            </a:rPr>
            <a:t>reptul la ajutor social și/sau ajutor pentru perioada rece a anului </a:t>
          </a:r>
          <a:endParaRPr lang="en-US" sz="1200"/>
        </a:p>
      </dgm:t>
    </dgm:pt>
    <dgm:pt modelId="{C5309C01-CA65-4FFF-8624-94124664983E}" type="parTrans" cxnId="{F33E405D-4825-4C9E-9CA9-BEFA5825CAF8}">
      <dgm:prSet/>
      <dgm:spPr/>
      <dgm:t>
        <a:bodyPr/>
        <a:lstStyle/>
        <a:p>
          <a:endParaRPr lang="en-US" sz="1200"/>
        </a:p>
      </dgm:t>
    </dgm:pt>
    <dgm:pt modelId="{C4D123D4-EE61-4DFF-93DB-A4A5BD5FD16C}" type="sibTrans" cxnId="{F33E405D-4825-4C9E-9CA9-BEFA5825CAF8}">
      <dgm:prSet/>
      <dgm:spPr/>
      <dgm:t>
        <a:bodyPr/>
        <a:lstStyle/>
        <a:p>
          <a:endParaRPr lang="en-US" sz="1200"/>
        </a:p>
      </dgm:t>
    </dgm:pt>
    <dgm:pt modelId="{10915DAC-9708-4BC9-B1C9-3AB4D5CC4BFF}">
      <dgm:prSet phldrT="[Text]" custT="1"/>
      <dgm:spPr>
        <a:xfrm>
          <a:off x="1699" y="1056703"/>
          <a:ext cx="1342816" cy="1408938"/>
        </a:xfrm>
      </dgm:spPr>
      <dgm:t>
        <a:bodyPr/>
        <a:lstStyle/>
        <a:p>
          <a:pPr algn="ctr"/>
          <a:r>
            <a:rPr lang="en-US" sz="1200" b="1">
              <a:latin typeface="Calibri Light" panose="020F0302020204030204"/>
              <a:ea typeface="+mn-ea"/>
              <a:cs typeface="+mn-cs"/>
            </a:rPr>
            <a:t>Inspec</a:t>
          </a:r>
          <a:r>
            <a:rPr lang="ro-MD" sz="1200" b="1">
              <a:latin typeface="Calibri Light" panose="020F0302020204030204"/>
              <a:ea typeface="+mn-ea"/>
              <a:cs typeface="+mn-cs"/>
            </a:rPr>
            <a:t>ț</a:t>
          </a:r>
          <a:r>
            <a:rPr lang="en-US" sz="1200" b="1">
              <a:latin typeface="Calibri Light" panose="020F0302020204030204"/>
              <a:ea typeface="+mn-ea"/>
              <a:cs typeface="+mn-cs"/>
            </a:rPr>
            <a:t>ia</a:t>
          </a:r>
          <a:r>
            <a:rPr lang="ro-MD" sz="1200" b="1">
              <a:latin typeface="Calibri Light" panose="020F0302020204030204"/>
              <a:ea typeface="+mn-ea"/>
              <a:cs typeface="+mn-cs"/>
            </a:rPr>
            <a:t> Socială</a:t>
          </a:r>
          <a:r>
            <a:rPr lang="en-US" sz="1200" b="1">
              <a:latin typeface="Calibri Light" panose="020F0302020204030204"/>
              <a:ea typeface="+mn-ea"/>
              <a:cs typeface="+mn-cs"/>
            </a:rPr>
            <a:t> </a:t>
          </a:r>
          <a:endParaRPr lang="ro-MD" sz="1200" b="1">
            <a:latin typeface="Calibri Light" panose="020F0302020204030204"/>
            <a:ea typeface="+mn-ea"/>
            <a:cs typeface="+mn-cs"/>
          </a:endParaRPr>
        </a:p>
      </dgm:t>
    </dgm:pt>
    <dgm:pt modelId="{FCDDBC81-6EAA-48F9-831C-C5D989ABD0B4}" type="parTrans" cxnId="{4C461CDF-7CDC-4036-BA55-69E0BE1F5E6F}">
      <dgm:prSet/>
      <dgm:spPr/>
      <dgm:t>
        <a:bodyPr/>
        <a:lstStyle/>
        <a:p>
          <a:endParaRPr lang="en-US" sz="1200"/>
        </a:p>
      </dgm:t>
    </dgm:pt>
    <dgm:pt modelId="{4B63998D-8136-404F-93E8-60EE51AB11D0}" type="sibTrans" cxnId="{4C461CDF-7CDC-4036-BA55-69E0BE1F5E6F}">
      <dgm:prSet/>
      <dgm:spPr/>
      <dgm:t>
        <a:bodyPr/>
        <a:lstStyle/>
        <a:p>
          <a:endParaRPr lang="en-US" sz="1200"/>
        </a:p>
      </dgm:t>
    </dgm:pt>
    <dgm:pt modelId="{B9DA9B4C-327F-4645-B43A-1454DE2DB103}">
      <dgm:prSet phldrT="[Text]" custT="1"/>
      <dgm:spPr>
        <a:xfrm>
          <a:off x="1699" y="1056703"/>
          <a:ext cx="1342816" cy="1408938"/>
        </a:xfrm>
      </dgm:spPr>
      <dgm:t>
        <a:bodyPr/>
        <a:lstStyle/>
        <a:p>
          <a:pPr algn="ctr"/>
          <a:endParaRPr lang="ro-RO" sz="1200">
            <a:latin typeface="Calibri Light" panose="020F0302020204030204"/>
            <a:ea typeface="+mn-ea"/>
            <a:cs typeface="+mn-cs"/>
          </a:endParaRPr>
        </a:p>
        <a:p>
          <a:pPr algn="ctr"/>
          <a:r>
            <a:rPr lang="ro-RO" sz="1200">
              <a:latin typeface="Calibri Light" panose="020F0302020204030204"/>
              <a:ea typeface="+mn-ea"/>
              <a:cs typeface="+mn-cs"/>
            </a:rPr>
            <a:t>asigură plata prin intermediul MPay</a:t>
          </a:r>
          <a:endParaRPr lang="en-US" sz="1200"/>
        </a:p>
      </dgm:t>
    </dgm:pt>
    <dgm:pt modelId="{57BA255F-7DE4-47E7-9229-D3CCCACAD1B4}" type="parTrans" cxnId="{CD05D3B7-E753-4E9B-BF79-CBD0D6A218C3}">
      <dgm:prSet/>
      <dgm:spPr/>
      <dgm:t>
        <a:bodyPr/>
        <a:lstStyle/>
        <a:p>
          <a:endParaRPr lang="en-US" sz="1200"/>
        </a:p>
      </dgm:t>
    </dgm:pt>
    <dgm:pt modelId="{BAC78532-3D75-4A76-B859-57085D9B1E1F}" type="sibTrans" cxnId="{CD05D3B7-E753-4E9B-BF79-CBD0D6A218C3}">
      <dgm:prSet/>
      <dgm:spPr/>
      <dgm:t>
        <a:bodyPr/>
        <a:lstStyle/>
        <a:p>
          <a:endParaRPr lang="en-US" sz="1200"/>
        </a:p>
      </dgm:t>
    </dgm:pt>
    <dgm:pt modelId="{DD7C2488-1747-4F46-93BD-19F28FC34EB8}">
      <dgm:prSet phldrT="[Text]" custT="1"/>
      <dgm:spPr>
        <a:xfrm>
          <a:off x="1699" y="1056703"/>
          <a:ext cx="1342816" cy="1408938"/>
        </a:xfrm>
      </dgm:spPr>
      <dgm:t>
        <a:bodyPr/>
        <a:lstStyle/>
        <a:p>
          <a:pPr algn="ctr"/>
          <a:r>
            <a:rPr lang="ro-RO" sz="1200">
              <a:latin typeface="Calibri Light" panose="020F0302020204030204"/>
              <a:ea typeface="+mn-ea"/>
              <a:cs typeface="+mn-cs"/>
            </a:rPr>
            <a:t>efectuează verificarea modului de aplicare corectă şi unitară a cadrului regulamentar </a:t>
          </a:r>
          <a:endParaRPr lang="en-US" sz="1200"/>
        </a:p>
      </dgm:t>
    </dgm:pt>
    <dgm:pt modelId="{0B77F2BB-BC1D-43F9-9B9E-C70F1100E9FE}" type="parTrans" cxnId="{C2C2C6CC-03E3-40F9-A8A3-6EB5A156B7E8}">
      <dgm:prSet/>
      <dgm:spPr/>
      <dgm:t>
        <a:bodyPr/>
        <a:lstStyle/>
        <a:p>
          <a:endParaRPr lang="en-US" sz="1200"/>
        </a:p>
      </dgm:t>
    </dgm:pt>
    <dgm:pt modelId="{6252AEBF-AACC-4322-BDC8-EA22E8402696}" type="sibTrans" cxnId="{C2C2C6CC-03E3-40F9-A8A3-6EB5A156B7E8}">
      <dgm:prSet/>
      <dgm:spPr/>
      <dgm:t>
        <a:bodyPr/>
        <a:lstStyle/>
        <a:p>
          <a:endParaRPr lang="en-US" sz="1200"/>
        </a:p>
      </dgm:t>
    </dgm:pt>
    <dgm:pt modelId="{DAE39ADA-57C1-4268-92FF-1069C589CC46}" type="pres">
      <dgm:prSet presAssocID="{9B9F02E0-76EE-47F7-A635-4F57A0142FA3}" presName="Name0" presStyleCnt="0">
        <dgm:presLayoutVars>
          <dgm:chMax val="5"/>
          <dgm:chPref val="5"/>
          <dgm:dir/>
          <dgm:animLvl val="lvl"/>
        </dgm:presLayoutVars>
      </dgm:prSet>
      <dgm:spPr/>
      <dgm:t>
        <a:bodyPr/>
        <a:lstStyle/>
        <a:p>
          <a:endParaRPr lang="en-US"/>
        </a:p>
      </dgm:t>
    </dgm:pt>
    <dgm:pt modelId="{1AA00545-41F7-4593-9372-45326E2DDCEE}" type="pres">
      <dgm:prSet presAssocID="{95E8945C-1D76-492D-A2D8-17B4BB54173C}" presName="parentText1" presStyleLbl="node1" presStyleIdx="0" presStyleCnt="4">
        <dgm:presLayoutVars>
          <dgm:chMax/>
          <dgm:chPref val="3"/>
          <dgm:bulletEnabled val="1"/>
        </dgm:presLayoutVars>
      </dgm:prSet>
      <dgm:spPr/>
      <dgm:t>
        <a:bodyPr/>
        <a:lstStyle/>
        <a:p>
          <a:endParaRPr lang="en-US"/>
        </a:p>
      </dgm:t>
    </dgm:pt>
    <dgm:pt modelId="{B01A5F28-BAAF-4886-8469-DA6D3574A2D3}" type="pres">
      <dgm:prSet presAssocID="{95E8945C-1D76-492D-A2D8-17B4BB54173C}" presName="childText1" presStyleLbl="solidAlignAcc1" presStyleIdx="0" presStyleCnt="4" custScaleY="56475" custLinFactNeighborX="1156" custLinFactNeighborY="-22265">
        <dgm:presLayoutVars>
          <dgm:chMax val="0"/>
          <dgm:chPref val="0"/>
          <dgm:bulletEnabled val="1"/>
        </dgm:presLayoutVars>
      </dgm:prSet>
      <dgm:spPr/>
      <dgm:t>
        <a:bodyPr/>
        <a:lstStyle/>
        <a:p>
          <a:endParaRPr lang="en-US"/>
        </a:p>
      </dgm:t>
    </dgm:pt>
    <dgm:pt modelId="{20622221-4A46-4D0F-8E2D-57BE92B782F5}" type="pres">
      <dgm:prSet presAssocID="{E3165CAE-1BA0-4642-BD5F-18FC09E91A45}" presName="parentText2" presStyleLbl="node1" presStyleIdx="1" presStyleCnt="4">
        <dgm:presLayoutVars>
          <dgm:chMax/>
          <dgm:chPref val="3"/>
          <dgm:bulletEnabled val="1"/>
        </dgm:presLayoutVars>
      </dgm:prSet>
      <dgm:spPr/>
      <dgm:t>
        <a:bodyPr/>
        <a:lstStyle/>
        <a:p>
          <a:endParaRPr lang="en-US"/>
        </a:p>
      </dgm:t>
    </dgm:pt>
    <dgm:pt modelId="{9FF0DBFA-0EDC-42E4-A280-9AAF68D27AC9}" type="pres">
      <dgm:prSet presAssocID="{E3165CAE-1BA0-4642-BD5F-18FC09E91A45}" presName="childText2" presStyleLbl="solidAlignAcc1" presStyleIdx="1" presStyleCnt="4" custScaleY="68274" custLinFactNeighborX="2312" custLinFactNeighborY="-16247">
        <dgm:presLayoutVars>
          <dgm:chMax val="0"/>
          <dgm:chPref val="0"/>
          <dgm:bulletEnabled val="1"/>
        </dgm:presLayoutVars>
      </dgm:prSet>
      <dgm:spPr/>
      <dgm:t>
        <a:bodyPr/>
        <a:lstStyle/>
        <a:p>
          <a:endParaRPr lang="en-US"/>
        </a:p>
      </dgm:t>
    </dgm:pt>
    <dgm:pt modelId="{FCB46132-532E-40FA-AF02-AB4574354C3F}" type="pres">
      <dgm:prSet presAssocID="{8DBD8061-7B61-4AF7-A61F-CC93B4C6BA8C}" presName="parentText3" presStyleLbl="node1" presStyleIdx="2" presStyleCnt="4">
        <dgm:presLayoutVars>
          <dgm:chMax/>
          <dgm:chPref val="3"/>
          <dgm:bulletEnabled val="1"/>
        </dgm:presLayoutVars>
      </dgm:prSet>
      <dgm:spPr/>
      <dgm:t>
        <a:bodyPr/>
        <a:lstStyle/>
        <a:p>
          <a:endParaRPr lang="en-US"/>
        </a:p>
      </dgm:t>
    </dgm:pt>
    <dgm:pt modelId="{C8EF9322-541C-410C-964E-34A511D87D5F}" type="pres">
      <dgm:prSet presAssocID="{8DBD8061-7B61-4AF7-A61F-CC93B4C6BA8C}" presName="childText3" presStyleLbl="solidAlignAcc1" presStyleIdx="2" presStyleCnt="4" custScaleY="74525" custLinFactNeighborX="1734" custLinFactNeighborY="-14625">
        <dgm:presLayoutVars>
          <dgm:chMax val="0"/>
          <dgm:chPref val="0"/>
          <dgm:bulletEnabled val="1"/>
        </dgm:presLayoutVars>
      </dgm:prSet>
      <dgm:spPr/>
      <dgm:t>
        <a:bodyPr/>
        <a:lstStyle/>
        <a:p>
          <a:endParaRPr lang="en-US"/>
        </a:p>
      </dgm:t>
    </dgm:pt>
    <dgm:pt modelId="{B301ACB3-4791-4AC6-9E50-119E7BFF2A2C}" type="pres">
      <dgm:prSet presAssocID="{10915DAC-9708-4BC9-B1C9-3AB4D5CC4BFF}" presName="parentText4" presStyleLbl="node1" presStyleIdx="3" presStyleCnt="4">
        <dgm:presLayoutVars>
          <dgm:chMax/>
          <dgm:chPref val="3"/>
          <dgm:bulletEnabled val="1"/>
        </dgm:presLayoutVars>
      </dgm:prSet>
      <dgm:spPr/>
      <dgm:t>
        <a:bodyPr/>
        <a:lstStyle/>
        <a:p>
          <a:endParaRPr lang="en-US"/>
        </a:p>
      </dgm:t>
    </dgm:pt>
    <dgm:pt modelId="{637361B5-CC21-4B82-98D0-41254F571A0C}" type="pres">
      <dgm:prSet presAssocID="{10915DAC-9708-4BC9-B1C9-3AB4D5CC4BFF}" presName="childText4" presStyleLbl="solidAlignAcc1" presStyleIdx="3" presStyleCnt="4" custScaleY="73446" custLinFactNeighborX="1719" custLinFactNeighborY="-14455">
        <dgm:presLayoutVars>
          <dgm:chMax val="0"/>
          <dgm:chPref val="0"/>
          <dgm:bulletEnabled val="1"/>
        </dgm:presLayoutVars>
      </dgm:prSet>
      <dgm:spPr/>
      <dgm:t>
        <a:bodyPr/>
        <a:lstStyle/>
        <a:p>
          <a:endParaRPr lang="en-US"/>
        </a:p>
      </dgm:t>
    </dgm:pt>
  </dgm:ptLst>
  <dgm:cxnLst>
    <dgm:cxn modelId="{F2ED5DAE-D0B9-444F-A2F0-CE28E21774E6}" type="presOf" srcId="{DD7C2488-1747-4F46-93BD-19F28FC34EB8}" destId="{637361B5-CC21-4B82-98D0-41254F571A0C}" srcOrd="0" destOrd="0" presId="urn:microsoft.com/office/officeart/2009/3/layout/IncreasingArrowsProcess"/>
    <dgm:cxn modelId="{4C461CDF-7CDC-4036-BA55-69E0BE1F5E6F}" srcId="{9B9F02E0-76EE-47F7-A635-4F57A0142FA3}" destId="{10915DAC-9708-4BC9-B1C9-3AB4D5CC4BFF}" srcOrd="3" destOrd="0" parTransId="{FCDDBC81-6EAA-48F9-831C-C5D989ABD0B4}" sibTransId="{4B63998D-8136-404F-93E8-60EE51AB11D0}"/>
    <dgm:cxn modelId="{C8B78FFA-1A5E-455D-B096-36E27929E0DD}" type="presOf" srcId="{9B9F02E0-76EE-47F7-A635-4F57A0142FA3}" destId="{DAE39ADA-57C1-4268-92FF-1069C589CC46}" srcOrd="0" destOrd="0" presId="urn:microsoft.com/office/officeart/2009/3/layout/IncreasingArrowsProcess"/>
    <dgm:cxn modelId="{3058734F-3408-467E-AE03-B795376473C8}" type="presOf" srcId="{B33BDA01-8B85-44FE-9E33-3159E150A07D}" destId="{9FF0DBFA-0EDC-42E4-A280-9AAF68D27AC9}" srcOrd="0" destOrd="0" presId="urn:microsoft.com/office/officeart/2009/3/layout/IncreasingArrowsProcess"/>
    <dgm:cxn modelId="{F33E405D-4825-4C9E-9CA9-BEFA5825CAF8}" srcId="{E3165CAE-1BA0-4642-BD5F-18FC09E91A45}" destId="{B33BDA01-8B85-44FE-9E33-3159E150A07D}" srcOrd="0" destOrd="0" parTransId="{C5309C01-CA65-4FFF-8624-94124664983E}" sibTransId="{C4D123D4-EE61-4DFF-93DB-A4A5BD5FD16C}"/>
    <dgm:cxn modelId="{7EEE00BF-2651-497E-B563-937FDE9E13A7}" type="presOf" srcId="{8DBD8061-7B61-4AF7-A61F-CC93B4C6BA8C}" destId="{FCB46132-532E-40FA-AF02-AB4574354C3F}" srcOrd="0" destOrd="0" presId="urn:microsoft.com/office/officeart/2009/3/layout/IncreasingArrowsProcess"/>
    <dgm:cxn modelId="{E172E69A-9DB4-4EDC-9944-3BE7FBAABF39}" type="presOf" srcId="{10915DAC-9708-4BC9-B1C9-3AB4D5CC4BFF}" destId="{B301ACB3-4791-4AC6-9E50-119E7BFF2A2C}" srcOrd="0" destOrd="0" presId="urn:microsoft.com/office/officeart/2009/3/layout/IncreasingArrowsProcess"/>
    <dgm:cxn modelId="{5247A5F8-B06F-418C-B794-948E1E3E33CB}" srcId="{9B9F02E0-76EE-47F7-A635-4F57A0142FA3}" destId="{95E8945C-1D76-492D-A2D8-17B4BB54173C}" srcOrd="0" destOrd="0" parTransId="{56A7895D-8B0E-417B-B005-3FEDF830BD4D}" sibTransId="{B9A4D7C8-69D6-4EFB-AE48-4461CF445BAD}"/>
    <dgm:cxn modelId="{C2C2C6CC-03E3-40F9-A8A3-6EB5A156B7E8}" srcId="{10915DAC-9708-4BC9-B1C9-3AB4D5CC4BFF}" destId="{DD7C2488-1747-4F46-93BD-19F28FC34EB8}" srcOrd="0" destOrd="0" parTransId="{0B77F2BB-BC1D-43F9-9B9E-C70F1100E9FE}" sibTransId="{6252AEBF-AACC-4322-BDC8-EA22E8402696}"/>
    <dgm:cxn modelId="{404ACEBB-00A6-45EE-A6E6-55C7D64159F3}" srcId="{9B9F02E0-76EE-47F7-A635-4F57A0142FA3}" destId="{E3165CAE-1BA0-4642-BD5F-18FC09E91A45}" srcOrd="1" destOrd="0" parTransId="{4899FEC0-BCD8-42BC-99AD-8D49087A3E6C}" sibTransId="{4B7E05D3-65F6-42B1-A856-985574867768}"/>
    <dgm:cxn modelId="{DE563D60-6F3C-445B-9F31-E08DABE2D621}" type="presOf" srcId="{B9DA9B4C-327F-4645-B43A-1454DE2DB103}" destId="{C8EF9322-541C-410C-964E-34A511D87D5F}" srcOrd="0" destOrd="0" presId="urn:microsoft.com/office/officeart/2009/3/layout/IncreasingArrowsProcess"/>
    <dgm:cxn modelId="{FD04E17F-0758-42DB-818D-D38C7A383254}" type="presOf" srcId="{9AA3A3D2-3121-4525-BBD9-94BA688E4370}" destId="{B01A5F28-BAAF-4886-8469-DA6D3574A2D3}" srcOrd="0" destOrd="0" presId="urn:microsoft.com/office/officeart/2009/3/layout/IncreasingArrowsProcess"/>
    <dgm:cxn modelId="{CD05D3B7-E753-4E9B-BF79-CBD0D6A218C3}" srcId="{8DBD8061-7B61-4AF7-A61F-CC93B4C6BA8C}" destId="{B9DA9B4C-327F-4645-B43A-1454DE2DB103}" srcOrd="0" destOrd="0" parTransId="{57BA255F-7DE4-47E7-9229-D3CCCACAD1B4}" sibTransId="{BAC78532-3D75-4A76-B859-57085D9B1E1F}"/>
    <dgm:cxn modelId="{CB5C6B1C-1711-4E78-A243-368E187B0F60}" srcId="{9B9F02E0-76EE-47F7-A635-4F57A0142FA3}" destId="{8DBD8061-7B61-4AF7-A61F-CC93B4C6BA8C}" srcOrd="2" destOrd="0" parTransId="{7C807715-D085-49C4-8E7D-1B56625A7A31}" sibTransId="{B38C7EEF-D51B-4350-B324-DDC4CDF8F829}"/>
    <dgm:cxn modelId="{789EA8B7-E366-4204-96FF-F4F11B40A713}" srcId="{95E8945C-1D76-492D-A2D8-17B4BB54173C}" destId="{9AA3A3D2-3121-4525-BBD9-94BA688E4370}" srcOrd="0" destOrd="0" parTransId="{A163698F-52C2-4038-A9B9-07C1BCF88C55}" sibTransId="{6D4F5B71-B1C9-41F0-96F6-FAF37E2AF51D}"/>
    <dgm:cxn modelId="{0C5CD624-7E22-43A8-B2CD-EA50CB66B40A}" type="presOf" srcId="{E3165CAE-1BA0-4642-BD5F-18FC09E91A45}" destId="{20622221-4A46-4D0F-8E2D-57BE92B782F5}" srcOrd="0" destOrd="0" presId="urn:microsoft.com/office/officeart/2009/3/layout/IncreasingArrowsProcess"/>
    <dgm:cxn modelId="{05A4879D-F153-4122-ADCD-FF284B1EF1EE}" type="presOf" srcId="{95E8945C-1D76-492D-A2D8-17B4BB54173C}" destId="{1AA00545-41F7-4593-9372-45326E2DDCEE}" srcOrd="0" destOrd="0" presId="urn:microsoft.com/office/officeart/2009/3/layout/IncreasingArrowsProcess"/>
    <dgm:cxn modelId="{D4907FB3-78A5-40F1-A49B-2E5747F41D7C}" type="presParOf" srcId="{DAE39ADA-57C1-4268-92FF-1069C589CC46}" destId="{1AA00545-41F7-4593-9372-45326E2DDCEE}" srcOrd="0" destOrd="0" presId="urn:microsoft.com/office/officeart/2009/3/layout/IncreasingArrowsProcess"/>
    <dgm:cxn modelId="{A7DB79BA-9759-4786-B36B-75AA0205121B}" type="presParOf" srcId="{DAE39ADA-57C1-4268-92FF-1069C589CC46}" destId="{B01A5F28-BAAF-4886-8469-DA6D3574A2D3}" srcOrd="1" destOrd="0" presId="urn:microsoft.com/office/officeart/2009/3/layout/IncreasingArrowsProcess"/>
    <dgm:cxn modelId="{0054F788-2C3B-4F1A-AE88-AFAB1ABD303F}" type="presParOf" srcId="{DAE39ADA-57C1-4268-92FF-1069C589CC46}" destId="{20622221-4A46-4D0F-8E2D-57BE92B782F5}" srcOrd="2" destOrd="0" presId="urn:microsoft.com/office/officeart/2009/3/layout/IncreasingArrowsProcess"/>
    <dgm:cxn modelId="{484ABAC8-B91E-4D87-B9ED-A0919583E9B7}" type="presParOf" srcId="{DAE39ADA-57C1-4268-92FF-1069C589CC46}" destId="{9FF0DBFA-0EDC-42E4-A280-9AAF68D27AC9}" srcOrd="3" destOrd="0" presId="urn:microsoft.com/office/officeart/2009/3/layout/IncreasingArrowsProcess"/>
    <dgm:cxn modelId="{CCBC4E69-B259-4581-9D4C-08F41C30A6B0}" type="presParOf" srcId="{DAE39ADA-57C1-4268-92FF-1069C589CC46}" destId="{FCB46132-532E-40FA-AF02-AB4574354C3F}" srcOrd="4" destOrd="0" presId="urn:microsoft.com/office/officeart/2009/3/layout/IncreasingArrowsProcess"/>
    <dgm:cxn modelId="{BAFFBE15-158A-4B10-B3B6-EC0DFC44C297}" type="presParOf" srcId="{DAE39ADA-57C1-4268-92FF-1069C589CC46}" destId="{C8EF9322-541C-410C-964E-34A511D87D5F}" srcOrd="5" destOrd="0" presId="urn:microsoft.com/office/officeart/2009/3/layout/IncreasingArrowsProcess"/>
    <dgm:cxn modelId="{9D34FF26-D2BF-4AE4-8946-4757A70E4716}" type="presParOf" srcId="{DAE39ADA-57C1-4268-92FF-1069C589CC46}" destId="{B301ACB3-4791-4AC6-9E50-119E7BFF2A2C}" srcOrd="6" destOrd="0" presId="urn:microsoft.com/office/officeart/2009/3/layout/IncreasingArrowsProcess"/>
    <dgm:cxn modelId="{35533933-284E-4DF7-8010-9F67B3633740}" type="presParOf" srcId="{DAE39ADA-57C1-4268-92FF-1069C589CC46}" destId="{637361B5-CC21-4B82-98D0-41254F571A0C}" srcOrd="7" destOrd="0" presId="urn:microsoft.com/office/officeart/2009/3/layout/IncreasingArrowsProcess"/>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6E204B3-4756-49F7-A2BC-C3148B8A5C62}" type="doc">
      <dgm:prSet loTypeId="urn:microsoft.com/office/officeart/2005/8/layout/chevronAccent+Icon" loCatId="process" qsTypeId="urn:microsoft.com/office/officeart/2005/8/quickstyle/simple1" qsCatId="simple" csTypeId="urn:microsoft.com/office/officeart/2005/8/colors/accent3_5" csCatId="accent3" phldr="1"/>
      <dgm:spPr/>
    </dgm:pt>
    <dgm:pt modelId="{931FA7F6-B354-45CC-BD17-4786E796D9A5}">
      <dgm:prSet phldrT="[Text]" custT="1"/>
      <dgm:spPr/>
      <dgm:t>
        <a:bodyPr/>
        <a:lstStyle/>
        <a:p>
          <a:r>
            <a:rPr lang="ro-MD" sz="1200" b="1">
              <a:latin typeface="+mj-lt"/>
              <a:cs typeface="Times New Roman" panose="02020603050405020304" pitchFamily="18" charset="0"/>
            </a:rPr>
            <a:t>Agenția Servicii Pubice </a:t>
          </a:r>
        </a:p>
        <a:p>
          <a:r>
            <a:rPr lang="ro-MD" sz="1200" b="1">
              <a:latin typeface="+mj-lt"/>
              <a:cs typeface="Times New Roman" panose="02020603050405020304" pitchFamily="18" charset="0"/>
            </a:rPr>
            <a:t>Registrul de Stat al Populației</a:t>
          </a:r>
          <a:endParaRPr lang="en-US" sz="1200" b="1">
            <a:latin typeface="+mj-lt"/>
            <a:cs typeface="Times New Roman" panose="02020603050405020304" pitchFamily="18" charset="0"/>
          </a:endParaRPr>
        </a:p>
      </dgm:t>
    </dgm:pt>
    <dgm:pt modelId="{64A573B2-1A63-48B8-B92C-EC6D21FF54F6}" type="parTrans" cxnId="{509D877B-1B76-41B8-A1DB-E662025C5DE0}">
      <dgm:prSet/>
      <dgm:spPr/>
      <dgm:t>
        <a:bodyPr/>
        <a:lstStyle/>
        <a:p>
          <a:endParaRPr lang="en-US">
            <a:latin typeface="+mj-lt"/>
          </a:endParaRPr>
        </a:p>
      </dgm:t>
    </dgm:pt>
    <dgm:pt modelId="{7E9AC65F-5E70-4D81-B660-B193983BAFE9}" type="sibTrans" cxnId="{509D877B-1B76-41B8-A1DB-E662025C5DE0}">
      <dgm:prSet/>
      <dgm:spPr/>
      <dgm:t>
        <a:bodyPr/>
        <a:lstStyle/>
        <a:p>
          <a:endParaRPr lang="en-US">
            <a:latin typeface="+mj-lt"/>
          </a:endParaRPr>
        </a:p>
      </dgm:t>
    </dgm:pt>
    <dgm:pt modelId="{99022D32-7501-40B3-8101-2D4D2B935563}">
      <dgm:prSet phldrT="[Text]" custT="1"/>
      <dgm:spPr/>
      <dgm:t>
        <a:bodyPr/>
        <a:lstStyle/>
        <a:p>
          <a:r>
            <a:rPr lang="ro-RO" sz="1200" b="1" u="none">
              <a:latin typeface="+mj-lt"/>
              <a:cs typeface="Times New Roman" panose="02020603050405020304" pitchFamily="18" charset="0"/>
            </a:rPr>
            <a:t>Agenția de Guvernare Electronică</a:t>
          </a:r>
          <a:endParaRPr lang="en-US" sz="1200" b="1" u="none">
            <a:latin typeface="+mj-lt"/>
            <a:cs typeface="Times New Roman" panose="02020603050405020304" pitchFamily="18" charset="0"/>
          </a:endParaRPr>
        </a:p>
      </dgm:t>
    </dgm:pt>
    <dgm:pt modelId="{E71DF112-4C2F-4529-A97A-157E4FF12636}" type="parTrans" cxnId="{9D211D3F-C19E-4A7B-9447-F99B64F7DC98}">
      <dgm:prSet/>
      <dgm:spPr/>
      <dgm:t>
        <a:bodyPr/>
        <a:lstStyle/>
        <a:p>
          <a:endParaRPr lang="en-US">
            <a:latin typeface="+mj-lt"/>
          </a:endParaRPr>
        </a:p>
      </dgm:t>
    </dgm:pt>
    <dgm:pt modelId="{670676AF-298F-4444-BB2E-A4746402C796}" type="sibTrans" cxnId="{9D211D3F-C19E-4A7B-9447-F99B64F7DC98}">
      <dgm:prSet/>
      <dgm:spPr/>
      <dgm:t>
        <a:bodyPr/>
        <a:lstStyle/>
        <a:p>
          <a:endParaRPr lang="en-US">
            <a:latin typeface="+mj-lt"/>
          </a:endParaRPr>
        </a:p>
      </dgm:t>
    </dgm:pt>
    <dgm:pt modelId="{B4EC95A8-3BCE-46BC-94C0-ADB4D216ACFA}">
      <dgm:prSet phldrT="[Text]" custT="1"/>
      <dgm:spPr/>
      <dgm:t>
        <a:bodyPr/>
        <a:lstStyle/>
        <a:p>
          <a:r>
            <a:rPr lang="ro-MD" sz="1200" b="1" u="none">
              <a:latin typeface="+mj-lt"/>
              <a:cs typeface="Times New Roman" panose="02020603050405020304" pitchFamily="18" charset="0"/>
            </a:rPr>
            <a:t>Casa Națională de Asigurări Sociale</a:t>
          </a:r>
          <a:endParaRPr lang="en-US" sz="1200" b="1" u="none">
            <a:latin typeface="+mj-lt"/>
            <a:cs typeface="Times New Roman" panose="02020603050405020304" pitchFamily="18" charset="0"/>
          </a:endParaRPr>
        </a:p>
      </dgm:t>
    </dgm:pt>
    <dgm:pt modelId="{01FCB5DD-32D7-4D75-8600-5BB20D50E804}" type="parTrans" cxnId="{39722360-B398-4A28-9CD5-E4DEA4887F64}">
      <dgm:prSet/>
      <dgm:spPr/>
      <dgm:t>
        <a:bodyPr/>
        <a:lstStyle/>
        <a:p>
          <a:endParaRPr lang="en-US">
            <a:latin typeface="+mj-lt"/>
          </a:endParaRPr>
        </a:p>
      </dgm:t>
    </dgm:pt>
    <dgm:pt modelId="{4BAA3234-50F1-4713-AE0E-FDB33F6AFF6D}" type="sibTrans" cxnId="{39722360-B398-4A28-9CD5-E4DEA4887F64}">
      <dgm:prSet/>
      <dgm:spPr/>
      <dgm:t>
        <a:bodyPr/>
        <a:lstStyle/>
        <a:p>
          <a:endParaRPr lang="en-US">
            <a:latin typeface="+mj-lt"/>
          </a:endParaRPr>
        </a:p>
      </dgm:t>
    </dgm:pt>
    <dgm:pt modelId="{89B2C1CD-9DC3-4946-9C13-82FB10024096}" type="pres">
      <dgm:prSet presAssocID="{06E204B3-4756-49F7-A2BC-C3148B8A5C62}" presName="Name0" presStyleCnt="0">
        <dgm:presLayoutVars>
          <dgm:dir/>
          <dgm:resizeHandles val="exact"/>
        </dgm:presLayoutVars>
      </dgm:prSet>
      <dgm:spPr/>
    </dgm:pt>
    <dgm:pt modelId="{6EDFC7A6-356B-492F-8859-AF5AC335F507}" type="pres">
      <dgm:prSet presAssocID="{931FA7F6-B354-45CC-BD17-4786E796D9A5}" presName="composite" presStyleCnt="0"/>
      <dgm:spPr/>
    </dgm:pt>
    <dgm:pt modelId="{C18AF976-C5C1-434D-A731-F4D7CFA41E8D}" type="pres">
      <dgm:prSet presAssocID="{931FA7F6-B354-45CC-BD17-4786E796D9A5}" presName="bgChev" presStyleLbl="node1" presStyleIdx="0" presStyleCnt="3"/>
      <dgm:spPr/>
    </dgm:pt>
    <dgm:pt modelId="{FB6DC6D2-0371-4F8F-AED4-66B576637885}" type="pres">
      <dgm:prSet presAssocID="{931FA7F6-B354-45CC-BD17-4786E796D9A5}" presName="txNode" presStyleLbl="fgAcc1" presStyleIdx="0" presStyleCnt="3" custScaleY="113929">
        <dgm:presLayoutVars>
          <dgm:bulletEnabled val="1"/>
        </dgm:presLayoutVars>
      </dgm:prSet>
      <dgm:spPr/>
      <dgm:t>
        <a:bodyPr/>
        <a:lstStyle/>
        <a:p>
          <a:endParaRPr lang="en-US"/>
        </a:p>
      </dgm:t>
    </dgm:pt>
    <dgm:pt modelId="{16D34264-BC9D-4357-A82C-6AE3514D36B7}" type="pres">
      <dgm:prSet presAssocID="{7E9AC65F-5E70-4D81-B660-B193983BAFE9}" presName="compositeSpace" presStyleCnt="0"/>
      <dgm:spPr/>
    </dgm:pt>
    <dgm:pt modelId="{382DB2C3-5750-4554-81CB-B249D66A52A1}" type="pres">
      <dgm:prSet presAssocID="{99022D32-7501-40B3-8101-2D4D2B935563}" presName="composite" presStyleCnt="0"/>
      <dgm:spPr/>
    </dgm:pt>
    <dgm:pt modelId="{FBDC80B0-9ACB-426C-AC95-C09845C7C3CA}" type="pres">
      <dgm:prSet presAssocID="{99022D32-7501-40B3-8101-2D4D2B935563}" presName="bgChev" presStyleLbl="node1" presStyleIdx="1" presStyleCnt="3"/>
      <dgm:spPr/>
    </dgm:pt>
    <dgm:pt modelId="{758F2EE3-2BDA-4CD8-B480-13C6FE39E335}" type="pres">
      <dgm:prSet presAssocID="{99022D32-7501-40B3-8101-2D4D2B935563}" presName="txNode" presStyleLbl="fgAcc1" presStyleIdx="1" presStyleCnt="3">
        <dgm:presLayoutVars>
          <dgm:bulletEnabled val="1"/>
        </dgm:presLayoutVars>
      </dgm:prSet>
      <dgm:spPr/>
      <dgm:t>
        <a:bodyPr/>
        <a:lstStyle/>
        <a:p>
          <a:endParaRPr lang="en-US"/>
        </a:p>
      </dgm:t>
    </dgm:pt>
    <dgm:pt modelId="{3676340B-062B-4CDC-ACBA-959D403ADB33}" type="pres">
      <dgm:prSet presAssocID="{670676AF-298F-4444-BB2E-A4746402C796}" presName="compositeSpace" presStyleCnt="0"/>
      <dgm:spPr/>
    </dgm:pt>
    <dgm:pt modelId="{1D054D51-2898-47CA-A6B6-0DF48CDEE966}" type="pres">
      <dgm:prSet presAssocID="{B4EC95A8-3BCE-46BC-94C0-ADB4D216ACFA}" presName="composite" presStyleCnt="0"/>
      <dgm:spPr/>
    </dgm:pt>
    <dgm:pt modelId="{80810472-4F83-4D51-9B5A-673B9DC77DBB}" type="pres">
      <dgm:prSet presAssocID="{B4EC95A8-3BCE-46BC-94C0-ADB4D216ACFA}" presName="bgChev" presStyleLbl="node1" presStyleIdx="2" presStyleCnt="3"/>
      <dgm:spPr/>
    </dgm:pt>
    <dgm:pt modelId="{E0291C61-22B2-4116-A94D-F59DD858624D}" type="pres">
      <dgm:prSet presAssocID="{B4EC95A8-3BCE-46BC-94C0-ADB4D216ACFA}" presName="txNode" presStyleLbl="fgAcc1" presStyleIdx="2" presStyleCnt="3">
        <dgm:presLayoutVars>
          <dgm:bulletEnabled val="1"/>
        </dgm:presLayoutVars>
      </dgm:prSet>
      <dgm:spPr/>
      <dgm:t>
        <a:bodyPr/>
        <a:lstStyle/>
        <a:p>
          <a:endParaRPr lang="en-US"/>
        </a:p>
      </dgm:t>
    </dgm:pt>
  </dgm:ptLst>
  <dgm:cxnLst>
    <dgm:cxn modelId="{397F9E2F-1D43-4A15-94CA-BB8290922EFA}" type="presOf" srcId="{99022D32-7501-40B3-8101-2D4D2B935563}" destId="{758F2EE3-2BDA-4CD8-B480-13C6FE39E335}" srcOrd="0" destOrd="0" presId="urn:microsoft.com/office/officeart/2005/8/layout/chevronAccent+Icon"/>
    <dgm:cxn modelId="{DF7D6E2F-C52B-4713-93A6-9E06E0AC2C1D}" type="presOf" srcId="{06E204B3-4756-49F7-A2BC-C3148B8A5C62}" destId="{89B2C1CD-9DC3-4946-9C13-82FB10024096}" srcOrd="0" destOrd="0" presId="urn:microsoft.com/office/officeart/2005/8/layout/chevronAccent+Icon"/>
    <dgm:cxn modelId="{1095B6F1-492C-46D5-B7AF-F64E3439211B}" type="presOf" srcId="{931FA7F6-B354-45CC-BD17-4786E796D9A5}" destId="{FB6DC6D2-0371-4F8F-AED4-66B576637885}" srcOrd="0" destOrd="0" presId="urn:microsoft.com/office/officeart/2005/8/layout/chevronAccent+Icon"/>
    <dgm:cxn modelId="{509D877B-1B76-41B8-A1DB-E662025C5DE0}" srcId="{06E204B3-4756-49F7-A2BC-C3148B8A5C62}" destId="{931FA7F6-B354-45CC-BD17-4786E796D9A5}" srcOrd="0" destOrd="0" parTransId="{64A573B2-1A63-48B8-B92C-EC6D21FF54F6}" sibTransId="{7E9AC65F-5E70-4D81-B660-B193983BAFE9}"/>
    <dgm:cxn modelId="{5AC4E0ED-C43E-4C8B-BFE7-73F1D6ABD8F3}" type="presOf" srcId="{B4EC95A8-3BCE-46BC-94C0-ADB4D216ACFA}" destId="{E0291C61-22B2-4116-A94D-F59DD858624D}" srcOrd="0" destOrd="0" presId="urn:microsoft.com/office/officeart/2005/8/layout/chevronAccent+Icon"/>
    <dgm:cxn modelId="{39722360-B398-4A28-9CD5-E4DEA4887F64}" srcId="{06E204B3-4756-49F7-A2BC-C3148B8A5C62}" destId="{B4EC95A8-3BCE-46BC-94C0-ADB4D216ACFA}" srcOrd="2" destOrd="0" parTransId="{01FCB5DD-32D7-4D75-8600-5BB20D50E804}" sibTransId="{4BAA3234-50F1-4713-AE0E-FDB33F6AFF6D}"/>
    <dgm:cxn modelId="{9D211D3F-C19E-4A7B-9447-F99B64F7DC98}" srcId="{06E204B3-4756-49F7-A2BC-C3148B8A5C62}" destId="{99022D32-7501-40B3-8101-2D4D2B935563}" srcOrd="1" destOrd="0" parTransId="{E71DF112-4C2F-4529-A97A-157E4FF12636}" sibTransId="{670676AF-298F-4444-BB2E-A4746402C796}"/>
    <dgm:cxn modelId="{949B391F-5999-4BCD-B5C8-DD34276F21F5}" type="presParOf" srcId="{89B2C1CD-9DC3-4946-9C13-82FB10024096}" destId="{6EDFC7A6-356B-492F-8859-AF5AC335F507}" srcOrd="0" destOrd="0" presId="urn:microsoft.com/office/officeart/2005/8/layout/chevronAccent+Icon"/>
    <dgm:cxn modelId="{562D39C3-EE70-499B-8ABB-EC10230DDA7E}" type="presParOf" srcId="{6EDFC7A6-356B-492F-8859-AF5AC335F507}" destId="{C18AF976-C5C1-434D-A731-F4D7CFA41E8D}" srcOrd="0" destOrd="0" presId="urn:microsoft.com/office/officeart/2005/8/layout/chevronAccent+Icon"/>
    <dgm:cxn modelId="{3A8675D6-DB0D-4384-8D7C-E8ED32F8123E}" type="presParOf" srcId="{6EDFC7A6-356B-492F-8859-AF5AC335F507}" destId="{FB6DC6D2-0371-4F8F-AED4-66B576637885}" srcOrd="1" destOrd="0" presId="urn:microsoft.com/office/officeart/2005/8/layout/chevronAccent+Icon"/>
    <dgm:cxn modelId="{ADC06D4E-C200-4548-AE92-A1136F1CC932}" type="presParOf" srcId="{89B2C1CD-9DC3-4946-9C13-82FB10024096}" destId="{16D34264-BC9D-4357-A82C-6AE3514D36B7}" srcOrd="1" destOrd="0" presId="urn:microsoft.com/office/officeart/2005/8/layout/chevronAccent+Icon"/>
    <dgm:cxn modelId="{9B1AE9FA-F779-4A13-AC99-B659451A6C8C}" type="presParOf" srcId="{89B2C1CD-9DC3-4946-9C13-82FB10024096}" destId="{382DB2C3-5750-4554-81CB-B249D66A52A1}" srcOrd="2" destOrd="0" presId="urn:microsoft.com/office/officeart/2005/8/layout/chevronAccent+Icon"/>
    <dgm:cxn modelId="{56F88C01-999F-44A2-BCB4-85E53985BB25}" type="presParOf" srcId="{382DB2C3-5750-4554-81CB-B249D66A52A1}" destId="{FBDC80B0-9ACB-426C-AC95-C09845C7C3CA}" srcOrd="0" destOrd="0" presId="urn:microsoft.com/office/officeart/2005/8/layout/chevronAccent+Icon"/>
    <dgm:cxn modelId="{13E8B83C-A284-484A-A0C1-C6B070BFD371}" type="presParOf" srcId="{382DB2C3-5750-4554-81CB-B249D66A52A1}" destId="{758F2EE3-2BDA-4CD8-B480-13C6FE39E335}" srcOrd="1" destOrd="0" presId="urn:microsoft.com/office/officeart/2005/8/layout/chevronAccent+Icon"/>
    <dgm:cxn modelId="{7D8DA2B4-98BD-4C37-A870-72EA2C1DD6A6}" type="presParOf" srcId="{89B2C1CD-9DC3-4946-9C13-82FB10024096}" destId="{3676340B-062B-4CDC-ACBA-959D403ADB33}" srcOrd="3" destOrd="0" presId="urn:microsoft.com/office/officeart/2005/8/layout/chevronAccent+Icon"/>
    <dgm:cxn modelId="{BC80EE04-5781-4E58-B137-640CB0A1F57E}" type="presParOf" srcId="{89B2C1CD-9DC3-4946-9C13-82FB10024096}" destId="{1D054D51-2898-47CA-A6B6-0DF48CDEE966}" srcOrd="4" destOrd="0" presId="urn:microsoft.com/office/officeart/2005/8/layout/chevronAccent+Icon"/>
    <dgm:cxn modelId="{F5870F53-48B2-4D25-904B-EAE2DE0B3D22}" type="presParOf" srcId="{1D054D51-2898-47CA-A6B6-0DF48CDEE966}" destId="{80810472-4F83-4D51-9B5A-673B9DC77DBB}" srcOrd="0" destOrd="0" presId="urn:microsoft.com/office/officeart/2005/8/layout/chevronAccent+Icon"/>
    <dgm:cxn modelId="{788E0AB6-A9DE-4B80-A82B-B770A53DE8D6}" type="presParOf" srcId="{1D054D51-2898-47CA-A6B6-0DF48CDEE966}" destId="{E0291C61-22B2-4116-A94D-F59DD858624D}" srcOrd="1" destOrd="0" presId="urn:microsoft.com/office/officeart/2005/8/layout/chevronAccent+Icon"/>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07140D8-B4AC-47F5-AC09-3ECFD51D46C2}" type="doc">
      <dgm:prSet loTypeId="urn:microsoft.com/office/officeart/2005/8/layout/vList5" loCatId="list" qsTypeId="urn:microsoft.com/office/officeart/2005/8/quickstyle/simple1" qsCatId="simple" csTypeId="urn:microsoft.com/office/officeart/2005/8/colors/accent0_1" csCatId="mainScheme" phldr="1"/>
      <dgm:spPr/>
      <dgm:t>
        <a:bodyPr/>
        <a:lstStyle/>
        <a:p>
          <a:endParaRPr lang="en-US"/>
        </a:p>
      </dgm:t>
    </dgm:pt>
    <dgm:pt modelId="{B11E14B8-AC84-43B8-9FFE-8AB5E6A2E0B9}">
      <dgm:prSet phldrT="[Text]"/>
      <dgm:spPr/>
      <dgm:t>
        <a:bodyPr/>
        <a:lstStyle/>
        <a:p>
          <a:r>
            <a:rPr lang="en-US" b="1">
              <a:latin typeface="+mj-lt"/>
            </a:rPr>
            <a:t>Ministerul Muncii și Protecției Sociale </a:t>
          </a:r>
        </a:p>
      </dgm:t>
    </dgm:pt>
    <dgm:pt modelId="{9B24C339-08AE-4B48-A9DE-2A137FDA75F4}" type="parTrans" cxnId="{C6279952-94E1-482D-87C3-F74192BD8EFD}">
      <dgm:prSet/>
      <dgm:spPr/>
      <dgm:t>
        <a:bodyPr/>
        <a:lstStyle/>
        <a:p>
          <a:endParaRPr lang="en-US">
            <a:solidFill>
              <a:schemeClr val="tx1"/>
            </a:solidFill>
            <a:latin typeface="+mj-lt"/>
          </a:endParaRPr>
        </a:p>
      </dgm:t>
    </dgm:pt>
    <dgm:pt modelId="{FABE2A03-C0B8-4EC6-8598-64C90B79356F}" type="sibTrans" cxnId="{C6279952-94E1-482D-87C3-F74192BD8EFD}">
      <dgm:prSet/>
      <dgm:spPr/>
      <dgm:t>
        <a:bodyPr/>
        <a:lstStyle/>
        <a:p>
          <a:endParaRPr lang="en-US">
            <a:solidFill>
              <a:schemeClr val="tx1"/>
            </a:solidFill>
            <a:latin typeface="+mj-lt"/>
          </a:endParaRPr>
        </a:p>
      </dgm:t>
    </dgm:pt>
    <dgm:pt modelId="{C8FEAA9D-B701-40EE-8FA0-CFA45A051F1F}">
      <dgm:prSet phldrT="[Text]" custT="1"/>
      <dgm:spPr/>
      <dgm:t>
        <a:bodyPr/>
        <a:lstStyle/>
        <a:p>
          <a:pPr algn="just"/>
          <a:r>
            <a:rPr lang="en-US" sz="800">
              <a:latin typeface="+mj-lt"/>
            </a:rPr>
            <a:t>elaborează și aprobă formularul de solicitare a indemnizației pentru șomaj tehnic din bugetul de stat acordate conform prevederilor</a:t>
          </a:r>
        </a:p>
      </dgm:t>
    </dgm:pt>
    <dgm:pt modelId="{71C65C58-C61D-4C90-AA2F-63965E7B8257}" type="parTrans" cxnId="{E23393DB-4FE9-44F8-AF43-BA0246B8DCDD}">
      <dgm:prSet/>
      <dgm:spPr/>
      <dgm:t>
        <a:bodyPr/>
        <a:lstStyle/>
        <a:p>
          <a:endParaRPr lang="en-US">
            <a:solidFill>
              <a:schemeClr val="tx1"/>
            </a:solidFill>
            <a:latin typeface="+mj-lt"/>
          </a:endParaRPr>
        </a:p>
      </dgm:t>
    </dgm:pt>
    <dgm:pt modelId="{91CF227E-B548-4E6E-9C0B-7606B264AC11}" type="sibTrans" cxnId="{E23393DB-4FE9-44F8-AF43-BA0246B8DCDD}">
      <dgm:prSet/>
      <dgm:spPr/>
      <dgm:t>
        <a:bodyPr/>
        <a:lstStyle/>
        <a:p>
          <a:endParaRPr lang="en-US">
            <a:solidFill>
              <a:schemeClr val="tx1"/>
            </a:solidFill>
            <a:latin typeface="+mj-lt"/>
          </a:endParaRPr>
        </a:p>
      </dgm:t>
    </dgm:pt>
    <dgm:pt modelId="{878EC512-B2A3-40B5-8CFC-7CFA75668CEF}">
      <dgm:prSet phldrT="[Text]"/>
      <dgm:spPr/>
      <dgm:t>
        <a:bodyPr/>
        <a:lstStyle/>
        <a:p>
          <a:r>
            <a:rPr lang="en-US" b="1">
              <a:latin typeface="+mj-lt"/>
            </a:rPr>
            <a:t>Centrul de Tehnologii Informaționale în Finanțe </a:t>
          </a:r>
        </a:p>
      </dgm:t>
    </dgm:pt>
    <dgm:pt modelId="{320B9145-54AF-4877-BEF1-938265165762}" type="parTrans" cxnId="{D1AF4984-B22A-4FB3-9F47-9EB1F98154AF}">
      <dgm:prSet/>
      <dgm:spPr/>
      <dgm:t>
        <a:bodyPr/>
        <a:lstStyle/>
        <a:p>
          <a:endParaRPr lang="en-US">
            <a:solidFill>
              <a:schemeClr val="tx1"/>
            </a:solidFill>
            <a:latin typeface="+mj-lt"/>
          </a:endParaRPr>
        </a:p>
      </dgm:t>
    </dgm:pt>
    <dgm:pt modelId="{F14EF9DA-CC8E-4D2A-8E20-2592C63AD858}" type="sibTrans" cxnId="{D1AF4984-B22A-4FB3-9F47-9EB1F98154AF}">
      <dgm:prSet/>
      <dgm:spPr/>
      <dgm:t>
        <a:bodyPr/>
        <a:lstStyle/>
        <a:p>
          <a:endParaRPr lang="en-US">
            <a:solidFill>
              <a:schemeClr val="tx1"/>
            </a:solidFill>
            <a:latin typeface="+mj-lt"/>
          </a:endParaRPr>
        </a:p>
      </dgm:t>
    </dgm:pt>
    <dgm:pt modelId="{63557B85-30CB-42ED-BA5E-A687C1D7CDCF}">
      <dgm:prSet phldrT="[Text]" custT="1"/>
      <dgm:spPr/>
      <dgm:t>
        <a:bodyPr/>
        <a:lstStyle/>
        <a:p>
          <a:pPr algn="just"/>
          <a:r>
            <a:rPr lang="en-US" sz="800">
              <a:latin typeface="+mj-lt"/>
            </a:rPr>
            <a:t>dezvoltă formularul </a:t>
          </a:r>
          <a:r>
            <a:rPr lang="ro-MD" sz="800">
              <a:latin typeface="+mj-lt"/>
            </a:rPr>
            <a:t>de aplicare </a:t>
          </a:r>
          <a:r>
            <a:rPr lang="en-US" sz="800">
              <a:latin typeface="+mj-lt"/>
            </a:rPr>
            <a:t>pentru a fi accesat prin intermediul ghișeului unic de raportare electronică</a:t>
          </a:r>
        </a:p>
      </dgm:t>
    </dgm:pt>
    <dgm:pt modelId="{FEDF5D15-0B98-48BB-8D58-0BBDADFCABBB}" type="parTrans" cxnId="{68F15E2D-D408-4E3F-870D-27D40B2C506B}">
      <dgm:prSet/>
      <dgm:spPr/>
      <dgm:t>
        <a:bodyPr/>
        <a:lstStyle/>
        <a:p>
          <a:endParaRPr lang="en-US">
            <a:solidFill>
              <a:schemeClr val="tx1"/>
            </a:solidFill>
            <a:latin typeface="+mj-lt"/>
          </a:endParaRPr>
        </a:p>
      </dgm:t>
    </dgm:pt>
    <dgm:pt modelId="{8D89165A-8F55-4180-9C1D-CAE1ABA9FB31}" type="sibTrans" cxnId="{68F15E2D-D408-4E3F-870D-27D40B2C506B}">
      <dgm:prSet/>
      <dgm:spPr/>
      <dgm:t>
        <a:bodyPr/>
        <a:lstStyle/>
        <a:p>
          <a:endParaRPr lang="en-US">
            <a:solidFill>
              <a:schemeClr val="tx1"/>
            </a:solidFill>
            <a:latin typeface="+mj-lt"/>
          </a:endParaRPr>
        </a:p>
      </dgm:t>
    </dgm:pt>
    <dgm:pt modelId="{FAD8B74C-B16B-4D44-937A-9697EAF5926D}">
      <dgm:prSet phldrT="[Text]"/>
      <dgm:spPr/>
      <dgm:t>
        <a:bodyPr/>
        <a:lstStyle/>
        <a:p>
          <a:r>
            <a:rPr lang="en-US" b="1">
              <a:latin typeface="+mj-lt"/>
            </a:rPr>
            <a:t>Serviciul Fiscal de Stat </a:t>
          </a:r>
        </a:p>
      </dgm:t>
    </dgm:pt>
    <dgm:pt modelId="{CDB6A1DE-2A7A-415A-B356-196B0F84EA2A}" type="parTrans" cxnId="{A78DFF17-B4B8-4969-8E1C-8D298CB42FB8}">
      <dgm:prSet/>
      <dgm:spPr/>
      <dgm:t>
        <a:bodyPr/>
        <a:lstStyle/>
        <a:p>
          <a:endParaRPr lang="en-US">
            <a:solidFill>
              <a:schemeClr val="tx1"/>
            </a:solidFill>
            <a:latin typeface="+mj-lt"/>
          </a:endParaRPr>
        </a:p>
      </dgm:t>
    </dgm:pt>
    <dgm:pt modelId="{7F321D35-C5B6-4A37-9D99-378C813C9203}" type="sibTrans" cxnId="{A78DFF17-B4B8-4969-8E1C-8D298CB42FB8}">
      <dgm:prSet/>
      <dgm:spPr/>
      <dgm:t>
        <a:bodyPr/>
        <a:lstStyle/>
        <a:p>
          <a:endParaRPr lang="en-US">
            <a:solidFill>
              <a:schemeClr val="tx1"/>
            </a:solidFill>
            <a:latin typeface="+mj-lt"/>
          </a:endParaRPr>
        </a:p>
      </dgm:t>
    </dgm:pt>
    <dgm:pt modelId="{4A8E9E8B-1BA9-46A5-9643-3B0B1A04AD3D}">
      <dgm:prSet phldrT="[Text]" custT="1"/>
      <dgm:spPr/>
      <dgm:t>
        <a:bodyPr/>
        <a:lstStyle/>
        <a:p>
          <a:pPr algn="just"/>
          <a:r>
            <a:rPr lang="en-US" sz="800">
              <a:latin typeface="+mj-lt"/>
            </a:rPr>
            <a:t>asigură, în regim automatizat, furnizarea datelor din sistemul automatizat al ghișeului unic de raportare electronică către Casa Națională de Asigurări Sociale pentru efectuarea plății indemnizației pentru șomaj tehnic din bugetul de stat</a:t>
          </a:r>
        </a:p>
      </dgm:t>
    </dgm:pt>
    <dgm:pt modelId="{62392CDE-8CA8-43EA-BB94-CE9A4A9DCB85}" type="parTrans" cxnId="{4AAF4789-5F48-48DB-8BC5-F837539AC23E}">
      <dgm:prSet/>
      <dgm:spPr/>
      <dgm:t>
        <a:bodyPr/>
        <a:lstStyle/>
        <a:p>
          <a:endParaRPr lang="en-US">
            <a:solidFill>
              <a:schemeClr val="tx1"/>
            </a:solidFill>
            <a:latin typeface="+mj-lt"/>
          </a:endParaRPr>
        </a:p>
      </dgm:t>
    </dgm:pt>
    <dgm:pt modelId="{9434E9FD-A2B2-45FA-A9DB-ABDC8ED1661C}" type="sibTrans" cxnId="{4AAF4789-5F48-48DB-8BC5-F837539AC23E}">
      <dgm:prSet/>
      <dgm:spPr/>
      <dgm:t>
        <a:bodyPr/>
        <a:lstStyle/>
        <a:p>
          <a:endParaRPr lang="en-US">
            <a:solidFill>
              <a:schemeClr val="tx1"/>
            </a:solidFill>
            <a:latin typeface="+mj-lt"/>
          </a:endParaRPr>
        </a:p>
      </dgm:t>
    </dgm:pt>
    <dgm:pt modelId="{A7681F26-8ACC-4B0D-A0F9-D7A24BECF5A8}">
      <dgm:prSet/>
      <dgm:spPr/>
      <dgm:t>
        <a:bodyPr/>
        <a:lstStyle/>
        <a:p>
          <a:r>
            <a:rPr lang="en-US" b="1">
              <a:latin typeface="+mj-lt"/>
            </a:rPr>
            <a:t>Agenția de Guvernare Electronică</a:t>
          </a:r>
        </a:p>
      </dgm:t>
    </dgm:pt>
    <dgm:pt modelId="{5ABE8106-D867-487E-A782-7B4C0B4A3D1A}" type="parTrans" cxnId="{76F01A16-9725-4BE7-A078-8636B85C99CA}">
      <dgm:prSet/>
      <dgm:spPr/>
      <dgm:t>
        <a:bodyPr/>
        <a:lstStyle/>
        <a:p>
          <a:endParaRPr lang="en-US">
            <a:solidFill>
              <a:schemeClr val="tx1"/>
            </a:solidFill>
            <a:latin typeface="+mj-lt"/>
          </a:endParaRPr>
        </a:p>
      </dgm:t>
    </dgm:pt>
    <dgm:pt modelId="{546F5973-C945-413A-A198-CB8CCB2AF9DA}" type="sibTrans" cxnId="{76F01A16-9725-4BE7-A078-8636B85C99CA}">
      <dgm:prSet/>
      <dgm:spPr/>
      <dgm:t>
        <a:bodyPr/>
        <a:lstStyle/>
        <a:p>
          <a:endParaRPr lang="en-US">
            <a:solidFill>
              <a:schemeClr val="tx1"/>
            </a:solidFill>
            <a:latin typeface="+mj-lt"/>
          </a:endParaRPr>
        </a:p>
      </dgm:t>
    </dgm:pt>
    <dgm:pt modelId="{0A8D39BD-2C8E-49F6-BF97-558B193F2A22}">
      <dgm:prSet custT="1"/>
      <dgm:spPr/>
      <dgm:t>
        <a:bodyPr/>
        <a:lstStyle/>
        <a:p>
          <a:pPr algn="just"/>
          <a:r>
            <a:rPr lang="en-US" sz="800">
              <a:latin typeface="+mj-lt"/>
            </a:rPr>
            <a:t>acordă suportul tehnic necesar pentru asigurarea interoperabilității sistemelor informaționale implicate în colectarea, validarea și transmiterea solicitării de acordare a indemnizației pentru șomaj tehnic din bugetul</a:t>
          </a:r>
        </a:p>
      </dgm:t>
    </dgm:pt>
    <dgm:pt modelId="{3F4CCF0C-CE32-4CB1-8420-E604A3474AB1}" type="parTrans" cxnId="{1F2ECC63-1CA7-4D30-8240-DDC3473D1C7D}">
      <dgm:prSet/>
      <dgm:spPr/>
      <dgm:t>
        <a:bodyPr/>
        <a:lstStyle/>
        <a:p>
          <a:endParaRPr lang="en-US">
            <a:solidFill>
              <a:schemeClr val="tx1"/>
            </a:solidFill>
            <a:latin typeface="+mj-lt"/>
          </a:endParaRPr>
        </a:p>
      </dgm:t>
    </dgm:pt>
    <dgm:pt modelId="{A70C9EAE-8933-4BA6-B2A0-E001F93974D4}" type="sibTrans" cxnId="{1F2ECC63-1CA7-4D30-8240-DDC3473D1C7D}">
      <dgm:prSet/>
      <dgm:spPr/>
      <dgm:t>
        <a:bodyPr/>
        <a:lstStyle/>
        <a:p>
          <a:endParaRPr lang="en-US">
            <a:solidFill>
              <a:schemeClr val="tx1"/>
            </a:solidFill>
            <a:latin typeface="+mj-lt"/>
          </a:endParaRPr>
        </a:p>
      </dgm:t>
    </dgm:pt>
    <dgm:pt modelId="{74AEBAD9-1FA6-45DC-8CB4-CB971555C088}">
      <dgm:prSet/>
      <dgm:spPr/>
      <dgm:t>
        <a:bodyPr/>
        <a:lstStyle/>
        <a:p>
          <a:r>
            <a:rPr lang="en-US" b="1">
              <a:latin typeface="+mj-lt"/>
            </a:rPr>
            <a:t>Casa Națională de Asigurări Sociale </a:t>
          </a:r>
        </a:p>
      </dgm:t>
    </dgm:pt>
    <dgm:pt modelId="{F6BA7C10-DA6B-4519-8000-D453F5BA00D3}" type="parTrans" cxnId="{B4EEA5BB-7B4E-409C-AB0B-B8B407287A7A}">
      <dgm:prSet/>
      <dgm:spPr/>
      <dgm:t>
        <a:bodyPr/>
        <a:lstStyle/>
        <a:p>
          <a:endParaRPr lang="en-US">
            <a:solidFill>
              <a:schemeClr val="tx1"/>
            </a:solidFill>
            <a:latin typeface="+mj-lt"/>
          </a:endParaRPr>
        </a:p>
      </dgm:t>
    </dgm:pt>
    <dgm:pt modelId="{FB19A50A-1A63-40F6-B152-58CE8ACAC138}" type="sibTrans" cxnId="{B4EEA5BB-7B4E-409C-AB0B-B8B407287A7A}">
      <dgm:prSet/>
      <dgm:spPr/>
      <dgm:t>
        <a:bodyPr/>
        <a:lstStyle/>
        <a:p>
          <a:endParaRPr lang="en-US">
            <a:solidFill>
              <a:schemeClr val="tx1"/>
            </a:solidFill>
            <a:latin typeface="+mj-lt"/>
          </a:endParaRPr>
        </a:p>
      </dgm:t>
    </dgm:pt>
    <dgm:pt modelId="{D74B6BD7-C2C9-4BE6-9F15-7B5A54C6426C}">
      <dgm:prSet custT="1"/>
      <dgm:spPr/>
      <dgm:t>
        <a:bodyPr/>
        <a:lstStyle/>
        <a:p>
          <a:pPr algn="just"/>
          <a:r>
            <a:rPr lang="en-US" sz="800">
              <a:latin typeface="+mj-lt"/>
            </a:rPr>
            <a:t>asigură evidența plăților indemnizației pentru șomaj tehnic și raportează către Ministerul Finanțelor privind indemnizațiile achitate</a:t>
          </a:r>
        </a:p>
      </dgm:t>
    </dgm:pt>
    <dgm:pt modelId="{15F32ABF-78DA-48DB-B02B-CDC417AAB4F1}" type="parTrans" cxnId="{632EACB0-85DF-457A-96F0-E82C27F6B414}">
      <dgm:prSet/>
      <dgm:spPr/>
      <dgm:t>
        <a:bodyPr/>
        <a:lstStyle/>
        <a:p>
          <a:endParaRPr lang="en-US">
            <a:solidFill>
              <a:schemeClr val="tx1"/>
            </a:solidFill>
            <a:latin typeface="+mj-lt"/>
          </a:endParaRPr>
        </a:p>
      </dgm:t>
    </dgm:pt>
    <dgm:pt modelId="{CFE6D250-43AC-49FF-97C4-1976027F0536}" type="sibTrans" cxnId="{632EACB0-85DF-457A-96F0-E82C27F6B414}">
      <dgm:prSet/>
      <dgm:spPr/>
      <dgm:t>
        <a:bodyPr/>
        <a:lstStyle/>
        <a:p>
          <a:endParaRPr lang="en-US">
            <a:solidFill>
              <a:schemeClr val="tx1"/>
            </a:solidFill>
            <a:latin typeface="+mj-lt"/>
          </a:endParaRPr>
        </a:p>
      </dgm:t>
    </dgm:pt>
    <dgm:pt modelId="{2A224213-345E-4463-9661-853ADD6DC79E}">
      <dgm:prSet/>
      <dgm:spPr/>
      <dgm:t>
        <a:bodyPr/>
        <a:lstStyle/>
        <a:p>
          <a:r>
            <a:rPr lang="ro-MD" b="0" i="0">
              <a:latin typeface="+mj-lt"/>
            </a:rPr>
            <a:t>realizează c</a:t>
          </a:r>
          <a:r>
            <a:rPr lang="en-US" b="0" i="0">
              <a:latin typeface="+mj-lt"/>
            </a:rPr>
            <a:t>ontrolul și constatarea corectitudinii declarării șomajului tehnic, a mărimii salariului de bază pentru salariații beneficiari de indemnizație pentru șomaj tehnic, angajați în cadrul unității care solicită indemnizația</a:t>
          </a:r>
          <a:endParaRPr lang="en-US">
            <a:latin typeface="+mj-lt"/>
          </a:endParaRPr>
        </a:p>
      </dgm:t>
    </dgm:pt>
    <dgm:pt modelId="{AB0848B2-4F7E-446F-9394-313FB329D085}" type="parTrans" cxnId="{4B356379-A974-474D-9B2B-6C9C45F15AEA}">
      <dgm:prSet/>
      <dgm:spPr/>
      <dgm:t>
        <a:bodyPr/>
        <a:lstStyle/>
        <a:p>
          <a:endParaRPr lang="en-US">
            <a:solidFill>
              <a:schemeClr val="tx1"/>
            </a:solidFill>
            <a:latin typeface="+mj-lt"/>
          </a:endParaRPr>
        </a:p>
      </dgm:t>
    </dgm:pt>
    <dgm:pt modelId="{6EC1D516-EBDD-4F90-B6C8-BC968ADF84D4}" type="sibTrans" cxnId="{4B356379-A974-474D-9B2B-6C9C45F15AEA}">
      <dgm:prSet/>
      <dgm:spPr/>
      <dgm:t>
        <a:bodyPr/>
        <a:lstStyle/>
        <a:p>
          <a:endParaRPr lang="en-US">
            <a:solidFill>
              <a:schemeClr val="tx1"/>
            </a:solidFill>
            <a:latin typeface="+mj-lt"/>
          </a:endParaRPr>
        </a:p>
      </dgm:t>
    </dgm:pt>
    <dgm:pt modelId="{E2D19847-25E2-40C0-87A6-3EA286575A70}">
      <dgm:prSet/>
      <dgm:spPr/>
      <dgm:t>
        <a:bodyPr/>
        <a:lstStyle/>
        <a:p>
          <a:r>
            <a:rPr lang="en-US" b="1" i="0">
              <a:latin typeface="+mj-lt"/>
            </a:rPr>
            <a:t>Inspectoratul de Stat al Muncii</a:t>
          </a:r>
          <a:endParaRPr lang="en-US" b="1">
            <a:latin typeface="+mj-lt"/>
          </a:endParaRPr>
        </a:p>
      </dgm:t>
    </dgm:pt>
    <dgm:pt modelId="{F9D8BBD4-2876-42CD-8E10-44DAE30B2534}" type="parTrans" cxnId="{B2F6C418-F1F3-4757-8201-339613CC8DCC}">
      <dgm:prSet/>
      <dgm:spPr/>
      <dgm:t>
        <a:bodyPr/>
        <a:lstStyle/>
        <a:p>
          <a:endParaRPr lang="en-US">
            <a:solidFill>
              <a:schemeClr val="tx1"/>
            </a:solidFill>
            <a:latin typeface="+mj-lt"/>
          </a:endParaRPr>
        </a:p>
      </dgm:t>
    </dgm:pt>
    <dgm:pt modelId="{ECF41E3B-71B7-4CEA-837F-2447250D4146}" type="sibTrans" cxnId="{B2F6C418-F1F3-4757-8201-339613CC8DCC}">
      <dgm:prSet/>
      <dgm:spPr/>
      <dgm:t>
        <a:bodyPr/>
        <a:lstStyle/>
        <a:p>
          <a:endParaRPr lang="en-US">
            <a:solidFill>
              <a:schemeClr val="tx1"/>
            </a:solidFill>
            <a:latin typeface="+mj-lt"/>
          </a:endParaRPr>
        </a:p>
      </dgm:t>
    </dgm:pt>
    <dgm:pt modelId="{186FB912-1356-43EF-9B8E-EFEE0FE1DBFE}">
      <dgm:prSet phldrT="[Text]" custT="1"/>
      <dgm:spPr/>
      <dgm:t>
        <a:bodyPr/>
        <a:lstStyle/>
        <a:p>
          <a:pPr algn="just"/>
          <a:r>
            <a:rPr lang="ro-MD" sz="800" b="0" i="0">
              <a:latin typeface="+mj-lt"/>
            </a:rPr>
            <a:t>recuperează de la angajator sau salariat ind</a:t>
          </a:r>
          <a:r>
            <a:rPr lang="en-US" sz="800" b="0" i="0">
              <a:latin typeface="+mj-lt"/>
            </a:rPr>
            <a:t>emnizațiile acordate fără temei legal sau în baza datelor false indicate de angajator în solicitare sau de salariat în declarația pe propria răspundere, conform constatărilor Inspectoratului de Stat al Muncii</a:t>
          </a:r>
          <a:endParaRPr lang="en-US" sz="800">
            <a:latin typeface="+mj-lt"/>
          </a:endParaRPr>
        </a:p>
      </dgm:t>
    </dgm:pt>
    <dgm:pt modelId="{06503D68-BE05-41E4-BFCD-95AD4C95F2B8}" type="parTrans" cxnId="{C5EB10DA-88C7-4168-B0E5-B87BE35BF0D2}">
      <dgm:prSet/>
      <dgm:spPr/>
      <dgm:t>
        <a:bodyPr/>
        <a:lstStyle/>
        <a:p>
          <a:endParaRPr lang="en-US">
            <a:solidFill>
              <a:schemeClr val="tx1"/>
            </a:solidFill>
            <a:latin typeface="+mj-lt"/>
          </a:endParaRPr>
        </a:p>
      </dgm:t>
    </dgm:pt>
    <dgm:pt modelId="{6B41A02C-590F-4A60-ACB5-E9B0BFF367A5}" type="sibTrans" cxnId="{C5EB10DA-88C7-4168-B0E5-B87BE35BF0D2}">
      <dgm:prSet/>
      <dgm:spPr/>
      <dgm:t>
        <a:bodyPr/>
        <a:lstStyle/>
        <a:p>
          <a:endParaRPr lang="en-US">
            <a:solidFill>
              <a:schemeClr val="tx1"/>
            </a:solidFill>
            <a:latin typeface="+mj-lt"/>
          </a:endParaRPr>
        </a:p>
      </dgm:t>
    </dgm:pt>
    <dgm:pt modelId="{26AB9F8A-C45B-4195-801B-C80436D94025}">
      <dgm:prSet phldrT="[Text]"/>
      <dgm:spPr/>
      <dgm:t>
        <a:bodyPr/>
        <a:lstStyle/>
        <a:p>
          <a:r>
            <a:rPr lang="en-US" b="1">
              <a:latin typeface="+mj-lt"/>
            </a:rPr>
            <a:t>Ministerul Finanțelor</a:t>
          </a:r>
        </a:p>
      </dgm:t>
    </dgm:pt>
    <dgm:pt modelId="{5341A781-5C57-4AE7-BB30-FA408E3ED838}" type="parTrans" cxnId="{C325D3C8-94B5-4825-B832-D473C7F536DB}">
      <dgm:prSet/>
      <dgm:spPr/>
      <dgm:t>
        <a:bodyPr/>
        <a:lstStyle/>
        <a:p>
          <a:endParaRPr lang="en-US">
            <a:solidFill>
              <a:schemeClr val="tx1"/>
            </a:solidFill>
            <a:latin typeface="+mj-lt"/>
          </a:endParaRPr>
        </a:p>
      </dgm:t>
    </dgm:pt>
    <dgm:pt modelId="{D3BEEC7F-9F62-4AED-B6F1-9CE2DB2519CB}" type="sibTrans" cxnId="{C325D3C8-94B5-4825-B832-D473C7F536DB}">
      <dgm:prSet/>
      <dgm:spPr/>
      <dgm:t>
        <a:bodyPr/>
        <a:lstStyle/>
        <a:p>
          <a:endParaRPr lang="en-US">
            <a:solidFill>
              <a:schemeClr val="tx1"/>
            </a:solidFill>
            <a:latin typeface="+mj-lt"/>
          </a:endParaRPr>
        </a:p>
      </dgm:t>
    </dgm:pt>
    <dgm:pt modelId="{18C4C7A0-6506-4B5D-A8AF-F8EAA8106750}">
      <dgm:prSet phldrT="[Text]" custT="1"/>
      <dgm:spPr/>
      <dgm:t>
        <a:bodyPr/>
        <a:lstStyle/>
        <a:p>
          <a:pPr algn="just"/>
          <a:r>
            <a:rPr lang="en-US" sz="800">
              <a:latin typeface="+mj-lt"/>
            </a:rPr>
            <a:t>planifică și transferă lunar mijloace financiare, în modul stabilit, către Casa Națională de Asigurări Sociale pentru plata indemnizației în limitele surselor prevăzute în bugetul de stat în aceste scopuri</a:t>
          </a:r>
        </a:p>
      </dgm:t>
    </dgm:pt>
    <dgm:pt modelId="{289BCCB7-3D1C-408A-A5EF-D4AD125BA470}" type="parTrans" cxnId="{D82C1181-B98E-4114-A491-51C37811A789}">
      <dgm:prSet/>
      <dgm:spPr/>
      <dgm:t>
        <a:bodyPr/>
        <a:lstStyle/>
        <a:p>
          <a:endParaRPr lang="en-US">
            <a:solidFill>
              <a:schemeClr val="tx1"/>
            </a:solidFill>
            <a:latin typeface="+mj-lt"/>
          </a:endParaRPr>
        </a:p>
      </dgm:t>
    </dgm:pt>
    <dgm:pt modelId="{29EF96AA-B0AB-4B9F-9A61-242C50BB8647}" type="sibTrans" cxnId="{D82C1181-B98E-4114-A491-51C37811A789}">
      <dgm:prSet/>
      <dgm:spPr/>
      <dgm:t>
        <a:bodyPr/>
        <a:lstStyle/>
        <a:p>
          <a:endParaRPr lang="en-US">
            <a:solidFill>
              <a:schemeClr val="tx1"/>
            </a:solidFill>
            <a:latin typeface="+mj-lt"/>
          </a:endParaRPr>
        </a:p>
      </dgm:t>
    </dgm:pt>
    <dgm:pt modelId="{E095527F-F10D-464C-AFFA-508D83E8DA1E}" type="pres">
      <dgm:prSet presAssocID="{007140D8-B4AC-47F5-AC09-3ECFD51D46C2}" presName="Name0" presStyleCnt="0">
        <dgm:presLayoutVars>
          <dgm:dir/>
          <dgm:animLvl val="lvl"/>
          <dgm:resizeHandles val="exact"/>
        </dgm:presLayoutVars>
      </dgm:prSet>
      <dgm:spPr/>
      <dgm:t>
        <a:bodyPr/>
        <a:lstStyle/>
        <a:p>
          <a:endParaRPr lang="en-US"/>
        </a:p>
      </dgm:t>
    </dgm:pt>
    <dgm:pt modelId="{9D13EEBD-ADB9-4AF8-A1FE-86BCF1033CBA}" type="pres">
      <dgm:prSet presAssocID="{B11E14B8-AC84-43B8-9FFE-8AB5E6A2E0B9}" presName="linNode" presStyleCnt="0"/>
      <dgm:spPr/>
      <dgm:t>
        <a:bodyPr/>
        <a:lstStyle/>
        <a:p>
          <a:endParaRPr lang="en-US"/>
        </a:p>
      </dgm:t>
    </dgm:pt>
    <dgm:pt modelId="{4DDC3D5A-88CD-4F47-B80F-45665784F74D}" type="pres">
      <dgm:prSet presAssocID="{B11E14B8-AC84-43B8-9FFE-8AB5E6A2E0B9}" presName="parentText" presStyleLbl="node1" presStyleIdx="0" presStyleCnt="7">
        <dgm:presLayoutVars>
          <dgm:chMax val="1"/>
          <dgm:bulletEnabled val="1"/>
        </dgm:presLayoutVars>
      </dgm:prSet>
      <dgm:spPr/>
      <dgm:t>
        <a:bodyPr/>
        <a:lstStyle/>
        <a:p>
          <a:endParaRPr lang="en-US"/>
        </a:p>
      </dgm:t>
    </dgm:pt>
    <dgm:pt modelId="{732A80C9-E4DC-4209-B59E-E3776A534615}" type="pres">
      <dgm:prSet presAssocID="{B11E14B8-AC84-43B8-9FFE-8AB5E6A2E0B9}" presName="descendantText" presStyleLbl="alignAccFollowNode1" presStyleIdx="0" presStyleCnt="7">
        <dgm:presLayoutVars>
          <dgm:bulletEnabled val="1"/>
        </dgm:presLayoutVars>
      </dgm:prSet>
      <dgm:spPr/>
      <dgm:t>
        <a:bodyPr/>
        <a:lstStyle/>
        <a:p>
          <a:endParaRPr lang="en-US"/>
        </a:p>
      </dgm:t>
    </dgm:pt>
    <dgm:pt modelId="{D22E6563-29F1-4047-8C31-4003C45EEB71}" type="pres">
      <dgm:prSet presAssocID="{FABE2A03-C0B8-4EC6-8598-64C90B79356F}" presName="sp" presStyleCnt="0"/>
      <dgm:spPr/>
      <dgm:t>
        <a:bodyPr/>
        <a:lstStyle/>
        <a:p>
          <a:endParaRPr lang="en-US"/>
        </a:p>
      </dgm:t>
    </dgm:pt>
    <dgm:pt modelId="{69B7EE66-29AE-4D7A-8B93-EC2583816364}" type="pres">
      <dgm:prSet presAssocID="{878EC512-B2A3-40B5-8CFC-7CFA75668CEF}" presName="linNode" presStyleCnt="0"/>
      <dgm:spPr/>
      <dgm:t>
        <a:bodyPr/>
        <a:lstStyle/>
        <a:p>
          <a:endParaRPr lang="en-US"/>
        </a:p>
      </dgm:t>
    </dgm:pt>
    <dgm:pt modelId="{B2F5DD24-B12E-4B5D-A84A-45F9256AFFB8}" type="pres">
      <dgm:prSet presAssocID="{878EC512-B2A3-40B5-8CFC-7CFA75668CEF}" presName="parentText" presStyleLbl="node1" presStyleIdx="1" presStyleCnt="7">
        <dgm:presLayoutVars>
          <dgm:chMax val="1"/>
          <dgm:bulletEnabled val="1"/>
        </dgm:presLayoutVars>
      </dgm:prSet>
      <dgm:spPr/>
      <dgm:t>
        <a:bodyPr/>
        <a:lstStyle/>
        <a:p>
          <a:endParaRPr lang="en-US"/>
        </a:p>
      </dgm:t>
    </dgm:pt>
    <dgm:pt modelId="{4F76F6C9-33E4-41AC-BC08-5629980E5FC6}" type="pres">
      <dgm:prSet presAssocID="{878EC512-B2A3-40B5-8CFC-7CFA75668CEF}" presName="descendantText" presStyleLbl="alignAccFollowNode1" presStyleIdx="1" presStyleCnt="7">
        <dgm:presLayoutVars>
          <dgm:bulletEnabled val="1"/>
        </dgm:presLayoutVars>
      </dgm:prSet>
      <dgm:spPr/>
      <dgm:t>
        <a:bodyPr/>
        <a:lstStyle/>
        <a:p>
          <a:endParaRPr lang="en-US"/>
        </a:p>
      </dgm:t>
    </dgm:pt>
    <dgm:pt modelId="{D3B6878B-66C3-411B-9282-769B77E0D3A4}" type="pres">
      <dgm:prSet presAssocID="{F14EF9DA-CC8E-4D2A-8E20-2592C63AD858}" presName="sp" presStyleCnt="0"/>
      <dgm:spPr/>
      <dgm:t>
        <a:bodyPr/>
        <a:lstStyle/>
        <a:p>
          <a:endParaRPr lang="en-US"/>
        </a:p>
      </dgm:t>
    </dgm:pt>
    <dgm:pt modelId="{A4725642-6540-4CD2-A72E-A4CC32A92877}" type="pres">
      <dgm:prSet presAssocID="{FAD8B74C-B16B-4D44-937A-9697EAF5926D}" presName="linNode" presStyleCnt="0"/>
      <dgm:spPr/>
      <dgm:t>
        <a:bodyPr/>
        <a:lstStyle/>
        <a:p>
          <a:endParaRPr lang="en-US"/>
        </a:p>
      </dgm:t>
    </dgm:pt>
    <dgm:pt modelId="{63128DFD-8B98-49C0-950D-EEC46220A3BF}" type="pres">
      <dgm:prSet presAssocID="{FAD8B74C-B16B-4D44-937A-9697EAF5926D}" presName="parentText" presStyleLbl="node1" presStyleIdx="2" presStyleCnt="7" custScaleY="153741">
        <dgm:presLayoutVars>
          <dgm:chMax val="1"/>
          <dgm:bulletEnabled val="1"/>
        </dgm:presLayoutVars>
      </dgm:prSet>
      <dgm:spPr/>
      <dgm:t>
        <a:bodyPr/>
        <a:lstStyle/>
        <a:p>
          <a:endParaRPr lang="en-US"/>
        </a:p>
      </dgm:t>
    </dgm:pt>
    <dgm:pt modelId="{77408A1E-EF96-415D-B0FC-7D3AE1405DEF}" type="pres">
      <dgm:prSet presAssocID="{FAD8B74C-B16B-4D44-937A-9697EAF5926D}" presName="descendantText" presStyleLbl="alignAccFollowNode1" presStyleIdx="2" presStyleCnt="7" custScaleY="193142">
        <dgm:presLayoutVars>
          <dgm:bulletEnabled val="1"/>
        </dgm:presLayoutVars>
      </dgm:prSet>
      <dgm:spPr/>
      <dgm:t>
        <a:bodyPr/>
        <a:lstStyle/>
        <a:p>
          <a:endParaRPr lang="en-US"/>
        </a:p>
      </dgm:t>
    </dgm:pt>
    <dgm:pt modelId="{AADB3655-523A-46A7-8BCC-F9EB3ED396D9}" type="pres">
      <dgm:prSet presAssocID="{7F321D35-C5B6-4A37-9D99-378C813C9203}" presName="sp" presStyleCnt="0"/>
      <dgm:spPr/>
      <dgm:t>
        <a:bodyPr/>
        <a:lstStyle/>
        <a:p>
          <a:endParaRPr lang="en-US"/>
        </a:p>
      </dgm:t>
    </dgm:pt>
    <dgm:pt modelId="{4A34D12A-7801-408F-856D-4050E3BB4055}" type="pres">
      <dgm:prSet presAssocID="{26AB9F8A-C45B-4195-801B-C80436D94025}" presName="linNode" presStyleCnt="0"/>
      <dgm:spPr/>
      <dgm:t>
        <a:bodyPr/>
        <a:lstStyle/>
        <a:p>
          <a:endParaRPr lang="en-US"/>
        </a:p>
      </dgm:t>
    </dgm:pt>
    <dgm:pt modelId="{85973676-02CB-40A4-864C-01EF05B59D04}" type="pres">
      <dgm:prSet presAssocID="{26AB9F8A-C45B-4195-801B-C80436D94025}" presName="parentText" presStyleLbl="node1" presStyleIdx="3" presStyleCnt="7">
        <dgm:presLayoutVars>
          <dgm:chMax val="1"/>
          <dgm:bulletEnabled val="1"/>
        </dgm:presLayoutVars>
      </dgm:prSet>
      <dgm:spPr/>
      <dgm:t>
        <a:bodyPr/>
        <a:lstStyle/>
        <a:p>
          <a:endParaRPr lang="en-US"/>
        </a:p>
      </dgm:t>
    </dgm:pt>
    <dgm:pt modelId="{5555D6DB-E4B2-49E2-9D50-543A897254E1}" type="pres">
      <dgm:prSet presAssocID="{26AB9F8A-C45B-4195-801B-C80436D94025}" presName="descendantText" presStyleLbl="alignAccFollowNode1" presStyleIdx="3" presStyleCnt="7">
        <dgm:presLayoutVars>
          <dgm:bulletEnabled val="1"/>
        </dgm:presLayoutVars>
      </dgm:prSet>
      <dgm:spPr/>
      <dgm:t>
        <a:bodyPr/>
        <a:lstStyle/>
        <a:p>
          <a:endParaRPr lang="en-US"/>
        </a:p>
      </dgm:t>
    </dgm:pt>
    <dgm:pt modelId="{B50BDF06-5D55-4C9B-841A-A8A14A1391C8}" type="pres">
      <dgm:prSet presAssocID="{D3BEEC7F-9F62-4AED-B6F1-9CE2DB2519CB}" presName="sp" presStyleCnt="0"/>
      <dgm:spPr/>
      <dgm:t>
        <a:bodyPr/>
        <a:lstStyle/>
        <a:p>
          <a:endParaRPr lang="en-US"/>
        </a:p>
      </dgm:t>
    </dgm:pt>
    <dgm:pt modelId="{D5955422-FB44-41CB-9806-5B42146A9129}" type="pres">
      <dgm:prSet presAssocID="{A7681F26-8ACC-4B0D-A0F9-D7A24BECF5A8}" presName="linNode" presStyleCnt="0"/>
      <dgm:spPr/>
      <dgm:t>
        <a:bodyPr/>
        <a:lstStyle/>
        <a:p>
          <a:endParaRPr lang="en-US"/>
        </a:p>
      </dgm:t>
    </dgm:pt>
    <dgm:pt modelId="{8F360256-2F91-4898-929F-E85295CD5F69}" type="pres">
      <dgm:prSet presAssocID="{A7681F26-8ACC-4B0D-A0F9-D7A24BECF5A8}" presName="parentText" presStyleLbl="node1" presStyleIdx="4" presStyleCnt="7">
        <dgm:presLayoutVars>
          <dgm:chMax val="1"/>
          <dgm:bulletEnabled val="1"/>
        </dgm:presLayoutVars>
      </dgm:prSet>
      <dgm:spPr/>
      <dgm:t>
        <a:bodyPr/>
        <a:lstStyle/>
        <a:p>
          <a:endParaRPr lang="en-US"/>
        </a:p>
      </dgm:t>
    </dgm:pt>
    <dgm:pt modelId="{EC45300A-71B2-436C-87A4-4DE48CFA93B3}" type="pres">
      <dgm:prSet presAssocID="{A7681F26-8ACC-4B0D-A0F9-D7A24BECF5A8}" presName="descendantText" presStyleLbl="alignAccFollowNode1" presStyleIdx="4" presStyleCnt="7">
        <dgm:presLayoutVars>
          <dgm:bulletEnabled val="1"/>
        </dgm:presLayoutVars>
      </dgm:prSet>
      <dgm:spPr/>
      <dgm:t>
        <a:bodyPr/>
        <a:lstStyle/>
        <a:p>
          <a:endParaRPr lang="en-US"/>
        </a:p>
      </dgm:t>
    </dgm:pt>
    <dgm:pt modelId="{8B0BB6CD-FE83-4776-85A9-FF728618243F}" type="pres">
      <dgm:prSet presAssocID="{546F5973-C945-413A-A198-CB8CCB2AF9DA}" presName="sp" presStyleCnt="0"/>
      <dgm:spPr/>
      <dgm:t>
        <a:bodyPr/>
        <a:lstStyle/>
        <a:p>
          <a:endParaRPr lang="en-US"/>
        </a:p>
      </dgm:t>
    </dgm:pt>
    <dgm:pt modelId="{78D8C4A0-EF37-4454-9915-35E829C22E63}" type="pres">
      <dgm:prSet presAssocID="{74AEBAD9-1FA6-45DC-8CB4-CB971555C088}" presName="linNode" presStyleCnt="0"/>
      <dgm:spPr/>
      <dgm:t>
        <a:bodyPr/>
        <a:lstStyle/>
        <a:p>
          <a:endParaRPr lang="en-US"/>
        </a:p>
      </dgm:t>
    </dgm:pt>
    <dgm:pt modelId="{5EA62AA1-2311-42F0-A5AD-7C1C8CFF50A1}" type="pres">
      <dgm:prSet presAssocID="{74AEBAD9-1FA6-45DC-8CB4-CB971555C088}" presName="parentText" presStyleLbl="node1" presStyleIdx="5" presStyleCnt="7">
        <dgm:presLayoutVars>
          <dgm:chMax val="1"/>
          <dgm:bulletEnabled val="1"/>
        </dgm:presLayoutVars>
      </dgm:prSet>
      <dgm:spPr/>
      <dgm:t>
        <a:bodyPr/>
        <a:lstStyle/>
        <a:p>
          <a:endParaRPr lang="en-US"/>
        </a:p>
      </dgm:t>
    </dgm:pt>
    <dgm:pt modelId="{5ED45ABF-6095-4ECA-B2C7-0A7EEB8922B3}" type="pres">
      <dgm:prSet presAssocID="{74AEBAD9-1FA6-45DC-8CB4-CB971555C088}" presName="descendantText" presStyleLbl="alignAccFollowNode1" presStyleIdx="5" presStyleCnt="7">
        <dgm:presLayoutVars>
          <dgm:bulletEnabled val="1"/>
        </dgm:presLayoutVars>
      </dgm:prSet>
      <dgm:spPr/>
      <dgm:t>
        <a:bodyPr/>
        <a:lstStyle/>
        <a:p>
          <a:endParaRPr lang="en-US"/>
        </a:p>
      </dgm:t>
    </dgm:pt>
    <dgm:pt modelId="{FA47AB04-4E47-428D-B5BC-F109600C0568}" type="pres">
      <dgm:prSet presAssocID="{FB19A50A-1A63-40F6-B152-58CE8ACAC138}" presName="sp" presStyleCnt="0"/>
      <dgm:spPr/>
      <dgm:t>
        <a:bodyPr/>
        <a:lstStyle/>
        <a:p>
          <a:endParaRPr lang="en-US"/>
        </a:p>
      </dgm:t>
    </dgm:pt>
    <dgm:pt modelId="{9468F473-BB6B-4E67-B566-2975784BF028}" type="pres">
      <dgm:prSet presAssocID="{E2D19847-25E2-40C0-87A6-3EA286575A70}" presName="linNode" presStyleCnt="0"/>
      <dgm:spPr/>
      <dgm:t>
        <a:bodyPr/>
        <a:lstStyle/>
        <a:p>
          <a:endParaRPr lang="en-US"/>
        </a:p>
      </dgm:t>
    </dgm:pt>
    <dgm:pt modelId="{84F3DFD5-75CD-437D-B70C-BF0A2F4E5DEE}" type="pres">
      <dgm:prSet presAssocID="{E2D19847-25E2-40C0-87A6-3EA286575A70}" presName="parentText" presStyleLbl="node1" presStyleIdx="6" presStyleCnt="7">
        <dgm:presLayoutVars>
          <dgm:chMax val="1"/>
          <dgm:bulletEnabled val="1"/>
        </dgm:presLayoutVars>
      </dgm:prSet>
      <dgm:spPr/>
      <dgm:t>
        <a:bodyPr/>
        <a:lstStyle/>
        <a:p>
          <a:endParaRPr lang="en-US"/>
        </a:p>
      </dgm:t>
    </dgm:pt>
    <dgm:pt modelId="{E045DC3C-9455-410D-BA03-10A8C8D8468C}" type="pres">
      <dgm:prSet presAssocID="{E2D19847-25E2-40C0-87A6-3EA286575A70}" presName="descendantText" presStyleLbl="alignAccFollowNode1" presStyleIdx="6" presStyleCnt="7">
        <dgm:presLayoutVars>
          <dgm:bulletEnabled val="1"/>
        </dgm:presLayoutVars>
      </dgm:prSet>
      <dgm:spPr/>
      <dgm:t>
        <a:bodyPr/>
        <a:lstStyle/>
        <a:p>
          <a:endParaRPr lang="en-US"/>
        </a:p>
      </dgm:t>
    </dgm:pt>
  </dgm:ptLst>
  <dgm:cxnLst>
    <dgm:cxn modelId="{83314129-DE67-48DF-9621-AB034D16F181}" type="presOf" srcId="{2A224213-345E-4463-9661-853ADD6DC79E}" destId="{E045DC3C-9455-410D-BA03-10A8C8D8468C}" srcOrd="0" destOrd="0" presId="urn:microsoft.com/office/officeart/2005/8/layout/vList5"/>
    <dgm:cxn modelId="{840568D7-7A92-4F3C-804C-D28369B6A350}" type="presOf" srcId="{E2D19847-25E2-40C0-87A6-3EA286575A70}" destId="{84F3DFD5-75CD-437D-B70C-BF0A2F4E5DEE}" srcOrd="0" destOrd="0" presId="urn:microsoft.com/office/officeart/2005/8/layout/vList5"/>
    <dgm:cxn modelId="{F51C0038-1861-4646-B8A1-0205BB26C4DC}" type="presOf" srcId="{B11E14B8-AC84-43B8-9FFE-8AB5E6A2E0B9}" destId="{4DDC3D5A-88CD-4F47-B80F-45665784F74D}" srcOrd="0" destOrd="0" presId="urn:microsoft.com/office/officeart/2005/8/layout/vList5"/>
    <dgm:cxn modelId="{94B8FBF5-DBFF-44C7-9A9C-C7F037C9DBB9}" type="presOf" srcId="{74AEBAD9-1FA6-45DC-8CB4-CB971555C088}" destId="{5EA62AA1-2311-42F0-A5AD-7C1C8CFF50A1}" srcOrd="0" destOrd="0" presId="urn:microsoft.com/office/officeart/2005/8/layout/vList5"/>
    <dgm:cxn modelId="{A78DFF17-B4B8-4969-8E1C-8D298CB42FB8}" srcId="{007140D8-B4AC-47F5-AC09-3ECFD51D46C2}" destId="{FAD8B74C-B16B-4D44-937A-9697EAF5926D}" srcOrd="2" destOrd="0" parTransId="{CDB6A1DE-2A7A-415A-B356-196B0F84EA2A}" sibTransId="{7F321D35-C5B6-4A37-9D99-378C813C9203}"/>
    <dgm:cxn modelId="{4B356379-A974-474D-9B2B-6C9C45F15AEA}" srcId="{E2D19847-25E2-40C0-87A6-3EA286575A70}" destId="{2A224213-345E-4463-9661-853ADD6DC79E}" srcOrd="0" destOrd="0" parTransId="{AB0848B2-4F7E-446F-9394-313FB329D085}" sibTransId="{6EC1D516-EBDD-4F90-B6C8-BC968ADF84D4}"/>
    <dgm:cxn modelId="{20EDE01A-7A52-4DED-B16A-9847FB34DFE2}" type="presOf" srcId="{186FB912-1356-43EF-9B8E-EFEE0FE1DBFE}" destId="{77408A1E-EF96-415D-B0FC-7D3AE1405DEF}" srcOrd="0" destOrd="1" presId="urn:microsoft.com/office/officeart/2005/8/layout/vList5"/>
    <dgm:cxn modelId="{D1AF4984-B22A-4FB3-9F47-9EB1F98154AF}" srcId="{007140D8-B4AC-47F5-AC09-3ECFD51D46C2}" destId="{878EC512-B2A3-40B5-8CFC-7CFA75668CEF}" srcOrd="1" destOrd="0" parTransId="{320B9145-54AF-4877-BEF1-938265165762}" sibTransId="{F14EF9DA-CC8E-4D2A-8E20-2592C63AD858}"/>
    <dgm:cxn modelId="{C6279952-94E1-482D-87C3-F74192BD8EFD}" srcId="{007140D8-B4AC-47F5-AC09-3ECFD51D46C2}" destId="{B11E14B8-AC84-43B8-9FFE-8AB5E6A2E0B9}" srcOrd="0" destOrd="0" parTransId="{9B24C339-08AE-4B48-A9DE-2A137FDA75F4}" sibTransId="{FABE2A03-C0B8-4EC6-8598-64C90B79356F}"/>
    <dgm:cxn modelId="{1F2ECC63-1CA7-4D30-8240-DDC3473D1C7D}" srcId="{A7681F26-8ACC-4B0D-A0F9-D7A24BECF5A8}" destId="{0A8D39BD-2C8E-49F6-BF97-558B193F2A22}" srcOrd="0" destOrd="0" parTransId="{3F4CCF0C-CE32-4CB1-8420-E604A3474AB1}" sibTransId="{A70C9EAE-8933-4BA6-B2A0-E001F93974D4}"/>
    <dgm:cxn modelId="{C4C6CA1C-F075-430C-BDD3-72965D6DDAF5}" type="presOf" srcId="{C8FEAA9D-B701-40EE-8FA0-CFA45A051F1F}" destId="{732A80C9-E4DC-4209-B59E-E3776A534615}" srcOrd="0" destOrd="0" presId="urn:microsoft.com/office/officeart/2005/8/layout/vList5"/>
    <dgm:cxn modelId="{781C268E-59B3-4AD3-A052-CEED603E6FEC}" type="presOf" srcId="{878EC512-B2A3-40B5-8CFC-7CFA75668CEF}" destId="{B2F5DD24-B12E-4B5D-A84A-45F9256AFFB8}" srcOrd="0" destOrd="0" presId="urn:microsoft.com/office/officeart/2005/8/layout/vList5"/>
    <dgm:cxn modelId="{2D36A3B0-2122-4B64-81EC-577EC6DC8C34}" type="presOf" srcId="{18C4C7A0-6506-4B5D-A8AF-F8EAA8106750}" destId="{5555D6DB-E4B2-49E2-9D50-543A897254E1}" srcOrd="0" destOrd="0" presId="urn:microsoft.com/office/officeart/2005/8/layout/vList5"/>
    <dgm:cxn modelId="{19A31F9A-43B5-4E69-81F5-2E9007DBC4D3}" type="presOf" srcId="{63557B85-30CB-42ED-BA5E-A687C1D7CDCF}" destId="{4F76F6C9-33E4-41AC-BC08-5629980E5FC6}" srcOrd="0" destOrd="0" presId="urn:microsoft.com/office/officeart/2005/8/layout/vList5"/>
    <dgm:cxn modelId="{4172A186-EC76-4116-B32D-6E553DBF605F}" type="presOf" srcId="{26AB9F8A-C45B-4195-801B-C80436D94025}" destId="{85973676-02CB-40A4-864C-01EF05B59D04}" srcOrd="0" destOrd="0" presId="urn:microsoft.com/office/officeart/2005/8/layout/vList5"/>
    <dgm:cxn modelId="{D0198EAB-4A1C-40C3-A9DC-0C762B3E2484}" type="presOf" srcId="{007140D8-B4AC-47F5-AC09-3ECFD51D46C2}" destId="{E095527F-F10D-464C-AFFA-508D83E8DA1E}" srcOrd="0" destOrd="0" presId="urn:microsoft.com/office/officeart/2005/8/layout/vList5"/>
    <dgm:cxn modelId="{D82C1181-B98E-4114-A491-51C37811A789}" srcId="{26AB9F8A-C45B-4195-801B-C80436D94025}" destId="{18C4C7A0-6506-4B5D-A8AF-F8EAA8106750}" srcOrd="0" destOrd="0" parTransId="{289BCCB7-3D1C-408A-A5EF-D4AD125BA470}" sibTransId="{29EF96AA-B0AB-4B9F-9A61-242C50BB8647}"/>
    <dgm:cxn modelId="{C325D3C8-94B5-4825-B832-D473C7F536DB}" srcId="{007140D8-B4AC-47F5-AC09-3ECFD51D46C2}" destId="{26AB9F8A-C45B-4195-801B-C80436D94025}" srcOrd="3" destOrd="0" parTransId="{5341A781-5C57-4AE7-BB30-FA408E3ED838}" sibTransId="{D3BEEC7F-9F62-4AED-B6F1-9CE2DB2519CB}"/>
    <dgm:cxn modelId="{632EACB0-85DF-457A-96F0-E82C27F6B414}" srcId="{74AEBAD9-1FA6-45DC-8CB4-CB971555C088}" destId="{D74B6BD7-C2C9-4BE6-9F15-7B5A54C6426C}" srcOrd="0" destOrd="0" parTransId="{15F32ABF-78DA-48DB-B02B-CDC417AAB4F1}" sibTransId="{CFE6D250-43AC-49FF-97C4-1976027F0536}"/>
    <dgm:cxn modelId="{EE2717F9-3187-4699-830A-CD95D05E7B25}" type="presOf" srcId="{D74B6BD7-C2C9-4BE6-9F15-7B5A54C6426C}" destId="{5ED45ABF-6095-4ECA-B2C7-0A7EEB8922B3}" srcOrd="0" destOrd="0" presId="urn:microsoft.com/office/officeart/2005/8/layout/vList5"/>
    <dgm:cxn modelId="{21D8643E-84C6-4AD4-9DC1-3D4241E2C087}" type="presOf" srcId="{A7681F26-8ACC-4B0D-A0F9-D7A24BECF5A8}" destId="{8F360256-2F91-4898-929F-E85295CD5F69}" srcOrd="0" destOrd="0" presId="urn:microsoft.com/office/officeart/2005/8/layout/vList5"/>
    <dgm:cxn modelId="{76F01A16-9725-4BE7-A078-8636B85C99CA}" srcId="{007140D8-B4AC-47F5-AC09-3ECFD51D46C2}" destId="{A7681F26-8ACC-4B0D-A0F9-D7A24BECF5A8}" srcOrd="4" destOrd="0" parTransId="{5ABE8106-D867-487E-A782-7B4C0B4A3D1A}" sibTransId="{546F5973-C945-413A-A198-CB8CCB2AF9DA}"/>
    <dgm:cxn modelId="{C5EB10DA-88C7-4168-B0E5-B87BE35BF0D2}" srcId="{FAD8B74C-B16B-4D44-937A-9697EAF5926D}" destId="{186FB912-1356-43EF-9B8E-EFEE0FE1DBFE}" srcOrd="1" destOrd="0" parTransId="{06503D68-BE05-41E4-BFCD-95AD4C95F2B8}" sibTransId="{6B41A02C-590F-4A60-ACB5-E9B0BFF367A5}"/>
    <dgm:cxn modelId="{B4EEA5BB-7B4E-409C-AB0B-B8B407287A7A}" srcId="{007140D8-B4AC-47F5-AC09-3ECFD51D46C2}" destId="{74AEBAD9-1FA6-45DC-8CB4-CB971555C088}" srcOrd="5" destOrd="0" parTransId="{F6BA7C10-DA6B-4519-8000-D453F5BA00D3}" sibTransId="{FB19A50A-1A63-40F6-B152-58CE8ACAC138}"/>
    <dgm:cxn modelId="{68F15E2D-D408-4E3F-870D-27D40B2C506B}" srcId="{878EC512-B2A3-40B5-8CFC-7CFA75668CEF}" destId="{63557B85-30CB-42ED-BA5E-A687C1D7CDCF}" srcOrd="0" destOrd="0" parTransId="{FEDF5D15-0B98-48BB-8D58-0BBDADFCABBB}" sibTransId="{8D89165A-8F55-4180-9C1D-CAE1ABA9FB31}"/>
    <dgm:cxn modelId="{4AAF4789-5F48-48DB-8BC5-F837539AC23E}" srcId="{FAD8B74C-B16B-4D44-937A-9697EAF5926D}" destId="{4A8E9E8B-1BA9-46A5-9643-3B0B1A04AD3D}" srcOrd="0" destOrd="0" parTransId="{62392CDE-8CA8-43EA-BB94-CE9A4A9DCB85}" sibTransId="{9434E9FD-A2B2-45FA-A9DB-ABDC8ED1661C}"/>
    <dgm:cxn modelId="{8D030D76-3264-4A7B-9218-B0A1648C00AE}" type="presOf" srcId="{FAD8B74C-B16B-4D44-937A-9697EAF5926D}" destId="{63128DFD-8B98-49C0-950D-EEC46220A3BF}" srcOrd="0" destOrd="0" presId="urn:microsoft.com/office/officeart/2005/8/layout/vList5"/>
    <dgm:cxn modelId="{B2F6C418-F1F3-4757-8201-339613CC8DCC}" srcId="{007140D8-B4AC-47F5-AC09-3ECFD51D46C2}" destId="{E2D19847-25E2-40C0-87A6-3EA286575A70}" srcOrd="6" destOrd="0" parTransId="{F9D8BBD4-2876-42CD-8E10-44DAE30B2534}" sibTransId="{ECF41E3B-71B7-4CEA-837F-2447250D4146}"/>
    <dgm:cxn modelId="{E2CF0876-0341-440D-8FD1-A7A4FC7E375D}" type="presOf" srcId="{4A8E9E8B-1BA9-46A5-9643-3B0B1A04AD3D}" destId="{77408A1E-EF96-415D-B0FC-7D3AE1405DEF}" srcOrd="0" destOrd="0" presId="urn:microsoft.com/office/officeart/2005/8/layout/vList5"/>
    <dgm:cxn modelId="{B29C3919-AFC9-474B-AE99-24A55744A719}" type="presOf" srcId="{0A8D39BD-2C8E-49F6-BF97-558B193F2A22}" destId="{EC45300A-71B2-436C-87A4-4DE48CFA93B3}" srcOrd="0" destOrd="0" presId="urn:microsoft.com/office/officeart/2005/8/layout/vList5"/>
    <dgm:cxn modelId="{E23393DB-4FE9-44F8-AF43-BA0246B8DCDD}" srcId="{B11E14B8-AC84-43B8-9FFE-8AB5E6A2E0B9}" destId="{C8FEAA9D-B701-40EE-8FA0-CFA45A051F1F}" srcOrd="0" destOrd="0" parTransId="{71C65C58-C61D-4C90-AA2F-63965E7B8257}" sibTransId="{91CF227E-B548-4E6E-9C0B-7606B264AC11}"/>
    <dgm:cxn modelId="{6BC83090-D7FC-4DCD-B4A6-CC9508E00768}" type="presParOf" srcId="{E095527F-F10D-464C-AFFA-508D83E8DA1E}" destId="{9D13EEBD-ADB9-4AF8-A1FE-86BCF1033CBA}" srcOrd="0" destOrd="0" presId="urn:microsoft.com/office/officeart/2005/8/layout/vList5"/>
    <dgm:cxn modelId="{27C90DAF-DB65-435B-852B-92DC993D9378}" type="presParOf" srcId="{9D13EEBD-ADB9-4AF8-A1FE-86BCF1033CBA}" destId="{4DDC3D5A-88CD-4F47-B80F-45665784F74D}" srcOrd="0" destOrd="0" presId="urn:microsoft.com/office/officeart/2005/8/layout/vList5"/>
    <dgm:cxn modelId="{208D1168-433B-4611-952D-0BAE694844C5}" type="presParOf" srcId="{9D13EEBD-ADB9-4AF8-A1FE-86BCF1033CBA}" destId="{732A80C9-E4DC-4209-B59E-E3776A534615}" srcOrd="1" destOrd="0" presId="urn:microsoft.com/office/officeart/2005/8/layout/vList5"/>
    <dgm:cxn modelId="{FDAC2141-FF37-4578-A349-46F059B1BB14}" type="presParOf" srcId="{E095527F-F10D-464C-AFFA-508D83E8DA1E}" destId="{D22E6563-29F1-4047-8C31-4003C45EEB71}" srcOrd="1" destOrd="0" presId="urn:microsoft.com/office/officeart/2005/8/layout/vList5"/>
    <dgm:cxn modelId="{FF347295-2A6B-4EA2-B4D9-0F35AF86BAD5}" type="presParOf" srcId="{E095527F-F10D-464C-AFFA-508D83E8DA1E}" destId="{69B7EE66-29AE-4D7A-8B93-EC2583816364}" srcOrd="2" destOrd="0" presId="urn:microsoft.com/office/officeart/2005/8/layout/vList5"/>
    <dgm:cxn modelId="{223A85EA-12A8-4384-A106-EEE44D315EFF}" type="presParOf" srcId="{69B7EE66-29AE-4D7A-8B93-EC2583816364}" destId="{B2F5DD24-B12E-4B5D-A84A-45F9256AFFB8}" srcOrd="0" destOrd="0" presId="urn:microsoft.com/office/officeart/2005/8/layout/vList5"/>
    <dgm:cxn modelId="{92D338DF-D741-442C-B556-A63FF60C4BA9}" type="presParOf" srcId="{69B7EE66-29AE-4D7A-8B93-EC2583816364}" destId="{4F76F6C9-33E4-41AC-BC08-5629980E5FC6}" srcOrd="1" destOrd="0" presId="urn:microsoft.com/office/officeart/2005/8/layout/vList5"/>
    <dgm:cxn modelId="{311705F6-E7F5-4835-800B-57E5ED01C10F}" type="presParOf" srcId="{E095527F-F10D-464C-AFFA-508D83E8DA1E}" destId="{D3B6878B-66C3-411B-9282-769B77E0D3A4}" srcOrd="3" destOrd="0" presId="urn:microsoft.com/office/officeart/2005/8/layout/vList5"/>
    <dgm:cxn modelId="{492DEED5-A843-4309-898E-22ED66ED8902}" type="presParOf" srcId="{E095527F-F10D-464C-AFFA-508D83E8DA1E}" destId="{A4725642-6540-4CD2-A72E-A4CC32A92877}" srcOrd="4" destOrd="0" presId="urn:microsoft.com/office/officeart/2005/8/layout/vList5"/>
    <dgm:cxn modelId="{D530E622-368D-4AD6-82AD-6038D99EF16D}" type="presParOf" srcId="{A4725642-6540-4CD2-A72E-A4CC32A92877}" destId="{63128DFD-8B98-49C0-950D-EEC46220A3BF}" srcOrd="0" destOrd="0" presId="urn:microsoft.com/office/officeart/2005/8/layout/vList5"/>
    <dgm:cxn modelId="{1C02F75E-82D6-4ADF-8694-62E77A3D6F93}" type="presParOf" srcId="{A4725642-6540-4CD2-A72E-A4CC32A92877}" destId="{77408A1E-EF96-415D-B0FC-7D3AE1405DEF}" srcOrd="1" destOrd="0" presId="urn:microsoft.com/office/officeart/2005/8/layout/vList5"/>
    <dgm:cxn modelId="{24248F2E-C739-4573-B2B0-79CEE96D7581}" type="presParOf" srcId="{E095527F-F10D-464C-AFFA-508D83E8DA1E}" destId="{AADB3655-523A-46A7-8BCC-F9EB3ED396D9}" srcOrd="5" destOrd="0" presId="urn:microsoft.com/office/officeart/2005/8/layout/vList5"/>
    <dgm:cxn modelId="{DC777587-BEEC-468D-9DD6-780B65DBE3BD}" type="presParOf" srcId="{E095527F-F10D-464C-AFFA-508D83E8DA1E}" destId="{4A34D12A-7801-408F-856D-4050E3BB4055}" srcOrd="6" destOrd="0" presId="urn:microsoft.com/office/officeart/2005/8/layout/vList5"/>
    <dgm:cxn modelId="{A28D59C6-86F8-4996-A474-E098DE27383C}" type="presParOf" srcId="{4A34D12A-7801-408F-856D-4050E3BB4055}" destId="{85973676-02CB-40A4-864C-01EF05B59D04}" srcOrd="0" destOrd="0" presId="urn:microsoft.com/office/officeart/2005/8/layout/vList5"/>
    <dgm:cxn modelId="{2EFF817B-9BA6-4FAB-A310-4ED0FC0C8533}" type="presParOf" srcId="{4A34D12A-7801-408F-856D-4050E3BB4055}" destId="{5555D6DB-E4B2-49E2-9D50-543A897254E1}" srcOrd="1" destOrd="0" presId="urn:microsoft.com/office/officeart/2005/8/layout/vList5"/>
    <dgm:cxn modelId="{0DB319B1-1D51-425F-94D3-AEB0052FF783}" type="presParOf" srcId="{E095527F-F10D-464C-AFFA-508D83E8DA1E}" destId="{B50BDF06-5D55-4C9B-841A-A8A14A1391C8}" srcOrd="7" destOrd="0" presId="urn:microsoft.com/office/officeart/2005/8/layout/vList5"/>
    <dgm:cxn modelId="{FCFB2D6D-FBC0-4E07-87E4-C893BD42F92D}" type="presParOf" srcId="{E095527F-F10D-464C-AFFA-508D83E8DA1E}" destId="{D5955422-FB44-41CB-9806-5B42146A9129}" srcOrd="8" destOrd="0" presId="urn:microsoft.com/office/officeart/2005/8/layout/vList5"/>
    <dgm:cxn modelId="{BA101BB7-638D-4396-8400-E72B6BDE2D4F}" type="presParOf" srcId="{D5955422-FB44-41CB-9806-5B42146A9129}" destId="{8F360256-2F91-4898-929F-E85295CD5F69}" srcOrd="0" destOrd="0" presId="urn:microsoft.com/office/officeart/2005/8/layout/vList5"/>
    <dgm:cxn modelId="{9B5A559F-A146-4A37-8F16-746E74D7F121}" type="presParOf" srcId="{D5955422-FB44-41CB-9806-5B42146A9129}" destId="{EC45300A-71B2-436C-87A4-4DE48CFA93B3}" srcOrd="1" destOrd="0" presId="urn:microsoft.com/office/officeart/2005/8/layout/vList5"/>
    <dgm:cxn modelId="{3E6E00B3-A917-4563-A962-C965273478FC}" type="presParOf" srcId="{E095527F-F10D-464C-AFFA-508D83E8DA1E}" destId="{8B0BB6CD-FE83-4776-85A9-FF728618243F}" srcOrd="9" destOrd="0" presId="urn:microsoft.com/office/officeart/2005/8/layout/vList5"/>
    <dgm:cxn modelId="{81DD46A0-31C7-48C7-A644-ADDC995F2767}" type="presParOf" srcId="{E095527F-F10D-464C-AFFA-508D83E8DA1E}" destId="{78D8C4A0-EF37-4454-9915-35E829C22E63}" srcOrd="10" destOrd="0" presId="urn:microsoft.com/office/officeart/2005/8/layout/vList5"/>
    <dgm:cxn modelId="{43EAAB6B-13FF-4DD5-8C2A-3931D048DDF2}" type="presParOf" srcId="{78D8C4A0-EF37-4454-9915-35E829C22E63}" destId="{5EA62AA1-2311-42F0-A5AD-7C1C8CFF50A1}" srcOrd="0" destOrd="0" presId="urn:microsoft.com/office/officeart/2005/8/layout/vList5"/>
    <dgm:cxn modelId="{A75A8B26-9509-4B0C-9B52-A90544F215A3}" type="presParOf" srcId="{78D8C4A0-EF37-4454-9915-35E829C22E63}" destId="{5ED45ABF-6095-4ECA-B2C7-0A7EEB8922B3}" srcOrd="1" destOrd="0" presId="urn:microsoft.com/office/officeart/2005/8/layout/vList5"/>
    <dgm:cxn modelId="{4B5B2A5A-DCD5-4D49-A8A2-E8D418368262}" type="presParOf" srcId="{E095527F-F10D-464C-AFFA-508D83E8DA1E}" destId="{FA47AB04-4E47-428D-B5BC-F109600C0568}" srcOrd="11" destOrd="0" presId="urn:microsoft.com/office/officeart/2005/8/layout/vList5"/>
    <dgm:cxn modelId="{87515A5A-7820-4CF6-93E7-6486408A8E01}" type="presParOf" srcId="{E095527F-F10D-464C-AFFA-508D83E8DA1E}" destId="{9468F473-BB6B-4E67-B566-2975784BF028}" srcOrd="12" destOrd="0" presId="urn:microsoft.com/office/officeart/2005/8/layout/vList5"/>
    <dgm:cxn modelId="{D7AFDD0A-519C-450F-BE54-EA8952C6C539}" type="presParOf" srcId="{9468F473-BB6B-4E67-B566-2975784BF028}" destId="{84F3DFD5-75CD-437D-B70C-BF0A2F4E5DEE}" srcOrd="0" destOrd="0" presId="urn:microsoft.com/office/officeart/2005/8/layout/vList5"/>
    <dgm:cxn modelId="{857D0780-8F9A-45A5-88A0-14BE4621DB82}" type="presParOf" srcId="{9468F473-BB6B-4E67-B566-2975784BF028}" destId="{E045DC3C-9455-410D-BA03-10A8C8D8468C}" srcOrd="1" destOrd="0" presId="urn:microsoft.com/office/officeart/2005/8/layout/vList5"/>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1D4A962-3310-459E-9B1C-DC2A8AA98040}" type="doc">
      <dgm:prSet loTypeId="urn:microsoft.com/office/officeart/2005/8/layout/process4" loCatId="process" qsTypeId="urn:microsoft.com/office/officeart/2005/8/quickstyle/simple5" qsCatId="simple" csTypeId="urn:microsoft.com/office/officeart/2005/8/colors/accent0_1" csCatId="mainScheme" phldr="1"/>
      <dgm:spPr/>
      <dgm:t>
        <a:bodyPr/>
        <a:lstStyle/>
        <a:p>
          <a:endParaRPr lang="en-US"/>
        </a:p>
      </dgm:t>
    </dgm:pt>
    <dgm:pt modelId="{7F8612A2-0217-4C28-85A6-63AED5561BFF}">
      <dgm:prSet phldrT="[Text]" custT="1"/>
      <dgm:spPr>
        <a:xfrm>
          <a:off x="408212" y="1966614"/>
          <a:ext cx="1312022" cy="521748"/>
        </a:xfrm>
      </dgm:spPr>
      <dgm:t>
        <a:bodyPr/>
        <a:lstStyle/>
        <a:p>
          <a:pPr algn="ctr"/>
          <a:r>
            <a:rPr lang="ro-MD" sz="1000">
              <a:latin typeface="Calibri Light" panose="020F0302020204030204"/>
              <a:ea typeface="+mn-ea"/>
              <a:cs typeface="+mn-cs"/>
            </a:rPr>
            <a:t>IMSP</a:t>
          </a:r>
          <a:endParaRPr lang="en-US" sz="1000">
            <a:latin typeface="Calibri Light" panose="020F0302020204030204"/>
            <a:ea typeface="+mn-ea"/>
            <a:cs typeface="+mn-cs"/>
          </a:endParaRPr>
        </a:p>
      </dgm:t>
    </dgm:pt>
    <dgm:pt modelId="{EC70EE78-4D7C-40C6-8D87-FE8AF12AEBFA}" type="parTrans" cxnId="{D90B0FED-00EA-4049-A244-1CC67F613062}">
      <dgm:prSet/>
      <dgm:spPr/>
      <dgm:t>
        <a:bodyPr/>
        <a:lstStyle/>
        <a:p>
          <a:pPr algn="ctr"/>
          <a:endParaRPr lang="en-US">
            <a:latin typeface="+mj-lt"/>
          </a:endParaRPr>
        </a:p>
      </dgm:t>
    </dgm:pt>
    <dgm:pt modelId="{36608651-8738-47E0-9697-4C48DD378C6A}" type="sibTrans" cxnId="{D90B0FED-00EA-4049-A244-1CC67F613062}">
      <dgm:prSet/>
      <dgm:spPr>
        <a:xfrm>
          <a:off x="856379" y="1111629"/>
          <a:ext cx="1857130" cy="1857130"/>
        </a:xfrm>
      </dgm:spPr>
      <dgm:t>
        <a:bodyPr/>
        <a:lstStyle/>
        <a:p>
          <a:pPr algn="ctr"/>
          <a:endParaRPr lang="en-US">
            <a:latin typeface="+mj-lt"/>
          </a:endParaRPr>
        </a:p>
      </dgm:t>
    </dgm:pt>
    <dgm:pt modelId="{FACC9D71-A04C-4501-9356-EDD114D85278}">
      <dgm:prSet phldrT="[Text]" custT="1"/>
      <dgm:spPr>
        <a:xfrm>
          <a:off x="0" y="763750"/>
          <a:ext cx="1725916" cy="1414827"/>
        </a:xfrm>
      </dgm:spPr>
      <dgm:t>
        <a:bodyPr/>
        <a:lstStyle/>
        <a:p>
          <a:pPr algn="ctr"/>
          <a:r>
            <a:rPr lang="ro-MD" sz="1000">
              <a:latin typeface="Calibri Light" panose="020F0302020204030204"/>
              <a:ea typeface="+mn-ea"/>
              <a:cs typeface="+mn-cs"/>
            </a:rPr>
            <a:t>eliberează certificatul de concediu medical</a:t>
          </a:r>
          <a:endParaRPr lang="en-US" sz="1000">
            <a:latin typeface="Calibri Light" panose="020F0302020204030204"/>
            <a:ea typeface="+mn-ea"/>
            <a:cs typeface="+mn-cs"/>
          </a:endParaRPr>
        </a:p>
      </dgm:t>
    </dgm:pt>
    <dgm:pt modelId="{5959721C-8CFD-4B88-84FF-49D82FDBC342}" type="parTrans" cxnId="{11FAA97D-66B5-46B9-9043-60044A873C3A}">
      <dgm:prSet/>
      <dgm:spPr/>
      <dgm:t>
        <a:bodyPr/>
        <a:lstStyle/>
        <a:p>
          <a:pPr algn="ctr"/>
          <a:endParaRPr lang="en-US">
            <a:latin typeface="+mj-lt"/>
          </a:endParaRPr>
        </a:p>
      </dgm:t>
    </dgm:pt>
    <dgm:pt modelId="{1380F754-1A74-417E-B0C6-9B4DD6DFCC70}" type="sibTrans" cxnId="{11FAA97D-66B5-46B9-9043-60044A873C3A}">
      <dgm:prSet/>
      <dgm:spPr/>
      <dgm:t>
        <a:bodyPr/>
        <a:lstStyle/>
        <a:p>
          <a:pPr algn="ctr"/>
          <a:endParaRPr lang="en-US">
            <a:latin typeface="+mj-lt"/>
          </a:endParaRPr>
        </a:p>
      </dgm:t>
    </dgm:pt>
    <dgm:pt modelId="{7720C4E8-8227-4B40-86BE-A94F82D26F7D}">
      <dgm:prSet phldrT="[Text]" custT="1"/>
      <dgm:spPr>
        <a:xfrm>
          <a:off x="0" y="763750"/>
          <a:ext cx="1725916" cy="1414827"/>
        </a:xfrm>
      </dgm:spPr>
      <dgm:t>
        <a:bodyPr/>
        <a:lstStyle/>
        <a:p>
          <a:pPr algn="ctr"/>
          <a:r>
            <a:rPr lang="ro-MD" sz="1000">
              <a:latin typeface="Calibri Light" panose="020F0302020204030204"/>
              <a:ea typeface="+mn-ea"/>
              <a:cs typeface="+mn-cs"/>
            </a:rPr>
            <a:t>introduce datele din certificat </a:t>
          </a:r>
          <a:r>
            <a:rPr lang="ro-MD" sz="1000" b="1">
              <a:latin typeface="Calibri Light" panose="020F0302020204030204"/>
              <a:ea typeface="+mn-ea"/>
              <a:cs typeface="+mn-cs"/>
            </a:rPr>
            <a:t>în decurs de 5 zile </a:t>
          </a:r>
          <a:r>
            <a:rPr lang="ro-MD" sz="1000">
              <a:latin typeface="Calibri Light" panose="020F0302020204030204"/>
              <a:ea typeface="+mn-ea"/>
              <a:cs typeface="+mn-cs"/>
            </a:rPr>
            <a:t>în Portalul certificatelor de concediu medical </a:t>
          </a:r>
          <a:endParaRPr lang="en-US" sz="1000">
            <a:latin typeface="Calibri Light" panose="020F0302020204030204"/>
            <a:ea typeface="+mn-ea"/>
            <a:cs typeface="+mn-cs"/>
          </a:endParaRPr>
        </a:p>
      </dgm:t>
    </dgm:pt>
    <dgm:pt modelId="{417A5239-6D99-4691-BA5B-A270860CD84A}" type="parTrans" cxnId="{C49C2B9E-3846-44A4-BFD9-EC7113364ABD}">
      <dgm:prSet/>
      <dgm:spPr/>
      <dgm:t>
        <a:bodyPr/>
        <a:lstStyle/>
        <a:p>
          <a:pPr algn="ctr"/>
          <a:endParaRPr lang="en-US">
            <a:latin typeface="+mj-lt"/>
          </a:endParaRPr>
        </a:p>
      </dgm:t>
    </dgm:pt>
    <dgm:pt modelId="{CE2BF6EC-8619-4A2C-AE86-1C66BE1E98CF}" type="sibTrans" cxnId="{C49C2B9E-3846-44A4-BFD9-EC7113364ABD}">
      <dgm:prSet/>
      <dgm:spPr/>
      <dgm:t>
        <a:bodyPr/>
        <a:lstStyle/>
        <a:p>
          <a:pPr algn="ctr"/>
          <a:endParaRPr lang="en-US">
            <a:latin typeface="+mj-lt"/>
          </a:endParaRPr>
        </a:p>
      </dgm:t>
    </dgm:pt>
    <dgm:pt modelId="{CEBAD458-84EB-4708-AC0D-E62D9F3399F0}">
      <dgm:prSet phldrT="[Text]" custT="1"/>
      <dgm:spPr>
        <a:xfrm>
          <a:off x="2547787" y="641537"/>
          <a:ext cx="1312022" cy="521748"/>
        </a:xfrm>
      </dgm:spPr>
      <dgm:t>
        <a:bodyPr/>
        <a:lstStyle/>
        <a:p>
          <a:pPr algn="ctr"/>
          <a:r>
            <a:rPr lang="ro-MD" sz="1000">
              <a:latin typeface="Calibri Light" panose="020F0302020204030204"/>
              <a:ea typeface="+mn-ea"/>
              <a:cs typeface="+mn-cs"/>
            </a:rPr>
            <a:t>MS/CNAM</a:t>
          </a:r>
          <a:endParaRPr lang="en-US" sz="1000">
            <a:latin typeface="Calibri Light" panose="020F0302020204030204"/>
            <a:ea typeface="+mn-ea"/>
            <a:cs typeface="+mn-cs"/>
          </a:endParaRPr>
        </a:p>
      </dgm:t>
    </dgm:pt>
    <dgm:pt modelId="{85E60BF4-442B-473A-8A77-C91B2EE802B2}" type="parTrans" cxnId="{EA27CA21-B3E7-4BD1-BC37-1F1DD1175F45}">
      <dgm:prSet/>
      <dgm:spPr/>
      <dgm:t>
        <a:bodyPr/>
        <a:lstStyle/>
        <a:p>
          <a:pPr algn="ctr"/>
          <a:endParaRPr lang="en-US">
            <a:latin typeface="+mj-lt"/>
          </a:endParaRPr>
        </a:p>
      </dgm:t>
    </dgm:pt>
    <dgm:pt modelId="{1FDB4FF5-8A4D-4F67-BD3D-4B9008F808AA}" type="sibTrans" cxnId="{EA27CA21-B3E7-4BD1-BC37-1F1DD1175F45}">
      <dgm:prSet/>
      <dgm:spPr>
        <a:xfrm rot="209060">
          <a:off x="3060222" y="166450"/>
          <a:ext cx="1988053" cy="1988053"/>
        </a:xfrm>
      </dgm:spPr>
      <dgm:t>
        <a:bodyPr/>
        <a:lstStyle/>
        <a:p>
          <a:pPr algn="ctr"/>
          <a:endParaRPr lang="en-US">
            <a:latin typeface="+mj-lt"/>
          </a:endParaRPr>
        </a:p>
      </dgm:t>
    </dgm:pt>
    <dgm:pt modelId="{90FE83C3-8C93-4BF8-A1CA-BDF67F927C96}">
      <dgm:prSet phldrT="[Text]" custT="1"/>
      <dgm:spPr>
        <a:xfrm>
          <a:off x="1953056" y="753540"/>
          <a:ext cx="1897179" cy="1623966"/>
        </a:xfrm>
      </dgm:spPr>
      <dgm:t>
        <a:bodyPr/>
        <a:lstStyle/>
        <a:p>
          <a:pPr algn="ctr"/>
          <a:r>
            <a:rPr lang="ro-MD" sz="1000">
              <a:latin typeface="Calibri Light" panose="020F0302020204030204"/>
              <a:ea typeface="+mn-ea"/>
              <a:cs typeface="+mn-cs"/>
            </a:rPr>
            <a:t>recepționează în Portal datele din certificatul de concediu medical</a:t>
          </a:r>
          <a:endParaRPr lang="en-US" sz="1000">
            <a:latin typeface="Calibri Light" panose="020F0302020204030204"/>
            <a:ea typeface="+mn-ea"/>
            <a:cs typeface="+mn-cs"/>
          </a:endParaRPr>
        </a:p>
      </dgm:t>
    </dgm:pt>
    <dgm:pt modelId="{E970A722-711E-45F3-856B-BE52C3F9BC5B}" type="parTrans" cxnId="{940A81FE-A28B-4379-AA18-ABD7CD455DE1}">
      <dgm:prSet/>
      <dgm:spPr/>
      <dgm:t>
        <a:bodyPr/>
        <a:lstStyle/>
        <a:p>
          <a:pPr algn="ctr"/>
          <a:endParaRPr lang="en-US">
            <a:latin typeface="+mj-lt"/>
          </a:endParaRPr>
        </a:p>
      </dgm:t>
    </dgm:pt>
    <dgm:pt modelId="{4228DE43-F1F0-417F-AD29-F2A3E308ED99}" type="sibTrans" cxnId="{940A81FE-A28B-4379-AA18-ABD7CD455DE1}">
      <dgm:prSet/>
      <dgm:spPr/>
      <dgm:t>
        <a:bodyPr/>
        <a:lstStyle/>
        <a:p>
          <a:pPr algn="ctr"/>
          <a:endParaRPr lang="en-US">
            <a:latin typeface="+mj-lt"/>
          </a:endParaRPr>
        </a:p>
      </dgm:t>
    </dgm:pt>
    <dgm:pt modelId="{30A0D28B-A946-4CE8-8DE2-E00EC33A7DC0}">
      <dgm:prSet phldrT="[Text]" custT="1"/>
      <dgm:spPr>
        <a:xfrm>
          <a:off x="1953056" y="753540"/>
          <a:ext cx="1897179" cy="1623966"/>
        </a:xfrm>
      </dgm:spPr>
      <dgm:t>
        <a:bodyPr/>
        <a:lstStyle/>
        <a:p>
          <a:pPr algn="ctr"/>
          <a:r>
            <a:rPr lang="ro-MD" sz="1000">
              <a:latin typeface="Calibri Light" panose="020F0302020204030204"/>
              <a:ea typeface="+mn-ea"/>
              <a:cs typeface="+mn-cs"/>
            </a:rPr>
            <a:t>transmiterea automată a datelor din certificatul de concediu medical prin intermediul Portalului către CNAS</a:t>
          </a:r>
          <a:endParaRPr lang="en-US" sz="1000">
            <a:latin typeface="Calibri Light" panose="020F0302020204030204"/>
            <a:ea typeface="+mn-ea"/>
            <a:cs typeface="+mn-cs"/>
          </a:endParaRPr>
        </a:p>
      </dgm:t>
    </dgm:pt>
    <dgm:pt modelId="{D205ADA8-F575-496D-9F2A-1B1C9CF984A6}" type="parTrans" cxnId="{86C79055-5385-42CA-9381-DEBBA4E355BE}">
      <dgm:prSet/>
      <dgm:spPr/>
      <dgm:t>
        <a:bodyPr/>
        <a:lstStyle/>
        <a:p>
          <a:pPr algn="ctr"/>
          <a:endParaRPr lang="en-US">
            <a:latin typeface="+mj-lt"/>
          </a:endParaRPr>
        </a:p>
      </dgm:t>
    </dgm:pt>
    <dgm:pt modelId="{8EE6502F-8B53-4F35-9373-DF10B71EFC76}" type="sibTrans" cxnId="{86C79055-5385-42CA-9381-DEBBA4E355BE}">
      <dgm:prSet/>
      <dgm:spPr/>
      <dgm:t>
        <a:bodyPr/>
        <a:lstStyle/>
        <a:p>
          <a:pPr algn="ctr"/>
          <a:endParaRPr lang="en-US">
            <a:latin typeface="+mj-lt"/>
          </a:endParaRPr>
        </a:p>
      </dgm:t>
    </dgm:pt>
    <dgm:pt modelId="{19D86033-E314-4ECE-9A74-DC3E0B0417E8}">
      <dgm:prSet phldrT="[Text]" custT="1"/>
      <dgm:spPr>
        <a:xfrm>
          <a:off x="4623484" y="1860942"/>
          <a:ext cx="1312022" cy="521748"/>
        </a:xfrm>
      </dgm:spPr>
      <dgm:t>
        <a:bodyPr/>
        <a:lstStyle/>
        <a:p>
          <a:pPr algn="ctr"/>
          <a:r>
            <a:rPr lang="ro-MD" sz="1000">
              <a:latin typeface="Calibri Light" panose="020F0302020204030204"/>
              <a:ea typeface="+mn-ea"/>
              <a:cs typeface="+mn-cs"/>
            </a:rPr>
            <a:t>CNAS</a:t>
          </a:r>
          <a:endParaRPr lang="en-US" sz="1000">
            <a:latin typeface="Calibri Light" panose="020F0302020204030204"/>
            <a:ea typeface="+mn-ea"/>
            <a:cs typeface="+mn-cs"/>
          </a:endParaRPr>
        </a:p>
      </dgm:t>
    </dgm:pt>
    <dgm:pt modelId="{829F92D0-CDF8-4944-A4E4-BD45B163BAFF}" type="parTrans" cxnId="{BD6EF880-7FEF-42E4-952E-A17EC71A103B}">
      <dgm:prSet/>
      <dgm:spPr/>
      <dgm:t>
        <a:bodyPr/>
        <a:lstStyle/>
        <a:p>
          <a:pPr algn="ctr"/>
          <a:endParaRPr lang="en-US">
            <a:latin typeface="+mj-lt"/>
          </a:endParaRPr>
        </a:p>
      </dgm:t>
    </dgm:pt>
    <dgm:pt modelId="{A71CA882-B7A8-496B-8A72-9E424901B044}" type="sibTrans" cxnId="{BD6EF880-7FEF-42E4-952E-A17EC71A103B}">
      <dgm:prSet/>
      <dgm:spPr/>
      <dgm:t>
        <a:bodyPr/>
        <a:lstStyle/>
        <a:p>
          <a:pPr algn="ctr"/>
          <a:endParaRPr lang="en-US">
            <a:latin typeface="+mj-lt"/>
          </a:endParaRPr>
        </a:p>
      </dgm:t>
    </dgm:pt>
    <dgm:pt modelId="{CD9D501E-E951-486F-ABB2-D69066077102}">
      <dgm:prSet phldrT="[Text]" custT="1"/>
      <dgm:spPr>
        <a:xfrm>
          <a:off x="4108030" y="786638"/>
          <a:ext cx="1766698" cy="1368724"/>
        </a:xfrm>
      </dgm:spPr>
      <dgm:t>
        <a:bodyPr/>
        <a:lstStyle/>
        <a:p>
          <a:pPr algn="ctr"/>
          <a:r>
            <a:rPr lang="ro-MD" sz="1000" b="1" i="1">
              <a:latin typeface="Calibri Light" panose="020F0302020204030204"/>
              <a:ea typeface="+mn-ea"/>
              <a:cs typeface="+mn-cs"/>
            </a:rPr>
            <a:t>AGE (MPay)</a:t>
          </a:r>
          <a:endParaRPr lang="en-US" sz="1000" b="1">
            <a:latin typeface="Calibri Light" panose="020F0302020204030204"/>
            <a:ea typeface="+mn-ea"/>
            <a:cs typeface="+mn-cs"/>
          </a:endParaRPr>
        </a:p>
      </dgm:t>
    </dgm:pt>
    <dgm:pt modelId="{C33F6769-10D9-4E82-9E27-7592A2C2A16F}" type="parTrans" cxnId="{04188B06-EEEC-40C4-86F4-974FC624EB3B}">
      <dgm:prSet/>
      <dgm:spPr/>
      <dgm:t>
        <a:bodyPr/>
        <a:lstStyle/>
        <a:p>
          <a:pPr algn="ctr"/>
          <a:endParaRPr lang="en-US"/>
        </a:p>
      </dgm:t>
    </dgm:pt>
    <dgm:pt modelId="{7946BD21-D3BC-4AB6-8C82-36460363D9F7}" type="sibTrans" cxnId="{04188B06-EEEC-40C4-86F4-974FC624EB3B}">
      <dgm:prSet/>
      <dgm:spPr/>
      <dgm:t>
        <a:bodyPr/>
        <a:lstStyle/>
        <a:p>
          <a:pPr algn="ctr"/>
          <a:endParaRPr lang="en-US"/>
        </a:p>
      </dgm:t>
    </dgm:pt>
    <dgm:pt modelId="{5F0F079C-3BF1-48F6-8D45-8C3454F54F19}">
      <dgm:prSet phldrT="[Text]" custT="1"/>
      <dgm:spPr>
        <a:xfrm>
          <a:off x="4108030" y="786638"/>
          <a:ext cx="1766698" cy="1368724"/>
        </a:xfrm>
      </dgm:spPr>
      <dgm:t>
        <a:bodyPr/>
        <a:lstStyle/>
        <a:p>
          <a:pPr algn="ctr"/>
          <a:r>
            <a:rPr lang="ro-MD" sz="1000">
              <a:latin typeface="Calibri Light" panose="020F0302020204030204"/>
              <a:ea typeface="+mn-ea"/>
              <a:cs typeface="+mn-cs"/>
            </a:rPr>
            <a:t>recepționează datele din Portalul certificatelor de concediu medical</a:t>
          </a:r>
          <a:endParaRPr lang="en-US" sz="1000">
            <a:latin typeface="Calibri Light" panose="020F0302020204030204"/>
            <a:ea typeface="+mn-ea"/>
            <a:cs typeface="+mn-cs"/>
          </a:endParaRPr>
        </a:p>
      </dgm:t>
    </dgm:pt>
    <dgm:pt modelId="{EA0AA15C-9149-4CF9-807F-939766E10CDB}" type="sibTrans" cxnId="{D82E8B8E-1F60-45E8-9857-9C2D38249032}">
      <dgm:prSet/>
      <dgm:spPr/>
      <dgm:t>
        <a:bodyPr/>
        <a:lstStyle/>
        <a:p>
          <a:pPr algn="ctr"/>
          <a:endParaRPr lang="en-US">
            <a:latin typeface="+mj-lt"/>
          </a:endParaRPr>
        </a:p>
      </dgm:t>
    </dgm:pt>
    <dgm:pt modelId="{7CA070C9-2FC5-477A-A218-5F427971A069}" type="parTrans" cxnId="{D82E8B8E-1F60-45E8-9857-9C2D38249032}">
      <dgm:prSet/>
      <dgm:spPr/>
      <dgm:t>
        <a:bodyPr/>
        <a:lstStyle/>
        <a:p>
          <a:pPr algn="ctr"/>
          <a:endParaRPr lang="en-US">
            <a:latin typeface="+mj-lt"/>
          </a:endParaRPr>
        </a:p>
      </dgm:t>
    </dgm:pt>
    <dgm:pt modelId="{B25FF4F5-C494-4A4B-B6B2-88C539140815}">
      <dgm:prSet phldrT="[Text]" custT="1"/>
      <dgm:spPr>
        <a:xfrm>
          <a:off x="4108030" y="786638"/>
          <a:ext cx="1766698" cy="1368724"/>
        </a:xfrm>
      </dgm:spPr>
      <dgm:t>
        <a:bodyPr/>
        <a:lstStyle/>
        <a:p>
          <a:pPr algn="ctr"/>
          <a:r>
            <a:rPr lang="ro-MD" sz="1000" i="1">
              <a:latin typeface="Calibri Light" panose="020F0302020204030204"/>
              <a:ea typeface="+mn-ea"/>
              <a:cs typeface="+mn-cs"/>
            </a:rPr>
            <a:t>stabilirea indemnizației de incapacitate temporară de muncă în </a:t>
          </a:r>
          <a:r>
            <a:rPr lang="ro-MD" sz="1000" b="1" i="1">
              <a:latin typeface="Calibri Light" panose="020F0302020204030204"/>
              <a:ea typeface="+mn-ea"/>
              <a:cs typeface="+mn-cs"/>
            </a:rPr>
            <a:t>decurs de 15-30 zile</a:t>
          </a:r>
          <a:endParaRPr lang="en-US" sz="1000" b="1" i="1">
            <a:latin typeface="Calibri Light" panose="020F0302020204030204"/>
            <a:ea typeface="+mn-ea"/>
            <a:cs typeface="+mn-cs"/>
          </a:endParaRPr>
        </a:p>
      </dgm:t>
    </dgm:pt>
    <dgm:pt modelId="{8044E6B2-AD13-41B5-9864-836751C32AA4}" type="sibTrans" cxnId="{435D05F6-A2FD-4A37-9267-8AEB5140006C}">
      <dgm:prSet/>
      <dgm:spPr/>
      <dgm:t>
        <a:bodyPr/>
        <a:lstStyle/>
        <a:p>
          <a:pPr algn="ctr"/>
          <a:endParaRPr lang="en-US">
            <a:latin typeface="+mj-lt"/>
          </a:endParaRPr>
        </a:p>
      </dgm:t>
    </dgm:pt>
    <dgm:pt modelId="{BC262C7E-B2C0-4347-AC96-A06E11CE1C44}" type="parTrans" cxnId="{435D05F6-A2FD-4A37-9267-8AEB5140006C}">
      <dgm:prSet/>
      <dgm:spPr/>
      <dgm:t>
        <a:bodyPr/>
        <a:lstStyle/>
        <a:p>
          <a:pPr algn="ctr"/>
          <a:endParaRPr lang="en-US">
            <a:latin typeface="+mj-lt"/>
          </a:endParaRPr>
        </a:p>
      </dgm:t>
    </dgm:pt>
    <dgm:pt modelId="{E71130A3-BEC9-4C40-BC78-C6B22488DF3F}">
      <dgm:prSet phldrT="[Text]" custT="1"/>
      <dgm:spPr>
        <a:xfrm>
          <a:off x="4108030" y="786638"/>
          <a:ext cx="1766698" cy="1368724"/>
        </a:xfrm>
      </dgm:spPr>
      <dgm:t>
        <a:bodyPr/>
        <a:lstStyle/>
        <a:p>
          <a:pPr algn="ctr"/>
          <a:r>
            <a:rPr lang="ro-MD" sz="1000" b="0">
              <a:latin typeface="Calibri Light" panose="020F0302020204030204"/>
              <a:ea typeface="+mn-ea"/>
              <a:cs typeface="+mn-cs"/>
            </a:rPr>
            <a:t>din 2021 efectuează plata indemizației prin intermediul prestatorilor de servicii de plată</a:t>
          </a:r>
          <a:endParaRPr lang="en-US" sz="1000" b="0">
            <a:latin typeface="Calibri Light" panose="020F0302020204030204"/>
            <a:ea typeface="+mn-ea"/>
            <a:cs typeface="+mn-cs"/>
          </a:endParaRPr>
        </a:p>
      </dgm:t>
    </dgm:pt>
    <dgm:pt modelId="{2A90E5C9-87C0-4514-8C30-8E90F28CE571}" type="parTrans" cxnId="{6CACBFE4-491A-4582-BC78-87C1EAB7E767}">
      <dgm:prSet/>
      <dgm:spPr/>
      <dgm:t>
        <a:bodyPr/>
        <a:lstStyle/>
        <a:p>
          <a:pPr algn="ctr"/>
          <a:endParaRPr lang="en-US"/>
        </a:p>
      </dgm:t>
    </dgm:pt>
    <dgm:pt modelId="{5022BE26-27B3-49E8-9A67-60CB68C5DF2E}" type="sibTrans" cxnId="{6CACBFE4-491A-4582-BC78-87C1EAB7E767}">
      <dgm:prSet/>
      <dgm:spPr/>
      <dgm:t>
        <a:bodyPr/>
        <a:lstStyle/>
        <a:p>
          <a:pPr algn="ctr"/>
          <a:endParaRPr lang="en-US"/>
        </a:p>
      </dgm:t>
    </dgm:pt>
    <dgm:pt modelId="{256ABDD9-D660-473E-8FEF-7F83B553675C}" type="pres">
      <dgm:prSet presAssocID="{81D4A962-3310-459E-9B1C-DC2A8AA98040}" presName="Name0" presStyleCnt="0">
        <dgm:presLayoutVars>
          <dgm:dir/>
          <dgm:animLvl val="lvl"/>
          <dgm:resizeHandles val="exact"/>
        </dgm:presLayoutVars>
      </dgm:prSet>
      <dgm:spPr/>
      <dgm:t>
        <a:bodyPr/>
        <a:lstStyle/>
        <a:p>
          <a:endParaRPr lang="en-US"/>
        </a:p>
      </dgm:t>
    </dgm:pt>
    <dgm:pt modelId="{8D3C08E9-350B-4746-86BF-D8F600868452}" type="pres">
      <dgm:prSet presAssocID="{CD9D501E-E951-486F-ABB2-D69066077102}" presName="boxAndChildren" presStyleCnt="0"/>
      <dgm:spPr/>
      <dgm:t>
        <a:bodyPr/>
        <a:lstStyle/>
        <a:p>
          <a:endParaRPr lang="en-US"/>
        </a:p>
      </dgm:t>
    </dgm:pt>
    <dgm:pt modelId="{83C6751B-3D94-42FB-BD69-9A11F5FF6579}" type="pres">
      <dgm:prSet presAssocID="{CD9D501E-E951-486F-ABB2-D69066077102}" presName="parentTextBox" presStyleLbl="node1" presStyleIdx="0" presStyleCnt="4"/>
      <dgm:spPr/>
      <dgm:t>
        <a:bodyPr/>
        <a:lstStyle/>
        <a:p>
          <a:endParaRPr lang="en-US"/>
        </a:p>
      </dgm:t>
    </dgm:pt>
    <dgm:pt modelId="{0359A990-D324-44DE-AAC1-D8355ECC6FC2}" type="pres">
      <dgm:prSet presAssocID="{CD9D501E-E951-486F-ABB2-D69066077102}" presName="entireBox" presStyleLbl="node1" presStyleIdx="0" presStyleCnt="4"/>
      <dgm:spPr/>
      <dgm:t>
        <a:bodyPr/>
        <a:lstStyle/>
        <a:p>
          <a:endParaRPr lang="en-US"/>
        </a:p>
      </dgm:t>
    </dgm:pt>
    <dgm:pt modelId="{CF06DA5B-97AA-4EE1-A5E0-DC148090DF46}" type="pres">
      <dgm:prSet presAssocID="{CD9D501E-E951-486F-ABB2-D69066077102}" presName="descendantBox" presStyleCnt="0"/>
      <dgm:spPr/>
      <dgm:t>
        <a:bodyPr/>
        <a:lstStyle/>
        <a:p>
          <a:endParaRPr lang="en-US"/>
        </a:p>
      </dgm:t>
    </dgm:pt>
    <dgm:pt modelId="{750B1231-E3FA-4C62-BA59-EDE60C42E921}" type="pres">
      <dgm:prSet presAssocID="{E71130A3-BEC9-4C40-BC78-C6B22488DF3F}" presName="childTextBox" presStyleLbl="fgAccFollowNode1" presStyleIdx="0" presStyleCnt="7" custLinFactNeighborX="-2953" custLinFactNeighborY="4760">
        <dgm:presLayoutVars>
          <dgm:bulletEnabled val="1"/>
        </dgm:presLayoutVars>
      </dgm:prSet>
      <dgm:spPr/>
      <dgm:t>
        <a:bodyPr/>
        <a:lstStyle/>
        <a:p>
          <a:endParaRPr lang="en-US"/>
        </a:p>
      </dgm:t>
    </dgm:pt>
    <dgm:pt modelId="{74B1481A-2A23-48C8-BA5F-A554E5D8AE33}" type="pres">
      <dgm:prSet presAssocID="{A71CA882-B7A8-496B-8A72-9E424901B044}" presName="sp" presStyleCnt="0"/>
      <dgm:spPr/>
      <dgm:t>
        <a:bodyPr/>
        <a:lstStyle/>
        <a:p>
          <a:endParaRPr lang="en-US"/>
        </a:p>
      </dgm:t>
    </dgm:pt>
    <dgm:pt modelId="{B12D2C86-46BE-48AC-B25F-B790FC7EBD94}" type="pres">
      <dgm:prSet presAssocID="{19D86033-E314-4ECE-9A74-DC3E0B0417E8}" presName="arrowAndChildren" presStyleCnt="0"/>
      <dgm:spPr/>
      <dgm:t>
        <a:bodyPr/>
        <a:lstStyle/>
        <a:p>
          <a:endParaRPr lang="en-US"/>
        </a:p>
      </dgm:t>
    </dgm:pt>
    <dgm:pt modelId="{9E508069-1D06-486B-99E2-C37029692E16}" type="pres">
      <dgm:prSet presAssocID="{19D86033-E314-4ECE-9A74-DC3E0B0417E8}" presName="parentTextArrow" presStyleLbl="node1" presStyleIdx="0" presStyleCnt="4"/>
      <dgm:spPr/>
      <dgm:t>
        <a:bodyPr/>
        <a:lstStyle/>
        <a:p>
          <a:endParaRPr lang="en-US"/>
        </a:p>
      </dgm:t>
    </dgm:pt>
    <dgm:pt modelId="{9FC4B804-5F3C-4108-A2D0-EB66E561ED72}" type="pres">
      <dgm:prSet presAssocID="{19D86033-E314-4ECE-9A74-DC3E0B0417E8}" presName="arrow" presStyleLbl="node1" presStyleIdx="1" presStyleCnt="4"/>
      <dgm:spPr/>
      <dgm:t>
        <a:bodyPr/>
        <a:lstStyle/>
        <a:p>
          <a:endParaRPr lang="en-US"/>
        </a:p>
      </dgm:t>
    </dgm:pt>
    <dgm:pt modelId="{F71FA166-D5BB-4545-956E-CE803FF06ED6}" type="pres">
      <dgm:prSet presAssocID="{19D86033-E314-4ECE-9A74-DC3E0B0417E8}" presName="descendantArrow" presStyleCnt="0"/>
      <dgm:spPr/>
      <dgm:t>
        <a:bodyPr/>
        <a:lstStyle/>
        <a:p>
          <a:endParaRPr lang="en-US"/>
        </a:p>
      </dgm:t>
    </dgm:pt>
    <dgm:pt modelId="{39DBB761-3F1F-4A46-863B-09DE4353CEA6}" type="pres">
      <dgm:prSet presAssocID="{5F0F079C-3BF1-48F6-8D45-8C3454F54F19}" presName="childTextArrow" presStyleLbl="fgAccFollowNode1" presStyleIdx="1" presStyleCnt="7">
        <dgm:presLayoutVars>
          <dgm:bulletEnabled val="1"/>
        </dgm:presLayoutVars>
      </dgm:prSet>
      <dgm:spPr/>
      <dgm:t>
        <a:bodyPr/>
        <a:lstStyle/>
        <a:p>
          <a:endParaRPr lang="en-US"/>
        </a:p>
      </dgm:t>
    </dgm:pt>
    <dgm:pt modelId="{4D4F999B-03A1-4964-82F1-0EBD32100377}" type="pres">
      <dgm:prSet presAssocID="{B25FF4F5-C494-4A4B-B6B2-88C539140815}" presName="childTextArrow" presStyleLbl="fgAccFollowNode1" presStyleIdx="2" presStyleCnt="7">
        <dgm:presLayoutVars>
          <dgm:bulletEnabled val="1"/>
        </dgm:presLayoutVars>
      </dgm:prSet>
      <dgm:spPr/>
      <dgm:t>
        <a:bodyPr/>
        <a:lstStyle/>
        <a:p>
          <a:endParaRPr lang="en-US"/>
        </a:p>
      </dgm:t>
    </dgm:pt>
    <dgm:pt modelId="{5C470629-82AE-4B63-A220-FAFC7C6B67C3}" type="pres">
      <dgm:prSet presAssocID="{1FDB4FF5-8A4D-4F67-BD3D-4B9008F808AA}" presName="sp" presStyleCnt="0"/>
      <dgm:spPr/>
      <dgm:t>
        <a:bodyPr/>
        <a:lstStyle/>
        <a:p>
          <a:endParaRPr lang="en-US"/>
        </a:p>
      </dgm:t>
    </dgm:pt>
    <dgm:pt modelId="{B9A5B20A-8372-4571-9228-D37CB657C49B}" type="pres">
      <dgm:prSet presAssocID="{CEBAD458-84EB-4708-AC0D-E62D9F3399F0}" presName="arrowAndChildren" presStyleCnt="0"/>
      <dgm:spPr/>
      <dgm:t>
        <a:bodyPr/>
        <a:lstStyle/>
        <a:p>
          <a:endParaRPr lang="en-US"/>
        </a:p>
      </dgm:t>
    </dgm:pt>
    <dgm:pt modelId="{5F371C93-3441-4A55-B5E2-191C983B7E08}" type="pres">
      <dgm:prSet presAssocID="{CEBAD458-84EB-4708-AC0D-E62D9F3399F0}" presName="parentTextArrow" presStyleLbl="node1" presStyleIdx="1" presStyleCnt="4"/>
      <dgm:spPr/>
      <dgm:t>
        <a:bodyPr/>
        <a:lstStyle/>
        <a:p>
          <a:endParaRPr lang="en-US"/>
        </a:p>
      </dgm:t>
    </dgm:pt>
    <dgm:pt modelId="{15A20E17-C70F-42E7-A165-E1C923F02F5D}" type="pres">
      <dgm:prSet presAssocID="{CEBAD458-84EB-4708-AC0D-E62D9F3399F0}" presName="arrow" presStyleLbl="node1" presStyleIdx="2" presStyleCnt="4"/>
      <dgm:spPr/>
      <dgm:t>
        <a:bodyPr/>
        <a:lstStyle/>
        <a:p>
          <a:endParaRPr lang="en-US"/>
        </a:p>
      </dgm:t>
    </dgm:pt>
    <dgm:pt modelId="{FC80FE6C-6D14-4817-A23D-06C239D69CDE}" type="pres">
      <dgm:prSet presAssocID="{CEBAD458-84EB-4708-AC0D-E62D9F3399F0}" presName="descendantArrow" presStyleCnt="0"/>
      <dgm:spPr/>
      <dgm:t>
        <a:bodyPr/>
        <a:lstStyle/>
        <a:p>
          <a:endParaRPr lang="en-US"/>
        </a:p>
      </dgm:t>
    </dgm:pt>
    <dgm:pt modelId="{ACBA2889-4196-4908-BD48-4E85A9618CF3}" type="pres">
      <dgm:prSet presAssocID="{90FE83C3-8C93-4BF8-A1CA-BDF67F927C96}" presName="childTextArrow" presStyleLbl="fgAccFollowNode1" presStyleIdx="3" presStyleCnt="7">
        <dgm:presLayoutVars>
          <dgm:bulletEnabled val="1"/>
        </dgm:presLayoutVars>
      </dgm:prSet>
      <dgm:spPr/>
      <dgm:t>
        <a:bodyPr/>
        <a:lstStyle/>
        <a:p>
          <a:endParaRPr lang="en-US"/>
        </a:p>
      </dgm:t>
    </dgm:pt>
    <dgm:pt modelId="{704B6CEA-3CCA-4D17-AF1A-093D2600C174}" type="pres">
      <dgm:prSet presAssocID="{30A0D28B-A946-4CE8-8DE2-E00EC33A7DC0}" presName="childTextArrow" presStyleLbl="fgAccFollowNode1" presStyleIdx="4" presStyleCnt="7" custScaleY="184444">
        <dgm:presLayoutVars>
          <dgm:bulletEnabled val="1"/>
        </dgm:presLayoutVars>
      </dgm:prSet>
      <dgm:spPr/>
      <dgm:t>
        <a:bodyPr/>
        <a:lstStyle/>
        <a:p>
          <a:endParaRPr lang="en-US"/>
        </a:p>
      </dgm:t>
    </dgm:pt>
    <dgm:pt modelId="{552DC790-CF86-41E8-964D-4E9C21697B4A}" type="pres">
      <dgm:prSet presAssocID="{36608651-8738-47E0-9697-4C48DD378C6A}" presName="sp" presStyleCnt="0"/>
      <dgm:spPr/>
      <dgm:t>
        <a:bodyPr/>
        <a:lstStyle/>
        <a:p>
          <a:endParaRPr lang="en-US"/>
        </a:p>
      </dgm:t>
    </dgm:pt>
    <dgm:pt modelId="{F4E20CF1-338A-428B-9F61-5FDA94253E91}" type="pres">
      <dgm:prSet presAssocID="{7F8612A2-0217-4C28-85A6-63AED5561BFF}" presName="arrowAndChildren" presStyleCnt="0"/>
      <dgm:spPr/>
      <dgm:t>
        <a:bodyPr/>
        <a:lstStyle/>
        <a:p>
          <a:endParaRPr lang="en-US"/>
        </a:p>
      </dgm:t>
    </dgm:pt>
    <dgm:pt modelId="{78256F63-290E-430F-A2C1-141C1838AE73}" type="pres">
      <dgm:prSet presAssocID="{7F8612A2-0217-4C28-85A6-63AED5561BFF}" presName="parentTextArrow" presStyleLbl="node1" presStyleIdx="2" presStyleCnt="4"/>
      <dgm:spPr/>
      <dgm:t>
        <a:bodyPr/>
        <a:lstStyle/>
        <a:p>
          <a:endParaRPr lang="en-US"/>
        </a:p>
      </dgm:t>
    </dgm:pt>
    <dgm:pt modelId="{1A481332-A3DB-4F89-B272-65B3BE559FF9}" type="pres">
      <dgm:prSet presAssocID="{7F8612A2-0217-4C28-85A6-63AED5561BFF}" presName="arrow" presStyleLbl="node1" presStyleIdx="3" presStyleCnt="4"/>
      <dgm:spPr/>
      <dgm:t>
        <a:bodyPr/>
        <a:lstStyle/>
        <a:p>
          <a:endParaRPr lang="en-US"/>
        </a:p>
      </dgm:t>
    </dgm:pt>
    <dgm:pt modelId="{E9109CB6-C0C6-4591-8444-7DD252EB67E9}" type="pres">
      <dgm:prSet presAssocID="{7F8612A2-0217-4C28-85A6-63AED5561BFF}" presName="descendantArrow" presStyleCnt="0"/>
      <dgm:spPr/>
      <dgm:t>
        <a:bodyPr/>
        <a:lstStyle/>
        <a:p>
          <a:endParaRPr lang="en-US"/>
        </a:p>
      </dgm:t>
    </dgm:pt>
    <dgm:pt modelId="{EB4CA1F5-8B1F-4CB4-B295-850FC5A89C92}" type="pres">
      <dgm:prSet presAssocID="{FACC9D71-A04C-4501-9356-EDD114D85278}" presName="childTextArrow" presStyleLbl="fgAccFollowNode1" presStyleIdx="5" presStyleCnt="7">
        <dgm:presLayoutVars>
          <dgm:bulletEnabled val="1"/>
        </dgm:presLayoutVars>
      </dgm:prSet>
      <dgm:spPr/>
      <dgm:t>
        <a:bodyPr/>
        <a:lstStyle/>
        <a:p>
          <a:endParaRPr lang="en-US"/>
        </a:p>
      </dgm:t>
    </dgm:pt>
    <dgm:pt modelId="{5621F436-D218-4ADE-B84D-75A98AC25933}" type="pres">
      <dgm:prSet presAssocID="{7720C4E8-8227-4B40-86BE-A94F82D26F7D}" presName="childTextArrow" presStyleLbl="fgAccFollowNode1" presStyleIdx="6" presStyleCnt="7">
        <dgm:presLayoutVars>
          <dgm:bulletEnabled val="1"/>
        </dgm:presLayoutVars>
      </dgm:prSet>
      <dgm:spPr/>
      <dgm:t>
        <a:bodyPr/>
        <a:lstStyle/>
        <a:p>
          <a:endParaRPr lang="en-US"/>
        </a:p>
      </dgm:t>
    </dgm:pt>
  </dgm:ptLst>
  <dgm:cxnLst>
    <dgm:cxn modelId="{940A81FE-A28B-4379-AA18-ABD7CD455DE1}" srcId="{CEBAD458-84EB-4708-AC0D-E62D9F3399F0}" destId="{90FE83C3-8C93-4BF8-A1CA-BDF67F927C96}" srcOrd="0" destOrd="0" parTransId="{E970A722-711E-45F3-856B-BE52C3F9BC5B}" sibTransId="{4228DE43-F1F0-417F-AD29-F2A3E308ED99}"/>
    <dgm:cxn modelId="{BD6EF880-7FEF-42E4-952E-A17EC71A103B}" srcId="{81D4A962-3310-459E-9B1C-DC2A8AA98040}" destId="{19D86033-E314-4ECE-9A74-DC3E0B0417E8}" srcOrd="2" destOrd="0" parTransId="{829F92D0-CDF8-4944-A4E4-BD45B163BAFF}" sibTransId="{A71CA882-B7A8-496B-8A72-9E424901B044}"/>
    <dgm:cxn modelId="{D4CA9128-3083-47CD-A781-086E40F56566}" type="presOf" srcId="{30A0D28B-A946-4CE8-8DE2-E00EC33A7DC0}" destId="{704B6CEA-3CCA-4D17-AF1A-093D2600C174}" srcOrd="0" destOrd="0" presId="urn:microsoft.com/office/officeart/2005/8/layout/process4"/>
    <dgm:cxn modelId="{435D05F6-A2FD-4A37-9267-8AEB5140006C}" srcId="{19D86033-E314-4ECE-9A74-DC3E0B0417E8}" destId="{B25FF4F5-C494-4A4B-B6B2-88C539140815}" srcOrd="1" destOrd="0" parTransId="{BC262C7E-B2C0-4347-AC96-A06E11CE1C44}" sibTransId="{8044E6B2-AD13-41B5-9864-836751C32AA4}"/>
    <dgm:cxn modelId="{D90B0FED-00EA-4049-A244-1CC67F613062}" srcId="{81D4A962-3310-459E-9B1C-DC2A8AA98040}" destId="{7F8612A2-0217-4C28-85A6-63AED5561BFF}" srcOrd="0" destOrd="0" parTransId="{EC70EE78-4D7C-40C6-8D87-FE8AF12AEBFA}" sibTransId="{36608651-8738-47E0-9697-4C48DD378C6A}"/>
    <dgm:cxn modelId="{F0090EE8-D578-46B0-990B-78A99ACA6E84}" type="presOf" srcId="{CEBAD458-84EB-4708-AC0D-E62D9F3399F0}" destId="{15A20E17-C70F-42E7-A165-E1C923F02F5D}" srcOrd="1" destOrd="0" presId="urn:microsoft.com/office/officeart/2005/8/layout/process4"/>
    <dgm:cxn modelId="{86C79055-5385-42CA-9381-DEBBA4E355BE}" srcId="{CEBAD458-84EB-4708-AC0D-E62D9F3399F0}" destId="{30A0D28B-A946-4CE8-8DE2-E00EC33A7DC0}" srcOrd="1" destOrd="0" parTransId="{D205ADA8-F575-496D-9F2A-1B1C9CF984A6}" sibTransId="{8EE6502F-8B53-4F35-9373-DF10B71EFC76}"/>
    <dgm:cxn modelId="{783962B2-D8B2-4F4D-B5F6-181163F3F465}" type="presOf" srcId="{B25FF4F5-C494-4A4B-B6B2-88C539140815}" destId="{4D4F999B-03A1-4964-82F1-0EBD32100377}" srcOrd="0" destOrd="0" presId="urn:microsoft.com/office/officeart/2005/8/layout/process4"/>
    <dgm:cxn modelId="{F4A8FE92-32C3-45A9-9E81-1AF57FDDA5CB}" type="presOf" srcId="{19D86033-E314-4ECE-9A74-DC3E0B0417E8}" destId="{9FC4B804-5F3C-4108-A2D0-EB66E561ED72}" srcOrd="1" destOrd="0" presId="urn:microsoft.com/office/officeart/2005/8/layout/process4"/>
    <dgm:cxn modelId="{6CACBFE4-491A-4582-BC78-87C1EAB7E767}" srcId="{CD9D501E-E951-486F-ABB2-D69066077102}" destId="{E71130A3-BEC9-4C40-BC78-C6B22488DF3F}" srcOrd="0" destOrd="0" parTransId="{2A90E5C9-87C0-4514-8C30-8E90F28CE571}" sibTransId="{5022BE26-27B3-49E8-9A67-60CB68C5DF2E}"/>
    <dgm:cxn modelId="{00BC09D6-4911-443B-9CB8-9A32487DF9C1}" type="presOf" srcId="{19D86033-E314-4ECE-9A74-DC3E0B0417E8}" destId="{9E508069-1D06-486B-99E2-C37029692E16}" srcOrd="0" destOrd="0" presId="urn:microsoft.com/office/officeart/2005/8/layout/process4"/>
    <dgm:cxn modelId="{486C3399-E75A-492C-A04B-EBB6A18310A6}" type="presOf" srcId="{90FE83C3-8C93-4BF8-A1CA-BDF67F927C96}" destId="{ACBA2889-4196-4908-BD48-4E85A9618CF3}" srcOrd="0" destOrd="0" presId="urn:microsoft.com/office/officeart/2005/8/layout/process4"/>
    <dgm:cxn modelId="{9EBF118E-B12B-4D85-A638-8A24E3496A1E}" type="presOf" srcId="{CD9D501E-E951-486F-ABB2-D69066077102}" destId="{0359A990-D324-44DE-AAC1-D8355ECC6FC2}" srcOrd="1" destOrd="0" presId="urn:microsoft.com/office/officeart/2005/8/layout/process4"/>
    <dgm:cxn modelId="{D6367CE6-807D-4143-91A3-3017566F230B}" type="presOf" srcId="{FACC9D71-A04C-4501-9356-EDD114D85278}" destId="{EB4CA1F5-8B1F-4CB4-B295-850FC5A89C92}" srcOrd="0" destOrd="0" presId="urn:microsoft.com/office/officeart/2005/8/layout/process4"/>
    <dgm:cxn modelId="{6DA5164F-FDA3-43F1-BBD0-399A57C64ACA}" type="presOf" srcId="{7F8612A2-0217-4C28-85A6-63AED5561BFF}" destId="{78256F63-290E-430F-A2C1-141C1838AE73}" srcOrd="0" destOrd="0" presId="urn:microsoft.com/office/officeart/2005/8/layout/process4"/>
    <dgm:cxn modelId="{ACCD7258-C7CC-476C-B390-C17CCCFDC47E}" type="presOf" srcId="{81D4A962-3310-459E-9B1C-DC2A8AA98040}" destId="{256ABDD9-D660-473E-8FEF-7F83B553675C}" srcOrd="0" destOrd="0" presId="urn:microsoft.com/office/officeart/2005/8/layout/process4"/>
    <dgm:cxn modelId="{BFEFEABB-014F-4EA2-B4FB-F0AC039E5118}" type="presOf" srcId="{5F0F079C-3BF1-48F6-8D45-8C3454F54F19}" destId="{39DBB761-3F1F-4A46-863B-09DE4353CEA6}" srcOrd="0" destOrd="0" presId="urn:microsoft.com/office/officeart/2005/8/layout/process4"/>
    <dgm:cxn modelId="{04188B06-EEEC-40C4-86F4-974FC624EB3B}" srcId="{81D4A962-3310-459E-9B1C-DC2A8AA98040}" destId="{CD9D501E-E951-486F-ABB2-D69066077102}" srcOrd="3" destOrd="0" parTransId="{C33F6769-10D9-4E82-9E27-7592A2C2A16F}" sibTransId="{7946BD21-D3BC-4AB6-8C82-36460363D9F7}"/>
    <dgm:cxn modelId="{11FAA97D-66B5-46B9-9043-60044A873C3A}" srcId="{7F8612A2-0217-4C28-85A6-63AED5561BFF}" destId="{FACC9D71-A04C-4501-9356-EDD114D85278}" srcOrd="0" destOrd="0" parTransId="{5959721C-8CFD-4B88-84FF-49D82FDBC342}" sibTransId="{1380F754-1A74-417E-B0C6-9B4DD6DFCC70}"/>
    <dgm:cxn modelId="{2DB9F075-4D03-4BF2-80E0-9D01F2786554}" type="presOf" srcId="{CD9D501E-E951-486F-ABB2-D69066077102}" destId="{83C6751B-3D94-42FB-BD69-9A11F5FF6579}" srcOrd="0" destOrd="0" presId="urn:microsoft.com/office/officeart/2005/8/layout/process4"/>
    <dgm:cxn modelId="{D82E8B8E-1F60-45E8-9857-9C2D38249032}" srcId="{19D86033-E314-4ECE-9A74-DC3E0B0417E8}" destId="{5F0F079C-3BF1-48F6-8D45-8C3454F54F19}" srcOrd="0" destOrd="0" parTransId="{7CA070C9-2FC5-477A-A218-5F427971A069}" sibTransId="{EA0AA15C-9149-4CF9-807F-939766E10CDB}"/>
    <dgm:cxn modelId="{EA27CA21-B3E7-4BD1-BC37-1F1DD1175F45}" srcId="{81D4A962-3310-459E-9B1C-DC2A8AA98040}" destId="{CEBAD458-84EB-4708-AC0D-E62D9F3399F0}" srcOrd="1" destOrd="0" parTransId="{85E60BF4-442B-473A-8A77-C91B2EE802B2}" sibTransId="{1FDB4FF5-8A4D-4F67-BD3D-4B9008F808AA}"/>
    <dgm:cxn modelId="{8553C32D-C484-4AD1-BF8E-E9E7B3E0A9E1}" type="presOf" srcId="{CEBAD458-84EB-4708-AC0D-E62D9F3399F0}" destId="{5F371C93-3441-4A55-B5E2-191C983B7E08}" srcOrd="0" destOrd="0" presId="urn:microsoft.com/office/officeart/2005/8/layout/process4"/>
    <dgm:cxn modelId="{B1E5644C-C8D8-4720-9404-A5C8CCF230FD}" type="presOf" srcId="{E71130A3-BEC9-4C40-BC78-C6B22488DF3F}" destId="{750B1231-E3FA-4C62-BA59-EDE60C42E921}" srcOrd="0" destOrd="0" presId="urn:microsoft.com/office/officeart/2005/8/layout/process4"/>
    <dgm:cxn modelId="{044C9701-23F3-46B2-AAEA-D999287D44ED}" type="presOf" srcId="{7720C4E8-8227-4B40-86BE-A94F82D26F7D}" destId="{5621F436-D218-4ADE-B84D-75A98AC25933}" srcOrd="0" destOrd="0" presId="urn:microsoft.com/office/officeart/2005/8/layout/process4"/>
    <dgm:cxn modelId="{C49C2B9E-3846-44A4-BFD9-EC7113364ABD}" srcId="{7F8612A2-0217-4C28-85A6-63AED5561BFF}" destId="{7720C4E8-8227-4B40-86BE-A94F82D26F7D}" srcOrd="1" destOrd="0" parTransId="{417A5239-6D99-4691-BA5B-A270860CD84A}" sibTransId="{CE2BF6EC-8619-4A2C-AE86-1C66BE1E98CF}"/>
    <dgm:cxn modelId="{202839BB-D4FA-417D-B191-B0900F8E5288}" type="presOf" srcId="{7F8612A2-0217-4C28-85A6-63AED5561BFF}" destId="{1A481332-A3DB-4F89-B272-65B3BE559FF9}" srcOrd="1" destOrd="0" presId="urn:microsoft.com/office/officeart/2005/8/layout/process4"/>
    <dgm:cxn modelId="{E3B63569-A65A-47B6-99B7-28C5C49AC0D4}" type="presParOf" srcId="{256ABDD9-D660-473E-8FEF-7F83B553675C}" destId="{8D3C08E9-350B-4746-86BF-D8F600868452}" srcOrd="0" destOrd="0" presId="urn:microsoft.com/office/officeart/2005/8/layout/process4"/>
    <dgm:cxn modelId="{667B3CD2-DF50-49DB-90C3-56CD58C9ABA1}" type="presParOf" srcId="{8D3C08E9-350B-4746-86BF-D8F600868452}" destId="{83C6751B-3D94-42FB-BD69-9A11F5FF6579}" srcOrd="0" destOrd="0" presId="urn:microsoft.com/office/officeart/2005/8/layout/process4"/>
    <dgm:cxn modelId="{9EC988AE-6633-4F53-BCD9-2CA791E0C8FE}" type="presParOf" srcId="{8D3C08E9-350B-4746-86BF-D8F600868452}" destId="{0359A990-D324-44DE-AAC1-D8355ECC6FC2}" srcOrd="1" destOrd="0" presId="urn:microsoft.com/office/officeart/2005/8/layout/process4"/>
    <dgm:cxn modelId="{D65DD5C6-096F-4B70-A443-B22868C5F5FC}" type="presParOf" srcId="{8D3C08E9-350B-4746-86BF-D8F600868452}" destId="{CF06DA5B-97AA-4EE1-A5E0-DC148090DF46}" srcOrd="2" destOrd="0" presId="urn:microsoft.com/office/officeart/2005/8/layout/process4"/>
    <dgm:cxn modelId="{A958FBC9-0511-4C1B-A0C3-7F435FDAA123}" type="presParOf" srcId="{CF06DA5B-97AA-4EE1-A5E0-DC148090DF46}" destId="{750B1231-E3FA-4C62-BA59-EDE60C42E921}" srcOrd="0" destOrd="0" presId="urn:microsoft.com/office/officeart/2005/8/layout/process4"/>
    <dgm:cxn modelId="{59423519-2E64-4CFF-93D0-2499AE65EB47}" type="presParOf" srcId="{256ABDD9-D660-473E-8FEF-7F83B553675C}" destId="{74B1481A-2A23-48C8-BA5F-A554E5D8AE33}" srcOrd="1" destOrd="0" presId="urn:microsoft.com/office/officeart/2005/8/layout/process4"/>
    <dgm:cxn modelId="{B02F831B-89E9-4AEB-8646-A36805253E8B}" type="presParOf" srcId="{256ABDD9-D660-473E-8FEF-7F83B553675C}" destId="{B12D2C86-46BE-48AC-B25F-B790FC7EBD94}" srcOrd="2" destOrd="0" presId="urn:microsoft.com/office/officeart/2005/8/layout/process4"/>
    <dgm:cxn modelId="{21EBDC9A-2FAA-4667-AE5A-DB0AC8E57F6D}" type="presParOf" srcId="{B12D2C86-46BE-48AC-B25F-B790FC7EBD94}" destId="{9E508069-1D06-486B-99E2-C37029692E16}" srcOrd="0" destOrd="0" presId="urn:microsoft.com/office/officeart/2005/8/layout/process4"/>
    <dgm:cxn modelId="{005960E1-0230-4B6B-9379-E1212DCB70C6}" type="presParOf" srcId="{B12D2C86-46BE-48AC-B25F-B790FC7EBD94}" destId="{9FC4B804-5F3C-4108-A2D0-EB66E561ED72}" srcOrd="1" destOrd="0" presId="urn:microsoft.com/office/officeart/2005/8/layout/process4"/>
    <dgm:cxn modelId="{54D82758-B24B-43C8-908A-D66F316AB4D3}" type="presParOf" srcId="{B12D2C86-46BE-48AC-B25F-B790FC7EBD94}" destId="{F71FA166-D5BB-4545-956E-CE803FF06ED6}" srcOrd="2" destOrd="0" presId="urn:microsoft.com/office/officeart/2005/8/layout/process4"/>
    <dgm:cxn modelId="{73F78FDF-E005-482D-A7BF-8CEBEF7C7250}" type="presParOf" srcId="{F71FA166-D5BB-4545-956E-CE803FF06ED6}" destId="{39DBB761-3F1F-4A46-863B-09DE4353CEA6}" srcOrd="0" destOrd="0" presId="urn:microsoft.com/office/officeart/2005/8/layout/process4"/>
    <dgm:cxn modelId="{F18B131E-82BE-4B4B-9560-58A7D90CFDEA}" type="presParOf" srcId="{F71FA166-D5BB-4545-956E-CE803FF06ED6}" destId="{4D4F999B-03A1-4964-82F1-0EBD32100377}" srcOrd="1" destOrd="0" presId="urn:microsoft.com/office/officeart/2005/8/layout/process4"/>
    <dgm:cxn modelId="{E2B54EF3-3DB0-4B24-9431-7822FFA46AC0}" type="presParOf" srcId="{256ABDD9-D660-473E-8FEF-7F83B553675C}" destId="{5C470629-82AE-4B63-A220-FAFC7C6B67C3}" srcOrd="3" destOrd="0" presId="urn:microsoft.com/office/officeart/2005/8/layout/process4"/>
    <dgm:cxn modelId="{679DDA5C-5F69-444E-93A8-43FDFE456435}" type="presParOf" srcId="{256ABDD9-D660-473E-8FEF-7F83B553675C}" destId="{B9A5B20A-8372-4571-9228-D37CB657C49B}" srcOrd="4" destOrd="0" presId="urn:microsoft.com/office/officeart/2005/8/layout/process4"/>
    <dgm:cxn modelId="{7E673BA7-A1BE-42C9-BEA6-5DB973F136FC}" type="presParOf" srcId="{B9A5B20A-8372-4571-9228-D37CB657C49B}" destId="{5F371C93-3441-4A55-B5E2-191C983B7E08}" srcOrd="0" destOrd="0" presId="urn:microsoft.com/office/officeart/2005/8/layout/process4"/>
    <dgm:cxn modelId="{C9EC9F1E-8FBF-4162-9BE8-7DD5230971DB}" type="presParOf" srcId="{B9A5B20A-8372-4571-9228-D37CB657C49B}" destId="{15A20E17-C70F-42E7-A165-E1C923F02F5D}" srcOrd="1" destOrd="0" presId="urn:microsoft.com/office/officeart/2005/8/layout/process4"/>
    <dgm:cxn modelId="{1C3DA8B1-DD73-496F-A5B7-FFC11947BA93}" type="presParOf" srcId="{B9A5B20A-8372-4571-9228-D37CB657C49B}" destId="{FC80FE6C-6D14-4817-A23D-06C239D69CDE}" srcOrd="2" destOrd="0" presId="urn:microsoft.com/office/officeart/2005/8/layout/process4"/>
    <dgm:cxn modelId="{28C5354B-A245-48AC-AD09-20EC3559F8F5}" type="presParOf" srcId="{FC80FE6C-6D14-4817-A23D-06C239D69CDE}" destId="{ACBA2889-4196-4908-BD48-4E85A9618CF3}" srcOrd="0" destOrd="0" presId="urn:microsoft.com/office/officeart/2005/8/layout/process4"/>
    <dgm:cxn modelId="{907C0858-C905-4356-A629-C76B106611F7}" type="presParOf" srcId="{FC80FE6C-6D14-4817-A23D-06C239D69CDE}" destId="{704B6CEA-3CCA-4D17-AF1A-093D2600C174}" srcOrd="1" destOrd="0" presId="urn:microsoft.com/office/officeart/2005/8/layout/process4"/>
    <dgm:cxn modelId="{A80C9ED1-A041-4402-A1CB-A401B11A6353}" type="presParOf" srcId="{256ABDD9-D660-473E-8FEF-7F83B553675C}" destId="{552DC790-CF86-41E8-964D-4E9C21697B4A}" srcOrd="5" destOrd="0" presId="urn:microsoft.com/office/officeart/2005/8/layout/process4"/>
    <dgm:cxn modelId="{6E22B531-04A1-4405-B834-DFCE83C1379C}" type="presParOf" srcId="{256ABDD9-D660-473E-8FEF-7F83B553675C}" destId="{F4E20CF1-338A-428B-9F61-5FDA94253E91}" srcOrd="6" destOrd="0" presId="urn:microsoft.com/office/officeart/2005/8/layout/process4"/>
    <dgm:cxn modelId="{414DB538-5725-4465-91BE-49DD28DF2024}" type="presParOf" srcId="{F4E20CF1-338A-428B-9F61-5FDA94253E91}" destId="{78256F63-290E-430F-A2C1-141C1838AE73}" srcOrd="0" destOrd="0" presId="urn:microsoft.com/office/officeart/2005/8/layout/process4"/>
    <dgm:cxn modelId="{42163F8C-7691-40CC-A6AA-B7C467827AF1}" type="presParOf" srcId="{F4E20CF1-338A-428B-9F61-5FDA94253E91}" destId="{1A481332-A3DB-4F89-B272-65B3BE559FF9}" srcOrd="1" destOrd="0" presId="urn:microsoft.com/office/officeart/2005/8/layout/process4"/>
    <dgm:cxn modelId="{1325C664-011C-4B9C-8887-BACFD79D9E8F}" type="presParOf" srcId="{F4E20CF1-338A-428B-9F61-5FDA94253E91}" destId="{E9109CB6-C0C6-4591-8444-7DD252EB67E9}" srcOrd="2" destOrd="0" presId="urn:microsoft.com/office/officeart/2005/8/layout/process4"/>
    <dgm:cxn modelId="{BCE4E015-4CA7-450A-A93C-9EC27F42E118}" type="presParOf" srcId="{E9109CB6-C0C6-4591-8444-7DD252EB67E9}" destId="{EB4CA1F5-8B1F-4CB4-B295-850FC5A89C92}" srcOrd="0" destOrd="0" presId="urn:microsoft.com/office/officeart/2005/8/layout/process4"/>
    <dgm:cxn modelId="{22F6D3CB-158E-4422-92B6-359078D96708}" type="presParOf" srcId="{E9109CB6-C0C6-4591-8444-7DD252EB67E9}" destId="{5621F436-D218-4ADE-B84D-75A98AC25933}" srcOrd="1" destOrd="0" presId="urn:microsoft.com/office/officeart/2005/8/layout/process4"/>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A00545-41F7-4593-9372-45326E2DDCEE}">
      <dsp:nvSpPr>
        <dsp:cNvPr id="0" name=""/>
        <dsp:cNvSpPr/>
      </dsp:nvSpPr>
      <dsp:spPr>
        <a:xfrm>
          <a:off x="228221" y="126012"/>
          <a:ext cx="5624317" cy="818816"/>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29987" numCol="1" spcCol="1270" anchor="ctr" anchorCtr="0">
          <a:noAutofit/>
        </a:bodyPr>
        <a:lstStyle/>
        <a:p>
          <a:pPr lvl="0" algn="l" defTabSz="533400">
            <a:lnSpc>
              <a:spcPct val="90000"/>
            </a:lnSpc>
            <a:spcBef>
              <a:spcPct val="0"/>
            </a:spcBef>
            <a:spcAft>
              <a:spcPct val="35000"/>
            </a:spcAft>
          </a:pPr>
          <a:r>
            <a:rPr lang="ro-RO" sz="1200" b="1" kern="1200">
              <a:latin typeface="Calibri Light" panose="020F0302020204030204"/>
              <a:ea typeface="+mn-ea"/>
              <a:cs typeface="+mn-cs"/>
            </a:rPr>
            <a:t>MMPS</a:t>
          </a:r>
          <a:endParaRPr lang="ro-RO" sz="1200" kern="1200">
            <a:latin typeface="Calibri Light" panose="020F0302020204030204"/>
            <a:ea typeface="+mn-ea"/>
            <a:cs typeface="+mn-cs"/>
          </a:endParaRPr>
        </a:p>
      </dsp:txBody>
      <dsp:txXfrm>
        <a:off x="228221" y="330716"/>
        <a:ext cx="5419613" cy="409408"/>
      </dsp:txXfrm>
    </dsp:sp>
    <dsp:sp modelId="{B01A5F28-BAAF-4886-8469-DA6D3574A2D3}">
      <dsp:nvSpPr>
        <dsp:cNvPr id="0" name=""/>
        <dsp:cNvSpPr/>
      </dsp:nvSpPr>
      <dsp:spPr>
        <a:xfrm>
          <a:off x="243207" y="751162"/>
          <a:ext cx="1296405" cy="855349"/>
        </a:xfrm>
        <a:prstGeom prst="re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pPr>
          <a:r>
            <a:rPr lang="ro-RO" sz="1200" kern="1200">
              <a:latin typeface="Calibri Light" panose="020F0302020204030204"/>
              <a:ea typeface="+mn-ea"/>
              <a:cs typeface="+mn-cs"/>
            </a:rPr>
            <a:t>asigură elaborarea politicililor și monitorizarea realizării acestora</a:t>
          </a:r>
          <a:endParaRPr lang="en-US" sz="1200" kern="1200"/>
        </a:p>
      </dsp:txBody>
      <dsp:txXfrm>
        <a:off x="243207" y="751162"/>
        <a:ext cx="1296405" cy="855349"/>
      </dsp:txXfrm>
    </dsp:sp>
    <dsp:sp modelId="{20622221-4A46-4D0F-8E2D-57BE92B782F5}">
      <dsp:nvSpPr>
        <dsp:cNvPr id="0" name=""/>
        <dsp:cNvSpPr/>
      </dsp:nvSpPr>
      <dsp:spPr>
        <a:xfrm>
          <a:off x="1524626" y="398854"/>
          <a:ext cx="4327912" cy="818816"/>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29987" numCol="1" spcCol="1270" anchor="ctr" anchorCtr="0">
          <a:noAutofit/>
        </a:bodyPr>
        <a:lstStyle/>
        <a:p>
          <a:pPr lvl="0" algn="l" defTabSz="533400">
            <a:lnSpc>
              <a:spcPct val="90000"/>
            </a:lnSpc>
            <a:spcBef>
              <a:spcPct val="0"/>
            </a:spcBef>
            <a:spcAft>
              <a:spcPct val="35000"/>
            </a:spcAft>
          </a:pPr>
          <a:r>
            <a:rPr lang="ro-MD" sz="1200" b="1" kern="1200">
              <a:latin typeface="Calibri Light" panose="020F0302020204030204"/>
              <a:ea typeface="+mn-ea"/>
              <a:cs typeface="+mn-cs"/>
            </a:rPr>
            <a:t>Structurile teritoriale de asistență socială</a:t>
          </a:r>
          <a:endParaRPr lang="en-US" sz="1200" b="1" kern="1200">
            <a:latin typeface="Calibri Light" panose="020F0302020204030204"/>
            <a:ea typeface="+mn-ea"/>
            <a:cs typeface="+mn-cs"/>
          </a:endParaRPr>
        </a:p>
      </dsp:txBody>
      <dsp:txXfrm>
        <a:off x="1524626" y="603558"/>
        <a:ext cx="4123208" cy="409408"/>
      </dsp:txXfrm>
    </dsp:sp>
    <dsp:sp modelId="{9FF0DBFA-0EDC-42E4-A280-9AAF68D27AC9}">
      <dsp:nvSpPr>
        <dsp:cNvPr id="0" name=""/>
        <dsp:cNvSpPr/>
      </dsp:nvSpPr>
      <dsp:spPr>
        <a:xfrm>
          <a:off x="1554599" y="1025947"/>
          <a:ext cx="1296405" cy="1007696"/>
        </a:xfrm>
        <a:prstGeom prst="re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pPr>
          <a:r>
            <a:rPr lang="ro-MD" sz="1200" kern="1200">
              <a:latin typeface="Calibri Light" panose="020F0302020204030204"/>
              <a:ea typeface="+mn-ea"/>
              <a:cs typeface="+mn-cs"/>
            </a:rPr>
            <a:t>acordă d</a:t>
          </a:r>
          <a:r>
            <a:rPr lang="ro-RO" sz="1200" kern="1200">
              <a:latin typeface="Calibri Light" panose="020F0302020204030204"/>
              <a:ea typeface="+mn-ea"/>
              <a:cs typeface="+mn-cs"/>
            </a:rPr>
            <a:t>reptul la ajutor social și/sau ajutor pentru perioada rece a anului </a:t>
          </a:r>
          <a:endParaRPr lang="en-US" sz="1200" kern="1200"/>
        </a:p>
      </dsp:txBody>
      <dsp:txXfrm>
        <a:off x="1554599" y="1025947"/>
        <a:ext cx="1296405" cy="1007696"/>
      </dsp:txXfrm>
    </dsp:sp>
    <dsp:sp modelId="{FCB46132-532E-40FA-AF02-AB4574354C3F}">
      <dsp:nvSpPr>
        <dsp:cNvPr id="0" name=""/>
        <dsp:cNvSpPr/>
      </dsp:nvSpPr>
      <dsp:spPr>
        <a:xfrm>
          <a:off x="2821031" y="671696"/>
          <a:ext cx="3031507" cy="818816"/>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29987" numCol="1" spcCol="1270" anchor="ctr" anchorCtr="0">
          <a:noAutofit/>
        </a:bodyPr>
        <a:lstStyle/>
        <a:p>
          <a:pPr lvl="0" algn="ctr" defTabSz="533400">
            <a:lnSpc>
              <a:spcPct val="90000"/>
            </a:lnSpc>
            <a:spcBef>
              <a:spcPct val="0"/>
            </a:spcBef>
            <a:spcAft>
              <a:spcPct val="35000"/>
            </a:spcAft>
          </a:pPr>
          <a:r>
            <a:rPr lang="en-US" sz="1200" b="1" kern="1200">
              <a:latin typeface="Calibri Light" panose="020F0302020204030204"/>
              <a:ea typeface="+mn-ea"/>
              <a:cs typeface="+mn-cs"/>
            </a:rPr>
            <a:t>CNAS</a:t>
          </a:r>
          <a:endParaRPr lang="ro-MD" sz="1200" b="1" kern="1200">
            <a:latin typeface="Calibri Light" panose="020F0302020204030204"/>
            <a:ea typeface="+mn-ea"/>
            <a:cs typeface="+mn-cs"/>
          </a:endParaRPr>
        </a:p>
      </dsp:txBody>
      <dsp:txXfrm>
        <a:off x="2821031" y="876400"/>
        <a:ext cx="2826803" cy="409408"/>
      </dsp:txXfrm>
    </dsp:sp>
    <dsp:sp modelId="{C8EF9322-541C-410C-964E-34A511D87D5F}">
      <dsp:nvSpPr>
        <dsp:cNvPr id="0" name=""/>
        <dsp:cNvSpPr/>
      </dsp:nvSpPr>
      <dsp:spPr>
        <a:xfrm>
          <a:off x="2843511" y="1276412"/>
          <a:ext cx="1296405" cy="1107312"/>
        </a:xfrm>
        <a:prstGeom prst="re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pPr>
          <a:endParaRPr lang="ro-RO" sz="1200" kern="1200">
            <a:latin typeface="Calibri Light" panose="020F0302020204030204"/>
            <a:ea typeface="+mn-ea"/>
            <a:cs typeface="+mn-cs"/>
          </a:endParaRPr>
        </a:p>
        <a:p>
          <a:pPr lvl="0" algn="ctr" defTabSz="533400">
            <a:lnSpc>
              <a:spcPct val="90000"/>
            </a:lnSpc>
            <a:spcBef>
              <a:spcPct val="0"/>
            </a:spcBef>
            <a:spcAft>
              <a:spcPct val="35000"/>
            </a:spcAft>
          </a:pPr>
          <a:r>
            <a:rPr lang="ro-RO" sz="1200" kern="1200">
              <a:latin typeface="Calibri Light" panose="020F0302020204030204"/>
              <a:ea typeface="+mn-ea"/>
              <a:cs typeface="+mn-cs"/>
            </a:rPr>
            <a:t>asigură plata prin intermediul MPay</a:t>
          </a:r>
          <a:endParaRPr lang="en-US" sz="1200" kern="1200"/>
        </a:p>
      </dsp:txBody>
      <dsp:txXfrm>
        <a:off x="2843511" y="1276412"/>
        <a:ext cx="1296405" cy="1107312"/>
      </dsp:txXfrm>
    </dsp:sp>
    <dsp:sp modelId="{B301ACB3-4791-4AC6-9E50-119E7BFF2A2C}">
      <dsp:nvSpPr>
        <dsp:cNvPr id="0" name=""/>
        <dsp:cNvSpPr/>
      </dsp:nvSpPr>
      <dsp:spPr>
        <a:xfrm>
          <a:off x="4117436" y="944538"/>
          <a:ext cx="1735101" cy="818816"/>
        </a:xfrm>
        <a:prstGeom prst="rightArrow">
          <a:avLst>
            <a:gd name="adj1" fmla="val 50000"/>
            <a:gd name="adj2" fmla="val 5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254000" bIns="129987" numCol="1" spcCol="1270" anchor="ctr" anchorCtr="0">
          <a:noAutofit/>
        </a:bodyPr>
        <a:lstStyle/>
        <a:p>
          <a:pPr lvl="0" algn="ctr" defTabSz="533400">
            <a:lnSpc>
              <a:spcPct val="90000"/>
            </a:lnSpc>
            <a:spcBef>
              <a:spcPct val="0"/>
            </a:spcBef>
            <a:spcAft>
              <a:spcPct val="35000"/>
            </a:spcAft>
          </a:pPr>
          <a:r>
            <a:rPr lang="en-US" sz="1200" b="1" kern="1200">
              <a:latin typeface="Calibri Light" panose="020F0302020204030204"/>
              <a:ea typeface="+mn-ea"/>
              <a:cs typeface="+mn-cs"/>
            </a:rPr>
            <a:t>Inspec</a:t>
          </a:r>
          <a:r>
            <a:rPr lang="ro-MD" sz="1200" b="1" kern="1200">
              <a:latin typeface="Calibri Light" panose="020F0302020204030204"/>
              <a:ea typeface="+mn-ea"/>
              <a:cs typeface="+mn-cs"/>
            </a:rPr>
            <a:t>ț</a:t>
          </a:r>
          <a:r>
            <a:rPr lang="en-US" sz="1200" b="1" kern="1200">
              <a:latin typeface="Calibri Light" panose="020F0302020204030204"/>
              <a:ea typeface="+mn-ea"/>
              <a:cs typeface="+mn-cs"/>
            </a:rPr>
            <a:t>ia</a:t>
          </a:r>
          <a:r>
            <a:rPr lang="ro-MD" sz="1200" b="1" kern="1200">
              <a:latin typeface="Calibri Light" panose="020F0302020204030204"/>
              <a:ea typeface="+mn-ea"/>
              <a:cs typeface="+mn-cs"/>
            </a:rPr>
            <a:t> Socială</a:t>
          </a:r>
          <a:r>
            <a:rPr lang="en-US" sz="1200" b="1" kern="1200">
              <a:latin typeface="Calibri Light" panose="020F0302020204030204"/>
              <a:ea typeface="+mn-ea"/>
              <a:cs typeface="+mn-cs"/>
            </a:rPr>
            <a:t> </a:t>
          </a:r>
          <a:endParaRPr lang="ro-MD" sz="1200" b="1" kern="1200">
            <a:latin typeface="Calibri Light" panose="020F0302020204030204"/>
            <a:ea typeface="+mn-ea"/>
            <a:cs typeface="+mn-cs"/>
          </a:endParaRPr>
        </a:p>
      </dsp:txBody>
      <dsp:txXfrm>
        <a:off x="4117436" y="1149242"/>
        <a:ext cx="1530397" cy="409408"/>
      </dsp:txXfrm>
    </dsp:sp>
    <dsp:sp modelId="{637361B5-CC21-4B82-98D0-41254F571A0C}">
      <dsp:nvSpPr>
        <dsp:cNvPr id="0" name=""/>
        <dsp:cNvSpPr/>
      </dsp:nvSpPr>
      <dsp:spPr>
        <a:xfrm>
          <a:off x="4139925" y="1559591"/>
          <a:ext cx="1308216" cy="1104071"/>
        </a:xfrm>
        <a:prstGeom prst="rect">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ctr" defTabSz="533400">
            <a:lnSpc>
              <a:spcPct val="90000"/>
            </a:lnSpc>
            <a:spcBef>
              <a:spcPct val="0"/>
            </a:spcBef>
            <a:spcAft>
              <a:spcPct val="35000"/>
            </a:spcAft>
          </a:pPr>
          <a:r>
            <a:rPr lang="ro-RO" sz="1200" kern="1200">
              <a:latin typeface="Calibri Light" panose="020F0302020204030204"/>
              <a:ea typeface="+mn-ea"/>
              <a:cs typeface="+mn-cs"/>
            </a:rPr>
            <a:t>efectuează verificarea modului de aplicare corectă şi unitară a cadrului regulamentar </a:t>
          </a:r>
          <a:endParaRPr lang="en-US" sz="1200" kern="1200"/>
        </a:p>
      </dsp:txBody>
      <dsp:txXfrm>
        <a:off x="4139925" y="1559591"/>
        <a:ext cx="1308216" cy="110407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8AF976-C5C1-434D-A731-F4D7CFA41E8D}">
      <dsp:nvSpPr>
        <dsp:cNvPr id="0" name=""/>
        <dsp:cNvSpPr/>
      </dsp:nvSpPr>
      <dsp:spPr>
        <a:xfrm>
          <a:off x="695" y="233042"/>
          <a:ext cx="1747751" cy="674632"/>
        </a:xfrm>
        <a:prstGeom prst="chevron">
          <a:avLst>
            <a:gd name="adj" fmla="val 40000"/>
          </a:avLst>
        </a:prstGeom>
        <a:solidFill>
          <a:schemeClr val="accent3">
            <a:alpha val="9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6DC6D2-0371-4F8F-AED4-66B576637885}">
      <dsp:nvSpPr>
        <dsp:cNvPr id="0" name=""/>
        <dsp:cNvSpPr/>
      </dsp:nvSpPr>
      <dsp:spPr>
        <a:xfrm>
          <a:off x="466762" y="354715"/>
          <a:ext cx="1475879" cy="768601"/>
        </a:xfrm>
        <a:prstGeom prst="roundRect">
          <a:avLst>
            <a:gd name="adj" fmla="val 10000"/>
          </a:avLst>
        </a:prstGeom>
        <a:solidFill>
          <a:schemeClr val="lt1">
            <a:alpha val="90000"/>
            <a:hueOff val="0"/>
            <a:satOff val="0"/>
            <a:lumOff val="0"/>
            <a:alphaOff val="0"/>
          </a:schemeClr>
        </a:solidFill>
        <a:ln w="12700" cap="flat" cmpd="sng" algn="ctr">
          <a:solidFill>
            <a:schemeClr val="accent3">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o-MD" sz="1200" b="1" kern="1200">
              <a:latin typeface="+mj-lt"/>
              <a:cs typeface="Times New Roman" panose="02020603050405020304" pitchFamily="18" charset="0"/>
            </a:rPr>
            <a:t>Agenția Servicii Pubice </a:t>
          </a:r>
        </a:p>
        <a:p>
          <a:pPr lvl="0" algn="ctr" defTabSz="533400">
            <a:lnSpc>
              <a:spcPct val="90000"/>
            </a:lnSpc>
            <a:spcBef>
              <a:spcPct val="0"/>
            </a:spcBef>
            <a:spcAft>
              <a:spcPct val="35000"/>
            </a:spcAft>
          </a:pPr>
          <a:r>
            <a:rPr lang="ro-MD" sz="1200" b="1" kern="1200">
              <a:latin typeface="+mj-lt"/>
              <a:cs typeface="Times New Roman" panose="02020603050405020304" pitchFamily="18" charset="0"/>
            </a:rPr>
            <a:t>Registrul de Stat al Populației</a:t>
          </a:r>
          <a:endParaRPr lang="en-US" sz="1200" b="1" kern="1200">
            <a:latin typeface="+mj-lt"/>
            <a:cs typeface="Times New Roman" panose="02020603050405020304" pitchFamily="18" charset="0"/>
          </a:endParaRPr>
        </a:p>
      </dsp:txBody>
      <dsp:txXfrm>
        <a:off x="489274" y="377227"/>
        <a:ext cx="1430855" cy="723577"/>
      </dsp:txXfrm>
    </dsp:sp>
    <dsp:sp modelId="{FBDC80B0-9ACB-426C-AC95-C09845C7C3CA}">
      <dsp:nvSpPr>
        <dsp:cNvPr id="0" name=""/>
        <dsp:cNvSpPr/>
      </dsp:nvSpPr>
      <dsp:spPr>
        <a:xfrm>
          <a:off x="1997016" y="256534"/>
          <a:ext cx="1747751" cy="674632"/>
        </a:xfrm>
        <a:prstGeom prst="chevron">
          <a:avLst>
            <a:gd name="adj" fmla="val 40000"/>
          </a:avLst>
        </a:prstGeom>
        <a:solidFill>
          <a:schemeClr val="accent3">
            <a:alpha val="90000"/>
            <a:hueOff val="0"/>
            <a:satOff val="0"/>
            <a:lumOff val="0"/>
            <a:alphaOff val="-2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8F2EE3-2BDA-4CD8-B480-13C6FE39E335}">
      <dsp:nvSpPr>
        <dsp:cNvPr id="0" name=""/>
        <dsp:cNvSpPr/>
      </dsp:nvSpPr>
      <dsp:spPr>
        <a:xfrm>
          <a:off x="2463083" y="425192"/>
          <a:ext cx="1475879" cy="674632"/>
        </a:xfrm>
        <a:prstGeom prst="roundRect">
          <a:avLst>
            <a:gd name="adj" fmla="val 10000"/>
          </a:avLst>
        </a:prstGeom>
        <a:solidFill>
          <a:schemeClr val="lt1">
            <a:alpha val="90000"/>
            <a:hueOff val="0"/>
            <a:satOff val="0"/>
            <a:lumOff val="0"/>
            <a:alphaOff val="0"/>
          </a:schemeClr>
        </a:solidFill>
        <a:ln w="12700" cap="flat" cmpd="sng" algn="ctr">
          <a:solidFill>
            <a:schemeClr val="accent3">
              <a:alpha val="90000"/>
              <a:hueOff val="0"/>
              <a:satOff val="0"/>
              <a:lumOff val="0"/>
              <a:alphaOff val="-2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o-RO" sz="1200" b="1" u="none" kern="1200">
              <a:latin typeface="+mj-lt"/>
              <a:cs typeface="Times New Roman" panose="02020603050405020304" pitchFamily="18" charset="0"/>
            </a:rPr>
            <a:t>Agenția de Guvernare Electronică</a:t>
          </a:r>
          <a:endParaRPr lang="en-US" sz="1200" b="1" u="none" kern="1200">
            <a:latin typeface="+mj-lt"/>
            <a:cs typeface="Times New Roman" panose="02020603050405020304" pitchFamily="18" charset="0"/>
          </a:endParaRPr>
        </a:p>
      </dsp:txBody>
      <dsp:txXfrm>
        <a:off x="2482842" y="444951"/>
        <a:ext cx="1436361" cy="635114"/>
      </dsp:txXfrm>
    </dsp:sp>
    <dsp:sp modelId="{80810472-4F83-4D51-9B5A-673B9DC77DBB}">
      <dsp:nvSpPr>
        <dsp:cNvPr id="0" name=""/>
        <dsp:cNvSpPr/>
      </dsp:nvSpPr>
      <dsp:spPr>
        <a:xfrm>
          <a:off x="3993337" y="256534"/>
          <a:ext cx="1747751" cy="674632"/>
        </a:xfrm>
        <a:prstGeom prst="chevron">
          <a:avLst>
            <a:gd name="adj" fmla="val 40000"/>
          </a:avLst>
        </a:prstGeom>
        <a:solidFill>
          <a:schemeClr val="accent3">
            <a:alpha val="90000"/>
            <a:hueOff val="0"/>
            <a:satOff val="0"/>
            <a:lumOff val="0"/>
            <a:alpha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291C61-22B2-4116-A94D-F59DD858624D}">
      <dsp:nvSpPr>
        <dsp:cNvPr id="0" name=""/>
        <dsp:cNvSpPr/>
      </dsp:nvSpPr>
      <dsp:spPr>
        <a:xfrm>
          <a:off x="4459404" y="425192"/>
          <a:ext cx="1475879" cy="674632"/>
        </a:xfrm>
        <a:prstGeom prst="roundRect">
          <a:avLst>
            <a:gd name="adj" fmla="val 10000"/>
          </a:avLst>
        </a:prstGeom>
        <a:solidFill>
          <a:schemeClr val="lt1">
            <a:alpha val="90000"/>
            <a:hueOff val="0"/>
            <a:satOff val="0"/>
            <a:lumOff val="0"/>
            <a:alphaOff val="0"/>
          </a:schemeClr>
        </a:solidFill>
        <a:ln w="12700" cap="flat" cmpd="sng" algn="ctr">
          <a:solidFill>
            <a:schemeClr val="accent3">
              <a:alpha val="90000"/>
              <a:hueOff val="0"/>
              <a:satOff val="0"/>
              <a:lumOff val="0"/>
              <a:alphaOff val="-4000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ro-MD" sz="1200" b="1" u="none" kern="1200">
              <a:latin typeface="+mj-lt"/>
              <a:cs typeface="Times New Roman" panose="02020603050405020304" pitchFamily="18" charset="0"/>
            </a:rPr>
            <a:t>Casa Națională de Asigurări Sociale</a:t>
          </a:r>
          <a:endParaRPr lang="en-US" sz="1200" b="1" u="none" kern="1200">
            <a:latin typeface="+mj-lt"/>
            <a:cs typeface="Times New Roman" panose="02020603050405020304" pitchFamily="18" charset="0"/>
          </a:endParaRPr>
        </a:p>
      </dsp:txBody>
      <dsp:txXfrm>
        <a:off x="4479163" y="444951"/>
        <a:ext cx="1436361" cy="63511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2A80C9-E4DC-4209-B59E-E3776A534615}">
      <dsp:nvSpPr>
        <dsp:cNvPr id="0" name=""/>
        <dsp:cNvSpPr/>
      </dsp:nvSpPr>
      <dsp:spPr>
        <a:xfrm rot="5400000">
          <a:off x="4306002" y="-1868515"/>
          <a:ext cx="403979" cy="424281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41910" rIns="83820" bIns="41910"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mj-lt"/>
            </a:rPr>
            <a:t>elaborează și aprobă formularul de solicitare a indemnizației pentru șomaj tehnic din bugetul de stat acordate conform prevederilor</a:t>
          </a:r>
        </a:p>
      </dsp:txBody>
      <dsp:txXfrm rot="-5400000">
        <a:off x="2386584" y="70624"/>
        <a:ext cx="4223095" cy="364537"/>
      </dsp:txXfrm>
    </dsp:sp>
    <dsp:sp modelId="{4DDC3D5A-88CD-4F47-B80F-45665784F74D}">
      <dsp:nvSpPr>
        <dsp:cNvPr id="0" name=""/>
        <dsp:cNvSpPr/>
      </dsp:nvSpPr>
      <dsp:spPr>
        <a:xfrm>
          <a:off x="0" y="405"/>
          <a:ext cx="2386584" cy="504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kern="1200">
              <a:latin typeface="+mj-lt"/>
            </a:rPr>
            <a:t>Ministerul Muncii și Protecției Sociale </a:t>
          </a:r>
        </a:p>
      </dsp:txBody>
      <dsp:txXfrm>
        <a:off x="24651" y="25056"/>
        <a:ext cx="2337282" cy="455671"/>
      </dsp:txXfrm>
    </dsp:sp>
    <dsp:sp modelId="{4F76F6C9-33E4-41AC-BC08-5629980E5FC6}">
      <dsp:nvSpPr>
        <dsp:cNvPr id="0" name=""/>
        <dsp:cNvSpPr/>
      </dsp:nvSpPr>
      <dsp:spPr>
        <a:xfrm rot="5400000">
          <a:off x="4306002" y="-1338292"/>
          <a:ext cx="403979" cy="424281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41910" rIns="83820" bIns="41910"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mj-lt"/>
            </a:rPr>
            <a:t>dezvoltă formularul </a:t>
          </a:r>
          <a:r>
            <a:rPr lang="ro-MD" sz="800" kern="1200">
              <a:latin typeface="+mj-lt"/>
            </a:rPr>
            <a:t>de aplicare </a:t>
          </a:r>
          <a:r>
            <a:rPr lang="en-US" sz="800" kern="1200">
              <a:latin typeface="+mj-lt"/>
            </a:rPr>
            <a:t>pentru a fi accesat prin intermediul ghișeului unic de raportare electronică</a:t>
          </a:r>
        </a:p>
      </dsp:txBody>
      <dsp:txXfrm rot="-5400000">
        <a:off x="2386584" y="600847"/>
        <a:ext cx="4223095" cy="364537"/>
      </dsp:txXfrm>
    </dsp:sp>
    <dsp:sp modelId="{B2F5DD24-B12E-4B5D-A84A-45F9256AFFB8}">
      <dsp:nvSpPr>
        <dsp:cNvPr id="0" name=""/>
        <dsp:cNvSpPr/>
      </dsp:nvSpPr>
      <dsp:spPr>
        <a:xfrm>
          <a:off x="0" y="530628"/>
          <a:ext cx="2386584" cy="504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kern="1200">
              <a:latin typeface="+mj-lt"/>
            </a:rPr>
            <a:t>Centrul de Tehnologii Informaționale în Finanțe </a:t>
          </a:r>
        </a:p>
      </dsp:txBody>
      <dsp:txXfrm>
        <a:off x="24651" y="555279"/>
        <a:ext cx="2337282" cy="455671"/>
      </dsp:txXfrm>
    </dsp:sp>
    <dsp:sp modelId="{77408A1E-EF96-415D-B0FC-7D3AE1405DEF}">
      <dsp:nvSpPr>
        <dsp:cNvPr id="0" name=""/>
        <dsp:cNvSpPr/>
      </dsp:nvSpPr>
      <dsp:spPr>
        <a:xfrm rot="5400000">
          <a:off x="4113463" y="-668358"/>
          <a:ext cx="780253" cy="4238672"/>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41910" rIns="83820" bIns="41910"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mj-lt"/>
            </a:rPr>
            <a:t>asigură, în regim automatizat, furnizarea datelor din sistemul automatizat al ghișeului unic de raportare electronică către Casa Națională de Asigurări Sociale pentru efectuarea plății indemnizației pentru șomaj tehnic din bugetul de stat</a:t>
          </a:r>
        </a:p>
        <a:p>
          <a:pPr marL="57150" lvl="1" indent="-57150" algn="just" defTabSz="355600">
            <a:lnSpc>
              <a:spcPct val="90000"/>
            </a:lnSpc>
            <a:spcBef>
              <a:spcPct val="0"/>
            </a:spcBef>
            <a:spcAft>
              <a:spcPct val="15000"/>
            </a:spcAft>
            <a:buChar char="••"/>
          </a:pPr>
          <a:r>
            <a:rPr lang="ro-MD" sz="800" b="0" i="0" kern="1200">
              <a:latin typeface="+mj-lt"/>
            </a:rPr>
            <a:t>recuperează de la angajator sau salariat ind</a:t>
          </a:r>
          <a:r>
            <a:rPr lang="en-US" sz="800" b="0" i="0" kern="1200">
              <a:latin typeface="+mj-lt"/>
            </a:rPr>
            <a:t>emnizațiile acordate fără temei legal sau în baza datelor false indicate de angajator în solicitare sau de salariat în declarația pe propria răspundere, conform constatărilor Inspectoratului de Stat al Muncii</a:t>
          </a:r>
          <a:endParaRPr lang="en-US" sz="800" kern="1200">
            <a:latin typeface="+mj-lt"/>
          </a:endParaRPr>
        </a:p>
      </dsp:txBody>
      <dsp:txXfrm rot="-5400000">
        <a:off x="2384254" y="1098940"/>
        <a:ext cx="4200583" cy="704075"/>
      </dsp:txXfrm>
    </dsp:sp>
    <dsp:sp modelId="{63128DFD-8B98-49C0-950D-EEC46220A3BF}">
      <dsp:nvSpPr>
        <dsp:cNvPr id="0" name=""/>
        <dsp:cNvSpPr/>
      </dsp:nvSpPr>
      <dsp:spPr>
        <a:xfrm>
          <a:off x="0" y="1062801"/>
          <a:ext cx="2384253" cy="77635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kern="1200">
              <a:latin typeface="+mj-lt"/>
            </a:rPr>
            <a:t>Serviciul Fiscal de Stat </a:t>
          </a:r>
        </a:p>
      </dsp:txBody>
      <dsp:txXfrm>
        <a:off x="37898" y="1100699"/>
        <a:ext cx="2308457" cy="700555"/>
      </dsp:txXfrm>
    </dsp:sp>
    <dsp:sp modelId="{5555D6DB-E4B2-49E2-9D50-543A897254E1}">
      <dsp:nvSpPr>
        <dsp:cNvPr id="0" name=""/>
        <dsp:cNvSpPr/>
      </dsp:nvSpPr>
      <dsp:spPr>
        <a:xfrm rot="5400000">
          <a:off x="4306002" y="-2568"/>
          <a:ext cx="403979" cy="424281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41910" rIns="83820" bIns="41910"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mj-lt"/>
            </a:rPr>
            <a:t>planifică și transferă lunar mijloace financiare, în modul stabilit, către Casa Națională de Asigurări Sociale pentru plata indemnizației în limitele surselor prevăzute în bugetul de stat în aceste scopuri</a:t>
          </a:r>
        </a:p>
      </dsp:txBody>
      <dsp:txXfrm rot="-5400000">
        <a:off x="2386584" y="1936572"/>
        <a:ext cx="4223095" cy="364537"/>
      </dsp:txXfrm>
    </dsp:sp>
    <dsp:sp modelId="{85973676-02CB-40A4-864C-01EF05B59D04}">
      <dsp:nvSpPr>
        <dsp:cNvPr id="0" name=""/>
        <dsp:cNvSpPr/>
      </dsp:nvSpPr>
      <dsp:spPr>
        <a:xfrm>
          <a:off x="0" y="1866352"/>
          <a:ext cx="2386584" cy="504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kern="1200">
              <a:latin typeface="+mj-lt"/>
            </a:rPr>
            <a:t>Ministerul Finanțelor</a:t>
          </a:r>
        </a:p>
      </dsp:txBody>
      <dsp:txXfrm>
        <a:off x="24651" y="1891003"/>
        <a:ext cx="2337282" cy="455671"/>
      </dsp:txXfrm>
    </dsp:sp>
    <dsp:sp modelId="{EC45300A-71B2-436C-87A4-4DE48CFA93B3}">
      <dsp:nvSpPr>
        <dsp:cNvPr id="0" name=""/>
        <dsp:cNvSpPr/>
      </dsp:nvSpPr>
      <dsp:spPr>
        <a:xfrm rot="5400000">
          <a:off x="4306002" y="527654"/>
          <a:ext cx="403979" cy="424281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41910" rIns="83820" bIns="41910"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mj-lt"/>
            </a:rPr>
            <a:t>acordă suportul tehnic necesar pentru asigurarea interoperabilității sistemelor informaționale implicate în colectarea, validarea și transmiterea solicitării de acordare a indemnizației pentru șomaj tehnic din bugetul</a:t>
          </a:r>
        </a:p>
      </dsp:txBody>
      <dsp:txXfrm rot="-5400000">
        <a:off x="2386584" y="2466794"/>
        <a:ext cx="4223095" cy="364537"/>
      </dsp:txXfrm>
    </dsp:sp>
    <dsp:sp modelId="{8F360256-2F91-4898-929F-E85295CD5F69}">
      <dsp:nvSpPr>
        <dsp:cNvPr id="0" name=""/>
        <dsp:cNvSpPr/>
      </dsp:nvSpPr>
      <dsp:spPr>
        <a:xfrm>
          <a:off x="0" y="2396575"/>
          <a:ext cx="2386584" cy="504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kern="1200">
              <a:latin typeface="+mj-lt"/>
            </a:rPr>
            <a:t>Agenția de Guvernare Electronică</a:t>
          </a:r>
        </a:p>
      </dsp:txBody>
      <dsp:txXfrm>
        <a:off x="24651" y="2421226"/>
        <a:ext cx="2337282" cy="455671"/>
      </dsp:txXfrm>
    </dsp:sp>
    <dsp:sp modelId="{5ED45ABF-6095-4ECA-B2C7-0A7EEB8922B3}">
      <dsp:nvSpPr>
        <dsp:cNvPr id="0" name=""/>
        <dsp:cNvSpPr/>
      </dsp:nvSpPr>
      <dsp:spPr>
        <a:xfrm rot="5400000">
          <a:off x="4306002" y="1057876"/>
          <a:ext cx="403979" cy="424281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3820" tIns="41910" rIns="83820" bIns="41910" numCol="1" spcCol="1270" anchor="ctr" anchorCtr="0">
          <a:noAutofit/>
        </a:bodyPr>
        <a:lstStyle/>
        <a:p>
          <a:pPr marL="57150" lvl="1" indent="-57150" algn="just" defTabSz="355600">
            <a:lnSpc>
              <a:spcPct val="90000"/>
            </a:lnSpc>
            <a:spcBef>
              <a:spcPct val="0"/>
            </a:spcBef>
            <a:spcAft>
              <a:spcPct val="15000"/>
            </a:spcAft>
            <a:buChar char="••"/>
          </a:pPr>
          <a:r>
            <a:rPr lang="en-US" sz="800" kern="1200">
              <a:latin typeface="+mj-lt"/>
            </a:rPr>
            <a:t>asigură evidența plăților indemnizației pentru șomaj tehnic și raportează către Ministerul Finanțelor privind indemnizațiile achitate</a:t>
          </a:r>
        </a:p>
      </dsp:txBody>
      <dsp:txXfrm rot="-5400000">
        <a:off x="2386584" y="2997016"/>
        <a:ext cx="4223095" cy="364537"/>
      </dsp:txXfrm>
    </dsp:sp>
    <dsp:sp modelId="{5EA62AA1-2311-42F0-A5AD-7C1C8CFF50A1}">
      <dsp:nvSpPr>
        <dsp:cNvPr id="0" name=""/>
        <dsp:cNvSpPr/>
      </dsp:nvSpPr>
      <dsp:spPr>
        <a:xfrm>
          <a:off x="0" y="2926797"/>
          <a:ext cx="2386584" cy="504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kern="1200">
              <a:latin typeface="+mj-lt"/>
            </a:rPr>
            <a:t>Casa Națională de Asigurări Sociale </a:t>
          </a:r>
        </a:p>
      </dsp:txBody>
      <dsp:txXfrm>
        <a:off x="24651" y="2951448"/>
        <a:ext cx="2337282" cy="455671"/>
      </dsp:txXfrm>
    </dsp:sp>
    <dsp:sp modelId="{E045DC3C-9455-410D-BA03-10A8C8D8468C}">
      <dsp:nvSpPr>
        <dsp:cNvPr id="0" name=""/>
        <dsp:cNvSpPr/>
      </dsp:nvSpPr>
      <dsp:spPr>
        <a:xfrm rot="5400000">
          <a:off x="4306002" y="1588099"/>
          <a:ext cx="403979" cy="4242816"/>
        </a:xfrm>
        <a:prstGeom prst="round2Same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3335" rIns="26670" bIns="13335" numCol="1" spcCol="1270" anchor="ctr" anchorCtr="0">
          <a:noAutofit/>
        </a:bodyPr>
        <a:lstStyle/>
        <a:p>
          <a:pPr marL="57150" lvl="1" indent="-57150" algn="l" defTabSz="311150">
            <a:lnSpc>
              <a:spcPct val="90000"/>
            </a:lnSpc>
            <a:spcBef>
              <a:spcPct val="0"/>
            </a:spcBef>
            <a:spcAft>
              <a:spcPct val="15000"/>
            </a:spcAft>
            <a:buChar char="••"/>
          </a:pPr>
          <a:r>
            <a:rPr lang="ro-MD" sz="700" b="0" i="0" kern="1200">
              <a:latin typeface="+mj-lt"/>
            </a:rPr>
            <a:t>realizează c</a:t>
          </a:r>
          <a:r>
            <a:rPr lang="en-US" sz="700" b="0" i="0" kern="1200">
              <a:latin typeface="+mj-lt"/>
            </a:rPr>
            <a:t>ontrolul și constatarea corectitudinii declarării șomajului tehnic, a mărimii salariului de bază pentru salariații beneficiari de indemnizație pentru șomaj tehnic, angajați în cadrul unității care solicită indemnizația</a:t>
          </a:r>
          <a:endParaRPr lang="en-US" sz="700" kern="1200">
            <a:latin typeface="+mj-lt"/>
          </a:endParaRPr>
        </a:p>
      </dsp:txBody>
      <dsp:txXfrm rot="-5400000">
        <a:off x="2386584" y="3527239"/>
        <a:ext cx="4223095" cy="364537"/>
      </dsp:txXfrm>
    </dsp:sp>
    <dsp:sp modelId="{84F3DFD5-75CD-437D-B70C-BF0A2F4E5DEE}">
      <dsp:nvSpPr>
        <dsp:cNvPr id="0" name=""/>
        <dsp:cNvSpPr/>
      </dsp:nvSpPr>
      <dsp:spPr>
        <a:xfrm>
          <a:off x="0" y="3457020"/>
          <a:ext cx="2386584" cy="504973"/>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ctr" defTabSz="622300">
            <a:lnSpc>
              <a:spcPct val="90000"/>
            </a:lnSpc>
            <a:spcBef>
              <a:spcPct val="0"/>
            </a:spcBef>
            <a:spcAft>
              <a:spcPct val="35000"/>
            </a:spcAft>
          </a:pPr>
          <a:r>
            <a:rPr lang="en-US" sz="1400" b="1" i="0" kern="1200">
              <a:latin typeface="+mj-lt"/>
            </a:rPr>
            <a:t>Inspectoratul de Stat al Muncii</a:t>
          </a:r>
          <a:endParaRPr lang="en-US" sz="1400" b="1" kern="1200">
            <a:latin typeface="+mj-lt"/>
          </a:endParaRPr>
        </a:p>
      </dsp:txBody>
      <dsp:txXfrm>
        <a:off x="24651" y="3481671"/>
        <a:ext cx="2337282" cy="45567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59A990-D324-44DE-AAC1-D8355ECC6FC2}">
      <dsp:nvSpPr>
        <dsp:cNvPr id="0" name=""/>
        <dsp:cNvSpPr/>
      </dsp:nvSpPr>
      <dsp:spPr>
        <a:xfrm>
          <a:off x="0" y="2639444"/>
          <a:ext cx="5861538" cy="577445"/>
        </a:xfrm>
        <a:prstGeom prst="rec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D" sz="1000" b="1" i="1" kern="1200">
              <a:latin typeface="Calibri Light" panose="020F0302020204030204"/>
              <a:ea typeface="+mn-ea"/>
              <a:cs typeface="+mn-cs"/>
            </a:rPr>
            <a:t>AGE (MPay)</a:t>
          </a:r>
          <a:endParaRPr lang="en-US" sz="1000" b="1" kern="1200">
            <a:latin typeface="Calibri Light" panose="020F0302020204030204"/>
            <a:ea typeface="+mn-ea"/>
            <a:cs typeface="+mn-cs"/>
          </a:endParaRPr>
        </a:p>
      </dsp:txBody>
      <dsp:txXfrm>
        <a:off x="0" y="2639444"/>
        <a:ext cx="5861538" cy="311820"/>
      </dsp:txXfrm>
    </dsp:sp>
    <dsp:sp modelId="{750B1231-E3FA-4C62-BA59-EDE60C42E921}">
      <dsp:nvSpPr>
        <dsp:cNvPr id="0" name=""/>
        <dsp:cNvSpPr/>
      </dsp:nvSpPr>
      <dsp:spPr>
        <a:xfrm>
          <a:off x="0" y="2952358"/>
          <a:ext cx="5861538" cy="265625"/>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b="0" kern="1200">
              <a:latin typeface="Calibri Light" panose="020F0302020204030204"/>
              <a:ea typeface="+mn-ea"/>
              <a:cs typeface="+mn-cs"/>
            </a:rPr>
            <a:t>din 2021 efectuează plata indemizației prin intermediul prestatorilor de servicii de plată</a:t>
          </a:r>
          <a:endParaRPr lang="en-US" sz="1000" b="0" kern="1200">
            <a:latin typeface="Calibri Light" panose="020F0302020204030204"/>
            <a:ea typeface="+mn-ea"/>
            <a:cs typeface="+mn-cs"/>
          </a:endParaRPr>
        </a:p>
      </dsp:txBody>
      <dsp:txXfrm>
        <a:off x="0" y="2952358"/>
        <a:ext cx="5861538" cy="265625"/>
      </dsp:txXfrm>
    </dsp:sp>
    <dsp:sp modelId="{9FC4B804-5F3C-4108-A2D0-EB66E561ED72}">
      <dsp:nvSpPr>
        <dsp:cNvPr id="0" name=""/>
        <dsp:cNvSpPr/>
      </dsp:nvSpPr>
      <dsp:spPr>
        <a:xfrm rot="10800000">
          <a:off x="0" y="1759994"/>
          <a:ext cx="5861538" cy="888111"/>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CNAS</a:t>
          </a:r>
          <a:endParaRPr lang="en-US" sz="1000" kern="1200">
            <a:latin typeface="Calibri Light" panose="020F0302020204030204"/>
            <a:ea typeface="+mn-ea"/>
            <a:cs typeface="+mn-cs"/>
          </a:endParaRPr>
        </a:p>
      </dsp:txBody>
      <dsp:txXfrm rot="-10800000">
        <a:off x="0" y="1759994"/>
        <a:ext cx="5861538" cy="311727"/>
      </dsp:txXfrm>
    </dsp:sp>
    <dsp:sp modelId="{39DBB761-3F1F-4A46-863B-09DE4353CEA6}">
      <dsp:nvSpPr>
        <dsp:cNvPr id="0" name=""/>
        <dsp:cNvSpPr/>
      </dsp:nvSpPr>
      <dsp:spPr>
        <a:xfrm>
          <a:off x="0" y="2071721"/>
          <a:ext cx="2930769" cy="265545"/>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recepționează datele din Portalul certificatelor de concediu medical</a:t>
          </a:r>
          <a:endParaRPr lang="en-US" sz="1000" kern="1200">
            <a:latin typeface="Calibri Light" panose="020F0302020204030204"/>
            <a:ea typeface="+mn-ea"/>
            <a:cs typeface="+mn-cs"/>
          </a:endParaRPr>
        </a:p>
      </dsp:txBody>
      <dsp:txXfrm>
        <a:off x="0" y="2071721"/>
        <a:ext cx="2930769" cy="265545"/>
      </dsp:txXfrm>
    </dsp:sp>
    <dsp:sp modelId="{4D4F999B-03A1-4964-82F1-0EBD32100377}">
      <dsp:nvSpPr>
        <dsp:cNvPr id="0" name=""/>
        <dsp:cNvSpPr/>
      </dsp:nvSpPr>
      <dsp:spPr>
        <a:xfrm>
          <a:off x="2930769" y="2071721"/>
          <a:ext cx="2930769" cy="265545"/>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i="1" kern="1200">
              <a:latin typeface="Calibri Light" panose="020F0302020204030204"/>
              <a:ea typeface="+mn-ea"/>
              <a:cs typeface="+mn-cs"/>
            </a:rPr>
            <a:t>stabilirea indemnizației de incapacitate temporară de muncă în </a:t>
          </a:r>
          <a:r>
            <a:rPr lang="ro-MD" sz="1000" b="1" i="1" kern="1200">
              <a:latin typeface="Calibri Light" panose="020F0302020204030204"/>
              <a:ea typeface="+mn-ea"/>
              <a:cs typeface="+mn-cs"/>
            </a:rPr>
            <a:t>decurs de 15-30 zile</a:t>
          </a:r>
          <a:endParaRPr lang="en-US" sz="1000" b="1" i="1" kern="1200">
            <a:latin typeface="Calibri Light" panose="020F0302020204030204"/>
            <a:ea typeface="+mn-ea"/>
            <a:cs typeface="+mn-cs"/>
          </a:endParaRPr>
        </a:p>
      </dsp:txBody>
      <dsp:txXfrm>
        <a:off x="2930769" y="2071721"/>
        <a:ext cx="2930769" cy="265545"/>
      </dsp:txXfrm>
    </dsp:sp>
    <dsp:sp modelId="{15A20E17-C70F-42E7-A165-E1C923F02F5D}">
      <dsp:nvSpPr>
        <dsp:cNvPr id="0" name=""/>
        <dsp:cNvSpPr/>
      </dsp:nvSpPr>
      <dsp:spPr>
        <a:xfrm rot="10800000">
          <a:off x="0" y="880544"/>
          <a:ext cx="5861538" cy="888111"/>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MS/CNAM</a:t>
          </a:r>
          <a:endParaRPr lang="en-US" sz="1000" kern="1200">
            <a:latin typeface="Calibri Light" panose="020F0302020204030204"/>
            <a:ea typeface="+mn-ea"/>
            <a:cs typeface="+mn-cs"/>
          </a:endParaRPr>
        </a:p>
      </dsp:txBody>
      <dsp:txXfrm rot="-10800000">
        <a:off x="0" y="880544"/>
        <a:ext cx="5861538" cy="311727"/>
      </dsp:txXfrm>
    </dsp:sp>
    <dsp:sp modelId="{ACBA2889-4196-4908-BD48-4E85A9618CF3}">
      <dsp:nvSpPr>
        <dsp:cNvPr id="0" name=""/>
        <dsp:cNvSpPr/>
      </dsp:nvSpPr>
      <dsp:spPr>
        <a:xfrm>
          <a:off x="0" y="1192271"/>
          <a:ext cx="2930769" cy="265545"/>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recepționează în Portal datele din certificatul de concediu medical</a:t>
          </a:r>
          <a:endParaRPr lang="en-US" sz="1000" kern="1200">
            <a:latin typeface="Calibri Light" panose="020F0302020204030204"/>
            <a:ea typeface="+mn-ea"/>
            <a:cs typeface="+mn-cs"/>
          </a:endParaRPr>
        </a:p>
      </dsp:txBody>
      <dsp:txXfrm>
        <a:off x="0" y="1192271"/>
        <a:ext cx="2930769" cy="265545"/>
      </dsp:txXfrm>
    </dsp:sp>
    <dsp:sp modelId="{704B6CEA-3CCA-4D17-AF1A-093D2600C174}">
      <dsp:nvSpPr>
        <dsp:cNvPr id="0" name=""/>
        <dsp:cNvSpPr/>
      </dsp:nvSpPr>
      <dsp:spPr>
        <a:xfrm>
          <a:off x="2930769" y="1080152"/>
          <a:ext cx="2930769" cy="489782"/>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transmiterea automată a datelor din certificatul de concediu medical prin intermediul Portalului către CNAS</a:t>
          </a:r>
          <a:endParaRPr lang="en-US" sz="1000" kern="1200">
            <a:latin typeface="Calibri Light" panose="020F0302020204030204"/>
            <a:ea typeface="+mn-ea"/>
            <a:cs typeface="+mn-cs"/>
          </a:endParaRPr>
        </a:p>
      </dsp:txBody>
      <dsp:txXfrm>
        <a:off x="2930769" y="1080152"/>
        <a:ext cx="2930769" cy="489782"/>
      </dsp:txXfrm>
    </dsp:sp>
    <dsp:sp modelId="{1A481332-A3DB-4F89-B272-65B3BE559FF9}">
      <dsp:nvSpPr>
        <dsp:cNvPr id="0" name=""/>
        <dsp:cNvSpPr/>
      </dsp:nvSpPr>
      <dsp:spPr>
        <a:xfrm rot="10800000">
          <a:off x="0" y="1094"/>
          <a:ext cx="5861538" cy="888111"/>
        </a:xfrm>
        <a:prstGeom prst="upArrowCallout">
          <a:avLst/>
        </a:prstGeom>
        <a:gradFill rotWithShape="0">
          <a:gsLst>
            <a:gs pos="0">
              <a:schemeClr val="lt1">
                <a:hueOff val="0"/>
                <a:satOff val="0"/>
                <a:lumOff val="0"/>
                <a:alphaOff val="0"/>
                <a:satMod val="103000"/>
                <a:lumMod val="102000"/>
                <a:tint val="94000"/>
              </a:schemeClr>
            </a:gs>
            <a:gs pos="50000">
              <a:schemeClr val="lt1">
                <a:hueOff val="0"/>
                <a:satOff val="0"/>
                <a:lumOff val="0"/>
                <a:alphaOff val="0"/>
                <a:satMod val="110000"/>
                <a:lumMod val="100000"/>
                <a:shade val="100000"/>
              </a:schemeClr>
            </a:gs>
            <a:gs pos="100000">
              <a:schemeClr val="lt1">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71120" tIns="71120" rIns="71120" bIns="7112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IMSP</a:t>
          </a:r>
          <a:endParaRPr lang="en-US" sz="1000" kern="1200">
            <a:latin typeface="Calibri Light" panose="020F0302020204030204"/>
            <a:ea typeface="+mn-ea"/>
            <a:cs typeface="+mn-cs"/>
          </a:endParaRPr>
        </a:p>
      </dsp:txBody>
      <dsp:txXfrm rot="-10800000">
        <a:off x="0" y="1094"/>
        <a:ext cx="5861538" cy="311727"/>
      </dsp:txXfrm>
    </dsp:sp>
    <dsp:sp modelId="{EB4CA1F5-8B1F-4CB4-B295-850FC5A89C92}">
      <dsp:nvSpPr>
        <dsp:cNvPr id="0" name=""/>
        <dsp:cNvSpPr/>
      </dsp:nvSpPr>
      <dsp:spPr>
        <a:xfrm>
          <a:off x="0" y="312821"/>
          <a:ext cx="2930769" cy="265545"/>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eliberează certificatul de concediu medical</a:t>
          </a:r>
          <a:endParaRPr lang="en-US" sz="1000" kern="1200">
            <a:latin typeface="Calibri Light" panose="020F0302020204030204"/>
            <a:ea typeface="+mn-ea"/>
            <a:cs typeface="+mn-cs"/>
          </a:endParaRPr>
        </a:p>
      </dsp:txBody>
      <dsp:txXfrm>
        <a:off x="0" y="312821"/>
        <a:ext cx="2930769" cy="265545"/>
      </dsp:txXfrm>
    </dsp:sp>
    <dsp:sp modelId="{5621F436-D218-4ADE-B84D-75A98AC25933}">
      <dsp:nvSpPr>
        <dsp:cNvPr id="0" name=""/>
        <dsp:cNvSpPr/>
      </dsp:nvSpPr>
      <dsp:spPr>
        <a:xfrm>
          <a:off x="2930769" y="312821"/>
          <a:ext cx="2930769" cy="265545"/>
        </a:xfrm>
        <a:prstGeom prst="rect">
          <a:avLst/>
        </a:prstGeom>
        <a:solidFill>
          <a:schemeClr val="lt1">
            <a:alpha val="90000"/>
            <a:tint val="40000"/>
            <a:hueOff val="0"/>
            <a:satOff val="0"/>
            <a:lumOff val="0"/>
            <a:alphaOff val="0"/>
          </a:schemeClr>
        </a:solidFill>
        <a:ln w="6350" cap="flat" cmpd="sng" algn="ctr">
          <a:solidFill>
            <a:schemeClr val="dk1">
              <a:alpha val="90000"/>
              <a:hueOff val="0"/>
              <a:satOff val="0"/>
              <a:lumOff val="0"/>
              <a:alphaOff val="0"/>
            </a:scheme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71120" tIns="12700" rIns="71120" bIns="12700" numCol="1" spcCol="1270" anchor="ctr" anchorCtr="0">
          <a:noAutofit/>
        </a:bodyPr>
        <a:lstStyle/>
        <a:p>
          <a:pPr lvl="0" algn="ctr" defTabSz="444500">
            <a:lnSpc>
              <a:spcPct val="90000"/>
            </a:lnSpc>
            <a:spcBef>
              <a:spcPct val="0"/>
            </a:spcBef>
            <a:spcAft>
              <a:spcPct val="35000"/>
            </a:spcAft>
          </a:pPr>
          <a:r>
            <a:rPr lang="ro-MD" sz="1000" kern="1200">
              <a:latin typeface="Calibri Light" panose="020F0302020204030204"/>
              <a:ea typeface="+mn-ea"/>
              <a:cs typeface="+mn-cs"/>
            </a:rPr>
            <a:t>introduce datele din certificat </a:t>
          </a:r>
          <a:r>
            <a:rPr lang="ro-MD" sz="1000" b="1" kern="1200">
              <a:latin typeface="Calibri Light" panose="020F0302020204030204"/>
              <a:ea typeface="+mn-ea"/>
              <a:cs typeface="+mn-cs"/>
            </a:rPr>
            <a:t>în decurs de 5 zile </a:t>
          </a:r>
          <a:r>
            <a:rPr lang="ro-MD" sz="1000" kern="1200">
              <a:latin typeface="Calibri Light" panose="020F0302020204030204"/>
              <a:ea typeface="+mn-ea"/>
              <a:cs typeface="+mn-cs"/>
            </a:rPr>
            <a:t>în Portalul certificatelor de concediu medical </a:t>
          </a:r>
          <a:endParaRPr lang="en-US" sz="1000" kern="1200">
            <a:latin typeface="Calibri Light" panose="020F0302020204030204"/>
            <a:ea typeface="+mn-ea"/>
            <a:cs typeface="+mn-cs"/>
          </a:endParaRPr>
        </a:p>
      </dsp:txBody>
      <dsp:txXfrm>
        <a:off x="2930769" y="312821"/>
        <a:ext cx="2930769" cy="265545"/>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Accent+Icon">
  <dgm:title val="Chevron Accent Process"/>
  <dgm:desc val="Use to show sequential steps in a task, process, or workflow, or to emphasize movement or direction. Works best with minimal Level 1 and Level 2 text."/>
  <dgm:catLst>
    <dgm:cat type="process" pri="9500"/>
    <dgm:cat type="officeonline" pri="2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osite" refType="w"/>
      <dgm:constr type="primFontSz" for="des" forName="txNode" op="equ" val="65"/>
      <dgm:constr type="w" for="ch" forName="compositeSpace" refType="w" refFor="ch" refForName="composite" fact="0.028"/>
    </dgm:constrLst>
    <dgm:ruleLst/>
    <dgm:forEach name="Name4" axis="ch" ptType="node">
      <dgm:layoutNode name="composite">
        <dgm:alg type="composite"/>
        <dgm:shape xmlns:r="http://schemas.openxmlformats.org/officeDocument/2006/relationships" r:blip="">
          <dgm:adjLst/>
        </dgm:shape>
        <dgm:presOf/>
        <dgm:choose name="Name5">
          <dgm:if name="Name6" func="var" arg="dir" op="equ" val="norm">
            <dgm:constrLst>
              <dgm:constr type="l" for="ch" forName="bgChev"/>
              <dgm:constr type="w" for="ch" forName="bgChev" refType="w" fact="0.9"/>
              <dgm:constr type="t" for="ch" forName="bgChev"/>
              <dgm:constr type="h" for="ch" forName="bgChev" refType="w" refFor="ch" refForName="bgChev" fact="0.386"/>
              <dgm:constr type="l" for="ch" forName="txNode" refType="w" fact="0.24"/>
              <dgm:constr type="w" for="ch" forName="txNode" refType="w" fact="0.76"/>
              <dgm:constr type="t" for="ch" forName="txNode" refType="h" refFor="ch" refForName="bgChev" fact="0.25"/>
              <dgm:constr type="h" for="ch" forName="txNode" refType="h" refFor="ch" refForName="bgChev"/>
            </dgm:constrLst>
          </dgm:if>
          <dgm:else name="Name7">
            <dgm:constrLst>
              <dgm:constr type="l" for="ch" forName="bgChev" refType="w" fact="0.1"/>
              <dgm:constr type="w" for="ch" forName="bgChev" refType="w" fact="0.9"/>
              <dgm:constr type="t" for="ch" forName="bgChev"/>
              <dgm:constr type="h" for="ch" forName="bgChev" refType="w" refFor="ch" refForName="bgChev" fact="0.386"/>
              <dgm:constr type="l" for="ch" forName="txNode"/>
              <dgm:constr type="w" for="ch" forName="txNode" refType="w" fact="0.76"/>
              <dgm:constr type="t" for="ch" forName="txNode" refType="h" refFor="ch" refForName="bgChev" fact="0.25"/>
              <dgm:constr type="h" for="ch" forName="txNode" refType="h" refFor="ch" refForName="bgChev"/>
            </dgm:constrLst>
          </dgm:else>
        </dgm:choose>
        <dgm:ruleLst/>
        <dgm:layoutNode name="bgChev" styleLbl="node1">
          <dgm:alg type="sp"/>
          <dgm:choose name="Name8">
            <dgm:if name="Name9" func="var" arg="dir" op="equ" val="norm">
              <dgm:shape xmlns:r="http://schemas.openxmlformats.org/officeDocument/2006/relationships" type="chevron" r:blip="">
                <dgm:adjLst>
                  <dgm:adj idx="1" val="0.4"/>
                </dgm:adjLst>
              </dgm:shape>
            </dgm:if>
            <dgm:else name="Name10">
              <dgm:shape xmlns:r="http://schemas.openxmlformats.org/officeDocument/2006/relationships" rot="180" type="chevron" r:blip="">
                <dgm:adjLst>
                  <dgm:adj idx="1" val="0.4"/>
                </dgm:adjLst>
              </dgm:shape>
            </dgm:else>
          </dgm:choose>
          <dgm:presOf/>
          <dgm:constrLst/>
        </dgm:layoutNode>
        <dgm:layoutNode name="txNode" styleLbl="fgAcc1">
          <dgm:varLst>
            <dgm:bulletEnabled val="1"/>
          </dgm:varLst>
          <dgm:alg type="tx"/>
          <dgm:shape xmlns:r="http://schemas.openxmlformats.org/officeDocument/2006/relationships" type="roundRect" r:blip="">
            <dgm:adjLst>
              <dgm:adj idx="1" val="0.1"/>
            </dgm:adjLst>
          </dgm:shape>
          <dgm:presOf axis="desOrSelf" ptType="node"/>
          <dgm:ruleLst>
            <dgm:rule type="primFontSz" val="5" fact="NaN" max="NaN"/>
          </dgm:ruleLst>
        </dgm:layoutNode>
      </dgm:layoutNode>
      <dgm:forEach name="Name11" axis="followSib" ptType="sibTrans" cnt="1">
        <dgm:layoutNode name="compositeSpace">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FC2E0-C2C6-43E9-8AE2-1A16C01E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29894</Words>
  <Characters>170398</Characters>
  <Application>Microsoft Office Word</Application>
  <DocSecurity>0</DocSecurity>
  <Lines>1419</Lines>
  <Paragraphs>399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Rogaciov Irina</dc:creator>
  <cp:keywords/>
  <dc:description/>
  <cp:lastModifiedBy>Paiu Eugenia</cp:lastModifiedBy>
  <cp:revision>3</cp:revision>
  <dcterms:created xsi:type="dcterms:W3CDTF">2023-05-29T12:01:00Z</dcterms:created>
  <dcterms:modified xsi:type="dcterms:W3CDTF">2023-05-29T12:01:00Z</dcterms:modified>
</cp:coreProperties>
</file>