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1B9" w:rsidRPr="00585C40" w:rsidRDefault="00DF21B9" w:rsidP="0048655A">
      <w:pPr>
        <w:pStyle w:val="cn"/>
        <w:spacing w:line="276" w:lineRule="auto"/>
        <w:rPr>
          <w:rFonts w:asciiTheme="majorHAnsi" w:hAnsiTheme="majorHAnsi" w:cstheme="majorHAnsi"/>
          <w:lang w:val="ro-MD"/>
        </w:rPr>
      </w:pPr>
      <w:r w:rsidRPr="00585C40">
        <w:rPr>
          <w:rFonts w:asciiTheme="majorHAnsi" w:hAnsiTheme="majorHAnsi" w:cstheme="majorHAnsi"/>
          <w:noProof/>
          <w:lang w:val="ru-RU" w:eastAsia="ru-RU"/>
        </w:rPr>
        <w:drawing>
          <wp:inline distT="0" distB="0" distL="0" distR="0" wp14:anchorId="19686C6F" wp14:editId="5614ACB3">
            <wp:extent cx="63500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00" cy="711200"/>
                    </a:xfrm>
                    <a:prstGeom prst="rect">
                      <a:avLst/>
                    </a:prstGeom>
                    <a:noFill/>
                    <a:ln>
                      <a:noFill/>
                    </a:ln>
                  </pic:spPr>
                </pic:pic>
              </a:graphicData>
            </a:graphic>
          </wp:inline>
        </w:drawing>
      </w:r>
    </w:p>
    <w:p w:rsidR="00DF21B9" w:rsidRPr="00585C40" w:rsidRDefault="00DF21B9" w:rsidP="0048655A">
      <w:pPr>
        <w:spacing w:after="0"/>
        <w:jc w:val="center"/>
        <w:rPr>
          <w:rFonts w:asciiTheme="majorHAnsi" w:eastAsia="Times New Roman" w:hAnsiTheme="majorHAnsi" w:cstheme="majorHAnsi"/>
          <w:b/>
          <w:bCs/>
          <w:sz w:val="24"/>
          <w:szCs w:val="24"/>
          <w:lang w:val="ro-MD"/>
        </w:rPr>
      </w:pPr>
    </w:p>
    <w:p w:rsidR="00DF21B9" w:rsidRPr="00585C40" w:rsidRDefault="00DF21B9" w:rsidP="0048655A">
      <w:pPr>
        <w:spacing w:after="0"/>
        <w:jc w:val="center"/>
        <w:rPr>
          <w:rFonts w:asciiTheme="majorHAnsi" w:eastAsia="Times New Roman" w:hAnsiTheme="majorHAnsi" w:cstheme="majorHAnsi"/>
          <w:bCs/>
          <w:sz w:val="24"/>
          <w:szCs w:val="24"/>
          <w:lang w:val="ro-MD"/>
        </w:rPr>
      </w:pPr>
      <w:r w:rsidRPr="00585C40">
        <w:rPr>
          <w:rFonts w:asciiTheme="majorHAnsi" w:eastAsia="Times New Roman" w:hAnsiTheme="majorHAnsi" w:cstheme="majorHAnsi"/>
          <w:bCs/>
          <w:sz w:val="24"/>
          <w:szCs w:val="24"/>
          <w:lang w:val="ro-MD"/>
        </w:rPr>
        <w:t>CURTEA DE CONTURI A REPUBLICII MOLDOVA</w:t>
      </w:r>
    </w:p>
    <w:p w:rsidR="00DF21B9" w:rsidRPr="00585C40" w:rsidRDefault="00DF21B9" w:rsidP="0048655A">
      <w:pPr>
        <w:spacing w:after="0"/>
        <w:jc w:val="center"/>
        <w:rPr>
          <w:rFonts w:asciiTheme="majorHAnsi" w:eastAsia="Times New Roman" w:hAnsiTheme="majorHAnsi" w:cstheme="majorHAnsi"/>
          <w:bCs/>
          <w:sz w:val="24"/>
          <w:szCs w:val="24"/>
          <w:lang w:val="ro-MD"/>
        </w:rPr>
      </w:pPr>
    </w:p>
    <w:p w:rsidR="00DF21B9" w:rsidRPr="00585C40" w:rsidRDefault="00DF21B9" w:rsidP="0048655A">
      <w:pPr>
        <w:spacing w:after="0"/>
        <w:jc w:val="center"/>
        <w:rPr>
          <w:rFonts w:asciiTheme="majorHAnsi" w:eastAsia="Times New Roman" w:hAnsiTheme="majorHAnsi" w:cstheme="majorHAnsi"/>
          <w:b/>
          <w:bCs/>
          <w:sz w:val="24"/>
          <w:szCs w:val="24"/>
          <w:lang w:val="ro-MD"/>
        </w:rPr>
      </w:pPr>
      <w:bookmarkStart w:id="0" w:name="_Toc450123757"/>
      <w:r w:rsidRPr="00585C40">
        <w:rPr>
          <w:rFonts w:asciiTheme="majorHAnsi" w:eastAsia="Times New Roman" w:hAnsiTheme="majorHAnsi" w:cstheme="majorHAnsi"/>
          <w:b/>
          <w:bCs/>
          <w:sz w:val="24"/>
          <w:szCs w:val="24"/>
          <w:lang w:val="ro-MD"/>
        </w:rPr>
        <w:t>H O T Ă R Â R E A nr.</w:t>
      </w:r>
      <w:bookmarkEnd w:id="0"/>
      <w:r>
        <w:rPr>
          <w:rFonts w:asciiTheme="majorHAnsi" w:eastAsia="Times New Roman" w:hAnsiTheme="majorHAnsi" w:cstheme="majorHAnsi"/>
          <w:b/>
          <w:bCs/>
          <w:sz w:val="24"/>
          <w:szCs w:val="24"/>
          <w:lang w:val="ro-MD"/>
        </w:rPr>
        <w:t xml:space="preserve"> </w:t>
      </w:r>
      <w:r w:rsidR="007C06F6">
        <w:rPr>
          <w:rFonts w:asciiTheme="majorHAnsi" w:eastAsia="Times New Roman" w:hAnsiTheme="majorHAnsi" w:cstheme="majorHAnsi"/>
          <w:b/>
          <w:bCs/>
          <w:sz w:val="24"/>
          <w:szCs w:val="24"/>
          <w:lang w:val="ro-MD"/>
        </w:rPr>
        <w:t>18</w:t>
      </w:r>
    </w:p>
    <w:p w:rsidR="00DF21B9" w:rsidRPr="00585C40" w:rsidRDefault="00DF21B9" w:rsidP="0048655A">
      <w:pPr>
        <w:spacing w:after="0"/>
        <w:jc w:val="center"/>
        <w:rPr>
          <w:rFonts w:asciiTheme="majorHAnsi" w:eastAsia="Times New Roman" w:hAnsiTheme="majorHAnsi" w:cstheme="majorHAnsi"/>
          <w:bCs/>
          <w:sz w:val="24"/>
          <w:szCs w:val="24"/>
          <w:lang w:val="ro-MD"/>
        </w:rPr>
      </w:pPr>
      <w:r w:rsidRPr="00585C40">
        <w:rPr>
          <w:rFonts w:asciiTheme="majorHAnsi" w:eastAsia="Times New Roman" w:hAnsiTheme="majorHAnsi" w:cstheme="majorHAnsi"/>
          <w:bCs/>
          <w:sz w:val="24"/>
          <w:szCs w:val="24"/>
          <w:lang w:val="ro-MD"/>
        </w:rPr>
        <w:t xml:space="preserve">din </w:t>
      </w:r>
      <w:r>
        <w:rPr>
          <w:rFonts w:asciiTheme="majorHAnsi" w:eastAsia="Times New Roman" w:hAnsiTheme="majorHAnsi" w:cstheme="majorHAnsi"/>
          <w:bCs/>
          <w:sz w:val="24"/>
          <w:szCs w:val="24"/>
          <w:lang w:val="ro-MD"/>
        </w:rPr>
        <w:t>2</w:t>
      </w:r>
      <w:r w:rsidR="000A091C">
        <w:rPr>
          <w:rFonts w:asciiTheme="majorHAnsi" w:eastAsia="Times New Roman" w:hAnsiTheme="majorHAnsi" w:cstheme="majorHAnsi"/>
          <w:bCs/>
          <w:sz w:val="24"/>
          <w:szCs w:val="24"/>
          <w:lang w:val="ro-MD"/>
        </w:rPr>
        <w:t>5</w:t>
      </w:r>
      <w:r>
        <w:rPr>
          <w:rFonts w:asciiTheme="majorHAnsi" w:eastAsia="Times New Roman" w:hAnsiTheme="majorHAnsi" w:cstheme="majorHAnsi"/>
          <w:bCs/>
          <w:sz w:val="24"/>
          <w:szCs w:val="24"/>
          <w:lang w:val="ro-MD"/>
        </w:rPr>
        <w:t xml:space="preserve"> mai 202</w:t>
      </w:r>
      <w:r w:rsidR="000A091C">
        <w:rPr>
          <w:rFonts w:asciiTheme="majorHAnsi" w:eastAsia="Times New Roman" w:hAnsiTheme="majorHAnsi" w:cstheme="majorHAnsi"/>
          <w:bCs/>
          <w:sz w:val="24"/>
          <w:szCs w:val="24"/>
          <w:lang w:val="ro-MD"/>
        </w:rPr>
        <w:t>3</w:t>
      </w:r>
    </w:p>
    <w:p w:rsidR="00DF21B9" w:rsidRPr="00585C40" w:rsidRDefault="00DF21B9" w:rsidP="0048655A">
      <w:pPr>
        <w:spacing w:after="0"/>
        <w:jc w:val="center"/>
        <w:rPr>
          <w:rFonts w:asciiTheme="majorHAnsi" w:eastAsia="Times New Roman" w:hAnsiTheme="majorHAnsi" w:cstheme="majorHAnsi"/>
          <w:bCs/>
          <w:sz w:val="24"/>
          <w:szCs w:val="24"/>
          <w:lang w:val="ro-MD"/>
        </w:rPr>
      </w:pPr>
    </w:p>
    <w:p w:rsidR="00DF21B9" w:rsidRPr="00585C40" w:rsidRDefault="00DF21B9" w:rsidP="0048655A">
      <w:pPr>
        <w:spacing w:after="0"/>
        <w:jc w:val="center"/>
        <w:rPr>
          <w:rFonts w:asciiTheme="majorHAnsi" w:eastAsia="Times New Roman" w:hAnsiTheme="majorHAnsi" w:cstheme="majorHAnsi"/>
          <w:b/>
          <w:bCs/>
          <w:sz w:val="24"/>
          <w:szCs w:val="24"/>
          <w:lang w:val="ro-MD" w:eastAsia="ru-RU"/>
        </w:rPr>
      </w:pPr>
      <w:r w:rsidRPr="00585C40">
        <w:rPr>
          <w:rFonts w:asciiTheme="majorHAnsi" w:eastAsia="Times New Roman" w:hAnsiTheme="majorHAnsi" w:cstheme="majorHAnsi"/>
          <w:b/>
          <w:bCs/>
          <w:sz w:val="24"/>
          <w:szCs w:val="24"/>
          <w:lang w:val="ro-MD" w:eastAsia="ru-RU"/>
        </w:rPr>
        <w:t xml:space="preserve">cu privire la Raportul auditului financiar al Raportului Guvernului privind executarea bugetului asigurărilor sociale de stat în anul </w:t>
      </w:r>
      <w:r>
        <w:rPr>
          <w:rFonts w:asciiTheme="majorHAnsi" w:eastAsia="Times New Roman" w:hAnsiTheme="majorHAnsi" w:cstheme="majorHAnsi"/>
          <w:b/>
          <w:bCs/>
          <w:sz w:val="24"/>
          <w:szCs w:val="24"/>
          <w:lang w:val="ro-MD" w:eastAsia="ru-RU"/>
        </w:rPr>
        <w:t>202</w:t>
      </w:r>
      <w:r w:rsidR="00ED6C5B">
        <w:rPr>
          <w:rFonts w:asciiTheme="majorHAnsi" w:eastAsia="Times New Roman" w:hAnsiTheme="majorHAnsi" w:cstheme="majorHAnsi"/>
          <w:b/>
          <w:bCs/>
          <w:sz w:val="24"/>
          <w:szCs w:val="24"/>
          <w:lang w:val="ro-MD" w:eastAsia="ru-RU"/>
        </w:rPr>
        <w:t>2</w:t>
      </w:r>
    </w:p>
    <w:p w:rsidR="00DF21B9" w:rsidRPr="003F17A1" w:rsidRDefault="00DF21B9" w:rsidP="0048655A">
      <w:pPr>
        <w:spacing w:after="0"/>
        <w:jc w:val="center"/>
        <w:rPr>
          <w:rFonts w:asciiTheme="majorHAnsi" w:hAnsiTheme="majorHAnsi" w:cstheme="majorHAnsi"/>
          <w:sz w:val="24"/>
          <w:szCs w:val="24"/>
          <w:highlight w:val="green"/>
          <w:lang w:val="ro-MD"/>
        </w:rPr>
      </w:pPr>
    </w:p>
    <w:p w:rsidR="00DF21B9" w:rsidRPr="003F17A1" w:rsidRDefault="00DF21B9" w:rsidP="003F17A1">
      <w:pPr>
        <w:spacing w:after="0"/>
        <w:textAlignment w:val="baseline"/>
        <w:rPr>
          <w:rFonts w:ascii="Times New Roman" w:eastAsia="Times New Roman" w:hAnsi="Times New Roman" w:cs="Times New Roman"/>
          <w:color w:val="000000"/>
          <w:sz w:val="28"/>
          <w:szCs w:val="28"/>
          <w:lang w:val="ro-MD"/>
        </w:rPr>
      </w:pPr>
      <w:r w:rsidRPr="00890E4C">
        <w:rPr>
          <w:rFonts w:asciiTheme="majorHAnsi" w:hAnsiTheme="majorHAnsi" w:cstheme="majorHAnsi"/>
          <w:sz w:val="24"/>
          <w:szCs w:val="24"/>
          <w:lang w:val="ro-MD"/>
        </w:rPr>
        <w:t xml:space="preserve">Curtea de Conturi, în prezența </w:t>
      </w:r>
      <w:r w:rsidR="00584C60" w:rsidRPr="00890E4C">
        <w:rPr>
          <w:rFonts w:asciiTheme="majorHAnsi" w:hAnsiTheme="majorHAnsi" w:cstheme="majorHAnsi"/>
          <w:sz w:val="24"/>
          <w:szCs w:val="24"/>
          <w:lang w:val="ro-MD"/>
        </w:rPr>
        <w:t>Secretarului general al Ministerul</w:t>
      </w:r>
      <w:r w:rsidR="00F43F04" w:rsidRPr="00890E4C">
        <w:rPr>
          <w:rFonts w:asciiTheme="majorHAnsi" w:hAnsiTheme="majorHAnsi" w:cstheme="majorHAnsi"/>
          <w:sz w:val="24"/>
          <w:szCs w:val="24"/>
          <w:lang w:val="ro-MD"/>
        </w:rPr>
        <w:t>ui</w:t>
      </w:r>
      <w:r w:rsidR="00584C60" w:rsidRPr="00890E4C">
        <w:rPr>
          <w:rFonts w:asciiTheme="majorHAnsi" w:hAnsiTheme="majorHAnsi" w:cstheme="majorHAnsi"/>
          <w:sz w:val="24"/>
          <w:szCs w:val="24"/>
          <w:lang w:val="ro-MD"/>
        </w:rPr>
        <w:t xml:space="preserve"> Muncii și Protecției Sociale</w:t>
      </w:r>
      <w:r w:rsidRPr="00890E4C">
        <w:rPr>
          <w:rFonts w:asciiTheme="majorHAnsi" w:hAnsiTheme="majorHAnsi" w:cstheme="majorHAnsi"/>
          <w:sz w:val="24"/>
          <w:szCs w:val="24"/>
          <w:lang w:val="ro-MD"/>
        </w:rPr>
        <w:t xml:space="preserve">, dl </w:t>
      </w:r>
      <w:r w:rsidR="00584C60" w:rsidRPr="00890E4C">
        <w:rPr>
          <w:rFonts w:asciiTheme="majorHAnsi" w:hAnsiTheme="majorHAnsi" w:cstheme="majorHAnsi"/>
          <w:sz w:val="24"/>
          <w:szCs w:val="24"/>
          <w:lang w:val="ro-MD"/>
        </w:rPr>
        <w:t>Alexandru Iacub</w:t>
      </w:r>
      <w:r w:rsidRPr="00890E4C">
        <w:rPr>
          <w:rFonts w:asciiTheme="majorHAnsi" w:hAnsiTheme="majorHAnsi" w:cstheme="majorHAnsi"/>
          <w:sz w:val="24"/>
          <w:szCs w:val="24"/>
          <w:lang w:val="ro-MD"/>
        </w:rPr>
        <w:t xml:space="preserve">; </w:t>
      </w:r>
      <w:r w:rsidR="00F43F04" w:rsidRPr="00890E4C">
        <w:rPr>
          <w:rFonts w:asciiTheme="majorHAnsi" w:hAnsiTheme="majorHAnsi" w:cstheme="majorHAnsi"/>
          <w:sz w:val="24"/>
          <w:szCs w:val="24"/>
          <w:lang w:val="ro-MD"/>
        </w:rPr>
        <w:t>Secretarei general</w:t>
      </w:r>
      <w:r w:rsidR="003F17A1" w:rsidRPr="00890E4C">
        <w:rPr>
          <w:rFonts w:asciiTheme="majorHAnsi" w:hAnsiTheme="majorHAnsi" w:cstheme="majorHAnsi"/>
          <w:sz w:val="24"/>
          <w:szCs w:val="24"/>
          <w:lang w:val="ro-MD"/>
        </w:rPr>
        <w:t>e a</w:t>
      </w:r>
      <w:r w:rsidR="00F43F04" w:rsidRPr="00890E4C">
        <w:rPr>
          <w:rFonts w:asciiTheme="majorHAnsi" w:hAnsiTheme="majorHAnsi" w:cstheme="majorHAnsi"/>
          <w:sz w:val="24"/>
          <w:szCs w:val="24"/>
          <w:lang w:val="ro-MD"/>
        </w:rPr>
        <w:t xml:space="preserve"> Ministerul</w:t>
      </w:r>
      <w:r w:rsidR="003F17A1" w:rsidRPr="00890E4C">
        <w:rPr>
          <w:rFonts w:asciiTheme="majorHAnsi" w:hAnsiTheme="majorHAnsi" w:cstheme="majorHAnsi"/>
          <w:sz w:val="24"/>
          <w:szCs w:val="24"/>
          <w:lang w:val="ro-MD"/>
        </w:rPr>
        <w:t>ui</w:t>
      </w:r>
      <w:r w:rsidR="00F43F04" w:rsidRPr="00890E4C">
        <w:rPr>
          <w:rFonts w:asciiTheme="majorHAnsi" w:hAnsiTheme="majorHAnsi" w:cstheme="majorHAnsi"/>
          <w:sz w:val="24"/>
          <w:szCs w:val="24"/>
          <w:lang w:val="ro-MD"/>
        </w:rPr>
        <w:t xml:space="preserve"> Sănătății</w:t>
      </w:r>
      <w:r w:rsidR="003F17A1" w:rsidRPr="00890E4C">
        <w:rPr>
          <w:rFonts w:asciiTheme="majorHAnsi" w:hAnsiTheme="majorHAnsi" w:cstheme="majorHAnsi"/>
          <w:sz w:val="24"/>
          <w:szCs w:val="24"/>
          <w:lang w:val="ro-MD"/>
        </w:rPr>
        <w:t>,</w:t>
      </w:r>
      <w:r w:rsidR="00F43F04" w:rsidRPr="00890E4C">
        <w:rPr>
          <w:rFonts w:asciiTheme="majorHAnsi" w:hAnsiTheme="majorHAnsi" w:cstheme="majorHAnsi"/>
          <w:sz w:val="24"/>
          <w:szCs w:val="24"/>
          <w:lang w:val="ro-MD"/>
        </w:rPr>
        <w:t xml:space="preserve"> </w:t>
      </w:r>
      <w:r w:rsidR="003F17A1" w:rsidRPr="00890E4C">
        <w:rPr>
          <w:rFonts w:asciiTheme="majorHAnsi" w:hAnsiTheme="majorHAnsi" w:cstheme="majorHAnsi"/>
          <w:sz w:val="24"/>
          <w:szCs w:val="24"/>
          <w:lang w:val="ro-MD"/>
        </w:rPr>
        <w:t xml:space="preserve">dna </w:t>
      </w:r>
      <w:r w:rsidR="00F43F04" w:rsidRPr="00890E4C">
        <w:rPr>
          <w:rFonts w:asciiTheme="majorHAnsi" w:hAnsiTheme="majorHAnsi" w:cstheme="majorHAnsi"/>
          <w:sz w:val="24"/>
          <w:szCs w:val="24"/>
          <w:lang w:val="ro-MD"/>
        </w:rPr>
        <w:t>Lilia G</w:t>
      </w:r>
      <w:r w:rsidR="007C06F6" w:rsidRPr="00890E4C">
        <w:rPr>
          <w:rFonts w:asciiTheme="majorHAnsi" w:hAnsiTheme="majorHAnsi" w:cstheme="majorHAnsi"/>
          <w:sz w:val="24"/>
          <w:szCs w:val="24"/>
          <w:lang w:val="ro-MD"/>
        </w:rPr>
        <w:t>antea</w:t>
      </w:r>
      <w:r w:rsidR="007613A1" w:rsidRPr="00890E4C">
        <w:rPr>
          <w:rFonts w:asciiTheme="majorHAnsi" w:hAnsiTheme="majorHAnsi" w:cstheme="majorHAnsi"/>
          <w:sz w:val="24"/>
          <w:szCs w:val="24"/>
          <w:lang w:val="ro-MD"/>
        </w:rPr>
        <w:t>;</w:t>
      </w:r>
      <w:r w:rsidR="007C06F6" w:rsidRPr="00890E4C">
        <w:rPr>
          <w:rFonts w:asciiTheme="majorHAnsi" w:hAnsiTheme="majorHAnsi" w:cstheme="majorHAnsi"/>
          <w:sz w:val="24"/>
          <w:szCs w:val="24"/>
          <w:lang w:val="ro-MD"/>
        </w:rPr>
        <w:t xml:space="preserve"> </w:t>
      </w:r>
      <w:r w:rsidR="007613A1">
        <w:rPr>
          <w:rFonts w:asciiTheme="majorHAnsi" w:hAnsiTheme="majorHAnsi" w:cstheme="majorHAnsi"/>
          <w:sz w:val="24"/>
          <w:szCs w:val="24"/>
          <w:lang w:val="ro-MD"/>
        </w:rPr>
        <w:t>d</w:t>
      </w:r>
      <w:r w:rsidR="007C06F6" w:rsidRPr="00890E4C">
        <w:rPr>
          <w:rFonts w:asciiTheme="majorHAnsi" w:hAnsiTheme="majorHAnsi" w:cstheme="majorHAnsi"/>
          <w:sz w:val="24"/>
          <w:szCs w:val="24"/>
          <w:lang w:val="ro-MD"/>
        </w:rPr>
        <w:t xml:space="preserve">irectoarei generale a Casei Naționale de Asigurări Sociale, </w:t>
      </w:r>
      <w:r w:rsidR="003F17A1" w:rsidRPr="00890E4C">
        <w:rPr>
          <w:rFonts w:asciiTheme="majorHAnsi" w:hAnsiTheme="majorHAnsi" w:cstheme="majorHAnsi"/>
          <w:sz w:val="24"/>
          <w:szCs w:val="24"/>
          <w:lang w:val="ro-MD"/>
        </w:rPr>
        <w:t xml:space="preserve">dna </w:t>
      </w:r>
      <w:r w:rsidR="007C06F6" w:rsidRPr="00890E4C">
        <w:rPr>
          <w:rFonts w:asciiTheme="majorHAnsi" w:hAnsiTheme="majorHAnsi" w:cstheme="majorHAnsi"/>
          <w:sz w:val="24"/>
          <w:szCs w:val="24"/>
          <w:lang w:val="ro-MD"/>
        </w:rPr>
        <w:t>Elena Ț</w:t>
      </w:r>
      <w:r w:rsidR="003F17A1" w:rsidRPr="00890E4C">
        <w:rPr>
          <w:rFonts w:asciiTheme="majorHAnsi" w:hAnsiTheme="majorHAnsi" w:cstheme="majorHAnsi"/>
          <w:sz w:val="24"/>
          <w:szCs w:val="24"/>
          <w:lang w:val="ro-MD"/>
        </w:rPr>
        <w:t>îbîrnă</w:t>
      </w:r>
      <w:r w:rsidR="007613A1" w:rsidRPr="00890E4C">
        <w:rPr>
          <w:rFonts w:asciiTheme="majorHAnsi" w:hAnsiTheme="majorHAnsi" w:cstheme="majorHAnsi"/>
          <w:sz w:val="24"/>
          <w:szCs w:val="24"/>
          <w:lang w:val="ro-MD"/>
        </w:rPr>
        <w:t>;</w:t>
      </w:r>
      <w:r w:rsidR="003F17A1" w:rsidRPr="00890E4C">
        <w:rPr>
          <w:rFonts w:asciiTheme="majorHAnsi" w:hAnsiTheme="majorHAnsi" w:cstheme="majorHAnsi"/>
          <w:sz w:val="24"/>
          <w:szCs w:val="24"/>
          <w:lang w:val="ro-MD"/>
        </w:rPr>
        <w:t xml:space="preserve"> </w:t>
      </w:r>
      <w:r w:rsidR="007613A1">
        <w:rPr>
          <w:rFonts w:asciiTheme="majorHAnsi" w:hAnsiTheme="majorHAnsi" w:cstheme="majorHAnsi"/>
          <w:sz w:val="24"/>
          <w:szCs w:val="24"/>
          <w:lang w:val="ro-MD"/>
        </w:rPr>
        <w:t>d</w:t>
      </w:r>
      <w:r w:rsidR="003F17A1" w:rsidRPr="00890E4C">
        <w:rPr>
          <w:rFonts w:asciiTheme="majorHAnsi" w:hAnsiTheme="majorHAnsi" w:cstheme="majorHAnsi"/>
          <w:sz w:val="24"/>
          <w:szCs w:val="24"/>
          <w:lang w:val="ro-MD"/>
        </w:rPr>
        <w:t>irectorului adjunct al Serviciului Fiscal de Stat, dl Iuri L</w:t>
      </w:r>
      <w:r w:rsidR="007613A1" w:rsidRPr="00890E4C">
        <w:rPr>
          <w:rFonts w:asciiTheme="majorHAnsi" w:hAnsiTheme="majorHAnsi" w:cstheme="majorHAnsi"/>
          <w:sz w:val="24"/>
          <w:szCs w:val="24"/>
          <w:lang w:val="ro-MD"/>
        </w:rPr>
        <w:t>ichii</w:t>
      </w:r>
      <w:r w:rsidR="007613A1">
        <w:rPr>
          <w:rFonts w:asciiTheme="majorHAnsi" w:hAnsiTheme="majorHAnsi" w:cstheme="majorHAnsi"/>
          <w:sz w:val="24"/>
          <w:szCs w:val="24"/>
          <w:lang w:val="ro-MD"/>
        </w:rPr>
        <w:t>;</w:t>
      </w:r>
      <w:r w:rsidR="003F17A1" w:rsidRPr="00890E4C">
        <w:rPr>
          <w:rFonts w:asciiTheme="majorHAnsi" w:hAnsiTheme="majorHAnsi" w:cstheme="majorHAnsi"/>
          <w:sz w:val="24"/>
          <w:szCs w:val="24"/>
          <w:lang w:val="ro-MD"/>
        </w:rPr>
        <w:t xml:space="preserve"> </w:t>
      </w:r>
      <w:r w:rsidR="007613A1">
        <w:rPr>
          <w:rFonts w:asciiTheme="majorHAnsi" w:hAnsiTheme="majorHAnsi" w:cstheme="majorHAnsi"/>
          <w:sz w:val="24"/>
          <w:szCs w:val="24"/>
          <w:lang w:val="ro-MD"/>
        </w:rPr>
        <w:t>d</w:t>
      </w:r>
      <w:r w:rsidR="003F17A1" w:rsidRPr="00890E4C">
        <w:rPr>
          <w:rFonts w:asciiTheme="majorHAnsi" w:hAnsiTheme="majorHAnsi" w:cstheme="majorHAnsi"/>
          <w:sz w:val="24"/>
          <w:szCs w:val="24"/>
          <w:lang w:val="ro-MD"/>
        </w:rPr>
        <w:t>irectorului Agenției Servicii Publice, dl Mircea Eșanu</w:t>
      </w:r>
      <w:r w:rsidR="007613A1" w:rsidRPr="00890E4C">
        <w:rPr>
          <w:rFonts w:asciiTheme="majorHAnsi" w:hAnsiTheme="majorHAnsi" w:cstheme="majorHAnsi"/>
          <w:sz w:val="24"/>
          <w:szCs w:val="24"/>
          <w:lang w:val="ro-MD"/>
        </w:rPr>
        <w:t>;</w:t>
      </w:r>
      <w:r w:rsidR="003F17A1" w:rsidRPr="00890E4C">
        <w:rPr>
          <w:rFonts w:asciiTheme="majorHAnsi" w:hAnsiTheme="majorHAnsi" w:cstheme="majorHAnsi"/>
          <w:sz w:val="24"/>
          <w:szCs w:val="24"/>
          <w:lang w:val="ro-MD"/>
        </w:rPr>
        <w:t xml:space="preserve"> </w:t>
      </w:r>
      <w:r w:rsidR="007613A1">
        <w:rPr>
          <w:rFonts w:asciiTheme="majorHAnsi" w:hAnsiTheme="majorHAnsi" w:cstheme="majorHAnsi"/>
          <w:sz w:val="24"/>
          <w:szCs w:val="24"/>
          <w:lang w:val="ro-MD"/>
        </w:rPr>
        <w:t>d</w:t>
      </w:r>
      <w:r w:rsidR="003F17A1" w:rsidRPr="00890E4C">
        <w:rPr>
          <w:rFonts w:asciiTheme="majorHAnsi" w:hAnsiTheme="majorHAnsi" w:cstheme="majorHAnsi"/>
          <w:sz w:val="24"/>
          <w:szCs w:val="24"/>
          <w:lang w:val="ro-MD"/>
        </w:rPr>
        <w:t>irectorului general adjunct al Biroului Național de Statistică, dl Iurie Mocanu</w:t>
      </w:r>
      <w:r w:rsidR="007613A1" w:rsidRPr="00890E4C">
        <w:rPr>
          <w:rFonts w:asciiTheme="majorHAnsi" w:hAnsiTheme="majorHAnsi" w:cstheme="majorHAnsi"/>
          <w:sz w:val="24"/>
          <w:szCs w:val="24"/>
          <w:lang w:val="ro-MD"/>
        </w:rPr>
        <w:t>;</w:t>
      </w:r>
      <w:r w:rsidR="003F17A1" w:rsidRPr="00890E4C">
        <w:rPr>
          <w:rFonts w:asciiTheme="majorHAnsi" w:hAnsiTheme="majorHAnsi" w:cstheme="majorHAnsi"/>
          <w:sz w:val="24"/>
          <w:szCs w:val="24"/>
          <w:lang w:val="ro-MD"/>
        </w:rPr>
        <w:t xml:space="preserve"> </w:t>
      </w:r>
      <w:r w:rsidR="007613A1">
        <w:rPr>
          <w:rFonts w:asciiTheme="majorHAnsi" w:hAnsiTheme="majorHAnsi" w:cstheme="majorHAnsi"/>
          <w:sz w:val="24"/>
          <w:szCs w:val="24"/>
          <w:lang w:val="ro-MD"/>
        </w:rPr>
        <w:t>d</w:t>
      </w:r>
      <w:r w:rsidR="003F17A1" w:rsidRPr="00890E4C">
        <w:rPr>
          <w:rFonts w:asciiTheme="majorHAnsi" w:hAnsiTheme="majorHAnsi" w:cstheme="majorHAnsi"/>
          <w:sz w:val="24"/>
          <w:szCs w:val="24"/>
          <w:lang w:val="ro-MD"/>
        </w:rPr>
        <w:t>irectoarei interimare a I.P. Centrul de Tehnologii Informaționale în Finanțe, dna Elena Saharnean</w:t>
      </w:r>
      <w:r w:rsidR="007613A1" w:rsidRPr="00890E4C">
        <w:rPr>
          <w:rFonts w:asciiTheme="majorHAnsi" w:hAnsiTheme="majorHAnsi" w:cstheme="majorHAnsi"/>
          <w:sz w:val="24"/>
          <w:szCs w:val="24"/>
          <w:lang w:val="ro-MD"/>
        </w:rPr>
        <w:t>;</w:t>
      </w:r>
      <w:r w:rsidR="003F17A1" w:rsidRPr="00890E4C">
        <w:rPr>
          <w:rFonts w:asciiTheme="majorHAnsi" w:hAnsiTheme="majorHAnsi" w:cstheme="majorHAnsi"/>
          <w:sz w:val="24"/>
          <w:szCs w:val="24"/>
          <w:lang w:val="ro-MD"/>
        </w:rPr>
        <w:t xml:space="preserve"> </w:t>
      </w:r>
      <w:r w:rsidR="007613A1">
        <w:rPr>
          <w:rFonts w:asciiTheme="majorHAnsi" w:hAnsiTheme="majorHAnsi" w:cstheme="majorHAnsi"/>
          <w:sz w:val="24"/>
          <w:szCs w:val="24"/>
          <w:lang w:val="ro-MD"/>
        </w:rPr>
        <w:t>d</w:t>
      </w:r>
      <w:r w:rsidR="003F17A1" w:rsidRPr="00890E4C">
        <w:rPr>
          <w:rFonts w:asciiTheme="majorHAnsi" w:hAnsiTheme="majorHAnsi" w:cstheme="majorHAnsi"/>
          <w:sz w:val="24"/>
          <w:szCs w:val="24"/>
          <w:lang w:val="ro-MD"/>
        </w:rPr>
        <w:t>irectoare</w:t>
      </w:r>
      <w:r w:rsidR="007613A1" w:rsidRPr="00890E4C">
        <w:rPr>
          <w:rFonts w:asciiTheme="majorHAnsi" w:hAnsiTheme="majorHAnsi" w:cstheme="majorHAnsi"/>
          <w:sz w:val="24"/>
          <w:szCs w:val="24"/>
          <w:lang w:val="ro-MD"/>
        </w:rPr>
        <w:t>i</w:t>
      </w:r>
      <w:r w:rsidR="003F17A1" w:rsidRPr="00890E4C">
        <w:rPr>
          <w:rFonts w:asciiTheme="majorHAnsi" w:hAnsiTheme="majorHAnsi" w:cstheme="majorHAnsi"/>
          <w:sz w:val="24"/>
          <w:szCs w:val="24"/>
          <w:lang w:val="ro-MD"/>
        </w:rPr>
        <w:t xml:space="preserve"> adjunct</w:t>
      </w:r>
      <w:r w:rsidR="007613A1" w:rsidRPr="00890E4C">
        <w:rPr>
          <w:rFonts w:asciiTheme="majorHAnsi" w:hAnsiTheme="majorHAnsi" w:cstheme="majorHAnsi"/>
          <w:sz w:val="24"/>
          <w:szCs w:val="24"/>
          <w:lang w:val="ro-MD"/>
        </w:rPr>
        <w:t>e</w:t>
      </w:r>
      <w:r w:rsidR="003F17A1" w:rsidRPr="00890E4C">
        <w:rPr>
          <w:rFonts w:asciiTheme="majorHAnsi" w:hAnsiTheme="majorHAnsi" w:cstheme="majorHAnsi"/>
          <w:sz w:val="24"/>
          <w:szCs w:val="24"/>
          <w:lang w:val="ro-MD"/>
        </w:rPr>
        <w:t xml:space="preserve"> a Agenției Naționale pentru Ocuparea Forței de Muncă, dna Valentina Lungu</w:t>
      </w:r>
      <w:r w:rsidR="007613A1" w:rsidRPr="00890E4C">
        <w:rPr>
          <w:rFonts w:asciiTheme="majorHAnsi" w:hAnsiTheme="majorHAnsi" w:cstheme="majorHAnsi"/>
          <w:sz w:val="24"/>
          <w:szCs w:val="24"/>
          <w:lang w:val="ro-MD"/>
        </w:rPr>
        <w:t>;</w:t>
      </w:r>
      <w:r w:rsidR="003F17A1" w:rsidRPr="00890E4C">
        <w:rPr>
          <w:rFonts w:asciiTheme="majorHAnsi" w:hAnsiTheme="majorHAnsi" w:cstheme="majorHAnsi"/>
          <w:sz w:val="24"/>
          <w:szCs w:val="24"/>
          <w:lang w:val="ro-MD"/>
        </w:rPr>
        <w:t xml:space="preserve"> șefului Direcției politici bugetare sectoriale din cadrul Ministerului Finanțelor, </w:t>
      </w:r>
      <w:r w:rsidR="007613A1" w:rsidRPr="00890E4C">
        <w:rPr>
          <w:rFonts w:asciiTheme="majorHAnsi" w:hAnsiTheme="majorHAnsi" w:cstheme="majorHAnsi"/>
          <w:sz w:val="24"/>
          <w:szCs w:val="24"/>
          <w:lang w:val="ro-MD"/>
        </w:rPr>
        <w:t xml:space="preserve">dl </w:t>
      </w:r>
      <w:r w:rsidR="003F17A1" w:rsidRPr="00890E4C">
        <w:rPr>
          <w:rFonts w:asciiTheme="majorHAnsi" w:hAnsiTheme="majorHAnsi" w:cstheme="majorHAnsi"/>
          <w:sz w:val="24"/>
          <w:szCs w:val="24"/>
          <w:lang w:val="ro-MD"/>
        </w:rPr>
        <w:t>Vasile Botica</w:t>
      </w:r>
      <w:r w:rsidR="007613A1" w:rsidRPr="00890E4C">
        <w:rPr>
          <w:rFonts w:asciiTheme="majorHAnsi" w:hAnsiTheme="majorHAnsi" w:cstheme="majorHAnsi"/>
          <w:sz w:val="24"/>
          <w:szCs w:val="24"/>
          <w:lang w:val="ro-MD"/>
        </w:rPr>
        <w:t>;</w:t>
      </w:r>
      <w:r w:rsidR="003F17A1" w:rsidRPr="00890E4C">
        <w:rPr>
          <w:rFonts w:asciiTheme="majorHAnsi" w:hAnsiTheme="majorHAnsi" w:cstheme="majorHAnsi"/>
          <w:sz w:val="24"/>
          <w:szCs w:val="24"/>
          <w:lang w:val="ro-MD"/>
        </w:rPr>
        <w:t xml:space="preserve"> </w:t>
      </w:r>
      <w:r w:rsidR="007613A1" w:rsidRPr="00890E4C">
        <w:rPr>
          <w:rFonts w:asciiTheme="majorHAnsi" w:hAnsiTheme="majorHAnsi" w:cstheme="majorHAnsi"/>
          <w:color w:val="000000" w:themeColor="text1"/>
          <w:sz w:val="24"/>
          <w:szCs w:val="24"/>
          <w:lang w:val="ro-MD"/>
        </w:rPr>
        <w:t>ș</w:t>
      </w:r>
      <w:r w:rsidR="003C1567" w:rsidRPr="00890E4C">
        <w:rPr>
          <w:rFonts w:asciiTheme="majorHAnsi" w:hAnsiTheme="majorHAnsi" w:cstheme="majorHAnsi"/>
          <w:color w:val="000000" w:themeColor="text1"/>
          <w:sz w:val="24"/>
          <w:szCs w:val="24"/>
          <w:lang w:val="ro-MD"/>
        </w:rPr>
        <w:t>efei Direcției inspecția prestațiilor de asistență socială din cadrul Inspectoratului Social de Stat, dna Alina D</w:t>
      </w:r>
      <w:r w:rsidR="007613A1" w:rsidRPr="00890E4C">
        <w:rPr>
          <w:rFonts w:asciiTheme="majorHAnsi" w:hAnsiTheme="majorHAnsi" w:cstheme="majorHAnsi"/>
          <w:color w:val="000000" w:themeColor="text1"/>
          <w:sz w:val="24"/>
          <w:szCs w:val="24"/>
          <w:lang w:val="ro-MD"/>
        </w:rPr>
        <w:t>așcov</w:t>
      </w:r>
      <w:r w:rsidR="003C1567" w:rsidRPr="00890E4C">
        <w:rPr>
          <w:rFonts w:asciiTheme="majorHAnsi" w:hAnsiTheme="majorHAnsi" w:cstheme="majorHAnsi"/>
          <w:color w:val="000000" w:themeColor="text1"/>
          <w:sz w:val="24"/>
          <w:szCs w:val="24"/>
          <w:lang w:val="ro-MD"/>
        </w:rPr>
        <w:t xml:space="preserve">; </w:t>
      </w:r>
      <w:r w:rsidR="007613A1" w:rsidRPr="00890E4C">
        <w:rPr>
          <w:rFonts w:asciiTheme="majorHAnsi" w:hAnsiTheme="majorHAnsi" w:cstheme="majorHAnsi"/>
          <w:color w:val="000000" w:themeColor="text1"/>
          <w:sz w:val="24"/>
          <w:szCs w:val="24"/>
          <w:lang w:val="ro-MD"/>
        </w:rPr>
        <w:t>i</w:t>
      </w:r>
      <w:r w:rsidR="003C1567" w:rsidRPr="00890E4C">
        <w:rPr>
          <w:rFonts w:asciiTheme="majorHAnsi" w:hAnsiTheme="majorHAnsi" w:cstheme="majorHAnsi"/>
          <w:color w:val="000000" w:themeColor="text1"/>
          <w:sz w:val="24"/>
          <w:szCs w:val="24"/>
          <w:lang w:val="ro-MD"/>
        </w:rPr>
        <w:t>nspectorului principal al Inspectoratul</w:t>
      </w:r>
      <w:r w:rsidR="007613A1" w:rsidRPr="00890E4C">
        <w:rPr>
          <w:rFonts w:asciiTheme="majorHAnsi" w:hAnsiTheme="majorHAnsi" w:cstheme="majorHAnsi"/>
          <w:color w:val="000000" w:themeColor="text1"/>
          <w:sz w:val="24"/>
          <w:szCs w:val="24"/>
          <w:lang w:val="ro-MD"/>
        </w:rPr>
        <w:t>ui</w:t>
      </w:r>
      <w:r w:rsidR="003C1567" w:rsidRPr="00890E4C">
        <w:rPr>
          <w:rFonts w:asciiTheme="majorHAnsi" w:hAnsiTheme="majorHAnsi" w:cstheme="majorHAnsi"/>
          <w:color w:val="000000" w:themeColor="text1"/>
          <w:sz w:val="24"/>
          <w:szCs w:val="24"/>
          <w:lang w:val="ro-MD"/>
        </w:rPr>
        <w:t xml:space="preserve"> de Stat al Muncii, dl Vitalie B</w:t>
      </w:r>
      <w:r w:rsidR="007613A1" w:rsidRPr="00890E4C">
        <w:rPr>
          <w:rFonts w:asciiTheme="majorHAnsi" w:hAnsiTheme="majorHAnsi" w:cstheme="majorHAnsi"/>
          <w:color w:val="000000" w:themeColor="text1"/>
          <w:sz w:val="24"/>
          <w:szCs w:val="24"/>
          <w:lang w:val="ro-MD"/>
        </w:rPr>
        <w:t>înzari</w:t>
      </w:r>
      <w:r w:rsidR="003C1567" w:rsidRPr="00890E4C">
        <w:rPr>
          <w:rFonts w:asciiTheme="majorHAnsi" w:hAnsiTheme="majorHAnsi" w:cstheme="majorHAnsi"/>
          <w:color w:val="000000" w:themeColor="text1"/>
          <w:sz w:val="24"/>
          <w:szCs w:val="24"/>
          <w:lang w:val="ro-MD"/>
        </w:rPr>
        <w:t>,</w:t>
      </w:r>
      <w:r w:rsidR="003C1567" w:rsidRPr="00890E4C">
        <w:rPr>
          <w:rFonts w:asciiTheme="majorHAnsi" w:hAnsiTheme="majorHAnsi" w:cstheme="majorHAnsi"/>
          <w:sz w:val="24"/>
          <w:szCs w:val="24"/>
          <w:lang w:val="ro-MD"/>
        </w:rPr>
        <w:t xml:space="preserve"> </w:t>
      </w:r>
      <w:r w:rsidRPr="00890E4C">
        <w:rPr>
          <w:rFonts w:asciiTheme="majorHAnsi" w:hAnsiTheme="majorHAnsi" w:cstheme="majorHAnsi"/>
          <w:sz w:val="24"/>
          <w:szCs w:val="24"/>
          <w:lang w:val="ro-MD"/>
        </w:rPr>
        <w:t>precum și a altor persoane cu funcții de răspundere, în cadrul ședinței video, călăuzindu-se de</w:t>
      </w:r>
      <w:r w:rsidRPr="007613A1">
        <w:rPr>
          <w:rFonts w:asciiTheme="majorHAnsi" w:eastAsia="Times New Roman" w:hAnsiTheme="majorHAnsi" w:cstheme="majorHAnsi"/>
          <w:color w:val="000000"/>
          <w:sz w:val="24"/>
          <w:szCs w:val="24"/>
          <w:lang w:val="ro-MD"/>
        </w:rPr>
        <w:t xml:space="preserve"> prevederile</w:t>
      </w:r>
      <w:r w:rsidRPr="00A51A4E">
        <w:rPr>
          <w:rFonts w:asciiTheme="majorHAnsi" w:eastAsia="Times New Roman" w:hAnsiTheme="majorHAnsi" w:cstheme="majorHAnsi"/>
          <w:color w:val="000000"/>
          <w:sz w:val="24"/>
          <w:szCs w:val="24"/>
          <w:lang w:val="ro-MD"/>
        </w:rPr>
        <w:t xml:space="preserve"> art.3 alin.(1), art.5 alin.(1) lit.a) și </w:t>
      </w:r>
      <w:r w:rsidRPr="00A51A4E">
        <w:rPr>
          <w:rFonts w:asciiTheme="majorHAnsi" w:hAnsiTheme="majorHAnsi" w:cstheme="majorHAnsi"/>
          <w:sz w:val="24"/>
          <w:szCs w:val="24"/>
          <w:lang w:val="ro-MD"/>
        </w:rPr>
        <w:t>art.32 alin.(3) lit.b)</w:t>
      </w:r>
      <w:r w:rsidRPr="00A51A4E">
        <w:rPr>
          <w:rFonts w:asciiTheme="majorHAnsi" w:eastAsia="Times New Roman" w:hAnsiTheme="majorHAnsi" w:cstheme="majorHAnsi"/>
          <w:color w:val="000000"/>
          <w:sz w:val="24"/>
          <w:szCs w:val="24"/>
          <w:lang w:val="ro-MD"/>
        </w:rPr>
        <w:t xml:space="preserve"> din</w:t>
      </w:r>
      <w:r w:rsidRPr="00C30C89">
        <w:rPr>
          <w:rFonts w:asciiTheme="majorHAnsi" w:eastAsia="Times New Roman" w:hAnsiTheme="majorHAnsi" w:cstheme="majorHAnsi"/>
          <w:color w:val="000000"/>
          <w:sz w:val="24"/>
          <w:szCs w:val="24"/>
          <w:lang w:val="ro-MD"/>
        </w:rPr>
        <w:t xml:space="preserve"> Legea privind organizarea și funcționarea Curții de Conturi a Republicii Moldova</w:t>
      </w:r>
      <w:r w:rsidRPr="00C30C89">
        <w:rPr>
          <w:rStyle w:val="a5"/>
          <w:rFonts w:asciiTheme="majorHAnsi" w:eastAsia="Times New Roman" w:hAnsiTheme="majorHAnsi" w:cstheme="majorHAnsi"/>
          <w:color w:val="000000"/>
          <w:sz w:val="24"/>
          <w:szCs w:val="24"/>
          <w:lang w:val="ro-MD"/>
        </w:rPr>
        <w:footnoteReference w:id="1"/>
      </w:r>
      <w:r w:rsidRPr="00C30C89">
        <w:rPr>
          <w:rFonts w:asciiTheme="majorHAnsi" w:eastAsia="Times New Roman" w:hAnsiTheme="majorHAnsi" w:cstheme="majorHAnsi"/>
          <w:color w:val="000000"/>
          <w:sz w:val="24"/>
          <w:szCs w:val="24"/>
          <w:lang w:val="ro-MD"/>
        </w:rPr>
        <w:t xml:space="preserve">, a examinat Raportul auditului financiar al Raportului Guvernului privind executarea bugetului asigurărilor </w:t>
      </w:r>
      <w:r>
        <w:rPr>
          <w:rFonts w:asciiTheme="majorHAnsi" w:eastAsia="Times New Roman" w:hAnsiTheme="majorHAnsi" w:cstheme="majorHAnsi"/>
          <w:color w:val="000000"/>
          <w:sz w:val="24"/>
          <w:szCs w:val="24"/>
          <w:lang w:val="ro-MD"/>
        </w:rPr>
        <w:t>sociale de stat în anul 202</w:t>
      </w:r>
      <w:r w:rsidR="0092231C">
        <w:rPr>
          <w:rFonts w:asciiTheme="majorHAnsi" w:eastAsia="Times New Roman" w:hAnsiTheme="majorHAnsi" w:cstheme="majorHAnsi"/>
          <w:color w:val="000000"/>
          <w:sz w:val="24"/>
          <w:szCs w:val="24"/>
          <w:lang w:val="ro-MD"/>
        </w:rPr>
        <w:t>2</w:t>
      </w:r>
      <w:r w:rsidRPr="00C30C89">
        <w:rPr>
          <w:rFonts w:asciiTheme="majorHAnsi" w:eastAsia="Times New Roman" w:hAnsiTheme="majorHAnsi" w:cstheme="majorHAnsi"/>
          <w:color w:val="000000"/>
          <w:sz w:val="24"/>
          <w:szCs w:val="24"/>
          <w:lang w:val="ro-MD"/>
        </w:rPr>
        <w:t>.</w:t>
      </w:r>
    </w:p>
    <w:p w:rsidR="00DF21B9" w:rsidRPr="00585C40" w:rsidRDefault="00DF21B9" w:rsidP="003F17A1">
      <w:pPr>
        <w:spacing w:after="0"/>
        <w:ind w:firstLine="720"/>
        <w:rPr>
          <w:rFonts w:asciiTheme="majorHAnsi" w:hAnsiTheme="majorHAnsi" w:cstheme="majorHAnsi"/>
          <w:sz w:val="24"/>
          <w:szCs w:val="24"/>
          <w:lang w:val="ro-MD"/>
        </w:rPr>
      </w:pPr>
      <w:r w:rsidRPr="00C30C89">
        <w:rPr>
          <w:rFonts w:asciiTheme="majorHAnsi" w:eastAsia="Times New Roman" w:hAnsiTheme="majorHAnsi" w:cstheme="majorHAnsi"/>
          <w:sz w:val="24"/>
          <w:szCs w:val="24"/>
          <w:lang w:val="ro-MD" w:eastAsia="ro-MD"/>
        </w:rPr>
        <w:t>Misiune</w:t>
      </w:r>
      <w:r w:rsidRPr="00585C40">
        <w:rPr>
          <w:rFonts w:asciiTheme="majorHAnsi" w:eastAsia="Times New Roman" w:hAnsiTheme="majorHAnsi" w:cstheme="majorHAnsi"/>
          <w:sz w:val="24"/>
          <w:szCs w:val="24"/>
          <w:lang w:val="ro-MD" w:eastAsia="ro-MD"/>
        </w:rPr>
        <w:t xml:space="preserve">a de audit public extern a fost realizată conform </w:t>
      </w:r>
      <w:r w:rsidR="00881747" w:rsidRPr="00585C40">
        <w:rPr>
          <w:rFonts w:asciiTheme="majorHAnsi" w:hAnsiTheme="majorHAnsi" w:cstheme="majorHAnsi"/>
          <w:sz w:val="24"/>
          <w:szCs w:val="24"/>
          <w:lang w:val="ro-MD"/>
        </w:rPr>
        <w:t>Program</w:t>
      </w:r>
      <w:r w:rsidR="00881747">
        <w:rPr>
          <w:rFonts w:asciiTheme="majorHAnsi" w:hAnsiTheme="majorHAnsi" w:cstheme="majorHAnsi"/>
          <w:sz w:val="24"/>
          <w:szCs w:val="24"/>
          <w:lang w:val="ro-MD"/>
        </w:rPr>
        <w:t>elor</w:t>
      </w:r>
      <w:r w:rsidR="00881747" w:rsidRPr="00585C40">
        <w:rPr>
          <w:rFonts w:asciiTheme="majorHAnsi" w:hAnsiTheme="majorHAnsi" w:cstheme="majorHAnsi"/>
          <w:sz w:val="24"/>
          <w:szCs w:val="24"/>
          <w:lang w:val="ro-MD"/>
        </w:rPr>
        <w:t xml:space="preserve"> </w:t>
      </w:r>
      <w:r w:rsidRPr="00585C40">
        <w:rPr>
          <w:rFonts w:asciiTheme="majorHAnsi" w:hAnsiTheme="majorHAnsi" w:cstheme="majorHAnsi"/>
          <w:sz w:val="24"/>
          <w:szCs w:val="24"/>
          <w:lang w:val="ro-MD"/>
        </w:rPr>
        <w:t>activității de aud</w:t>
      </w:r>
      <w:r w:rsidR="00C13F43">
        <w:rPr>
          <w:rFonts w:asciiTheme="majorHAnsi" w:hAnsiTheme="majorHAnsi" w:cstheme="majorHAnsi"/>
          <w:sz w:val="24"/>
          <w:szCs w:val="24"/>
          <w:lang w:val="ro-MD"/>
        </w:rPr>
        <w:t>it al</w:t>
      </w:r>
      <w:r w:rsidR="00ED6C5B">
        <w:rPr>
          <w:rFonts w:asciiTheme="majorHAnsi" w:hAnsiTheme="majorHAnsi" w:cstheme="majorHAnsi"/>
          <w:sz w:val="24"/>
          <w:szCs w:val="24"/>
          <w:lang w:val="ro-MD"/>
        </w:rPr>
        <w:t>e</w:t>
      </w:r>
      <w:r w:rsidR="00C13F43">
        <w:rPr>
          <w:rFonts w:asciiTheme="majorHAnsi" w:hAnsiTheme="majorHAnsi" w:cstheme="majorHAnsi"/>
          <w:sz w:val="24"/>
          <w:szCs w:val="24"/>
          <w:lang w:val="ro-MD"/>
        </w:rPr>
        <w:t xml:space="preserve"> Curții de Conturi pe an</w:t>
      </w:r>
      <w:r w:rsidR="00B57BE9">
        <w:rPr>
          <w:rFonts w:asciiTheme="majorHAnsi" w:hAnsiTheme="majorHAnsi" w:cstheme="majorHAnsi"/>
          <w:sz w:val="24"/>
          <w:szCs w:val="24"/>
          <w:lang w:val="ro-MD"/>
        </w:rPr>
        <w:t xml:space="preserve">ii </w:t>
      </w:r>
      <w:r w:rsidRPr="00585C40">
        <w:rPr>
          <w:rFonts w:asciiTheme="majorHAnsi" w:hAnsiTheme="majorHAnsi" w:cstheme="majorHAnsi"/>
          <w:sz w:val="24"/>
          <w:szCs w:val="24"/>
          <w:lang w:val="ro-MD"/>
        </w:rPr>
        <w:t>20</w:t>
      </w:r>
      <w:r>
        <w:rPr>
          <w:rFonts w:asciiTheme="majorHAnsi" w:hAnsiTheme="majorHAnsi" w:cstheme="majorHAnsi"/>
          <w:sz w:val="24"/>
          <w:szCs w:val="24"/>
          <w:lang w:val="ro-MD"/>
        </w:rPr>
        <w:t>22</w:t>
      </w:r>
      <w:r w:rsidR="000A091C">
        <w:rPr>
          <w:rFonts w:asciiTheme="majorHAnsi" w:hAnsiTheme="majorHAnsi" w:cstheme="majorHAnsi"/>
          <w:sz w:val="24"/>
          <w:szCs w:val="24"/>
          <w:lang w:val="ro-MD"/>
        </w:rPr>
        <w:t xml:space="preserve"> și</w:t>
      </w:r>
      <w:r w:rsidR="00B57BE9">
        <w:rPr>
          <w:rFonts w:asciiTheme="majorHAnsi" w:hAnsiTheme="majorHAnsi" w:cstheme="majorHAnsi"/>
          <w:sz w:val="24"/>
          <w:szCs w:val="24"/>
          <w:lang w:val="ro-MD"/>
        </w:rPr>
        <w:t>, respectiv,</w:t>
      </w:r>
      <w:r w:rsidR="00881747">
        <w:rPr>
          <w:rFonts w:asciiTheme="majorHAnsi" w:hAnsiTheme="majorHAnsi" w:cstheme="majorHAnsi"/>
          <w:sz w:val="24"/>
          <w:szCs w:val="24"/>
          <w:lang w:val="ro-MD"/>
        </w:rPr>
        <w:t xml:space="preserve"> </w:t>
      </w:r>
      <w:r w:rsidR="000A091C">
        <w:rPr>
          <w:rFonts w:asciiTheme="majorHAnsi" w:hAnsiTheme="majorHAnsi" w:cstheme="majorHAnsi"/>
          <w:sz w:val="24"/>
          <w:szCs w:val="24"/>
          <w:lang w:val="ro-MD"/>
        </w:rPr>
        <w:t>2023</w:t>
      </w:r>
      <w:r w:rsidRPr="00585C40">
        <w:rPr>
          <w:rStyle w:val="a5"/>
          <w:rFonts w:asciiTheme="majorHAnsi" w:hAnsiTheme="majorHAnsi" w:cstheme="majorHAnsi"/>
          <w:sz w:val="24"/>
          <w:szCs w:val="24"/>
          <w:lang w:val="ro-MD"/>
        </w:rPr>
        <w:footnoteReference w:id="2"/>
      </w:r>
      <w:r w:rsidRPr="00585C40">
        <w:rPr>
          <w:rFonts w:asciiTheme="majorHAnsi" w:hAnsiTheme="majorHAnsi" w:cstheme="majorHAnsi"/>
          <w:sz w:val="24"/>
          <w:szCs w:val="24"/>
          <w:lang w:val="ro-MD"/>
        </w:rPr>
        <w:t xml:space="preserve">, </w:t>
      </w:r>
      <w:r w:rsidRPr="00585C40">
        <w:rPr>
          <w:rFonts w:asciiTheme="majorHAnsi" w:eastAsia="Times New Roman" w:hAnsiTheme="majorHAnsi" w:cstheme="majorHAnsi"/>
          <w:sz w:val="24"/>
          <w:szCs w:val="24"/>
          <w:lang w:val="ro-MD"/>
        </w:rPr>
        <w:t>având drept scop oferirea unei asigurări rezonabile cu privire l</w:t>
      </w:r>
      <w:r w:rsidRPr="00585C40">
        <w:rPr>
          <w:rFonts w:asciiTheme="majorHAnsi" w:eastAsia="Times New Roman" w:hAnsiTheme="majorHAnsi" w:cs="Times New Roman"/>
          <w:noProof/>
          <w:sz w:val="24"/>
          <w:szCs w:val="24"/>
          <w:lang w:val="ro-MD"/>
        </w:rPr>
        <w:t>a faptul că Raportul Guvernului privind executarea bugetului asigurărilor sociale de stat în anul 20</w:t>
      </w:r>
      <w:r>
        <w:rPr>
          <w:rFonts w:asciiTheme="majorHAnsi" w:eastAsia="Times New Roman" w:hAnsiTheme="majorHAnsi" w:cs="Times New Roman"/>
          <w:noProof/>
          <w:sz w:val="24"/>
          <w:szCs w:val="24"/>
          <w:lang w:val="ro-MD"/>
        </w:rPr>
        <w:t>2</w:t>
      </w:r>
      <w:r w:rsidR="0092231C">
        <w:rPr>
          <w:rFonts w:asciiTheme="majorHAnsi" w:eastAsia="Times New Roman" w:hAnsiTheme="majorHAnsi" w:cs="Times New Roman"/>
          <w:noProof/>
          <w:sz w:val="24"/>
          <w:szCs w:val="24"/>
          <w:lang w:val="ro-MD"/>
        </w:rPr>
        <w:t>2</w:t>
      </w:r>
      <w:r w:rsidRPr="00585C40">
        <w:rPr>
          <w:rFonts w:asciiTheme="majorHAnsi" w:eastAsia="Times New Roman" w:hAnsiTheme="majorHAnsi" w:cs="Times New Roman"/>
          <w:noProof/>
          <w:sz w:val="24"/>
          <w:szCs w:val="24"/>
          <w:lang w:val="ro-MD"/>
        </w:rPr>
        <w:t xml:space="preserve"> nu conține, în ansamblu, denaturări semnificative cauzate de fraude sau erori, precum și emiterea unei opinii.</w:t>
      </w:r>
    </w:p>
    <w:p w:rsidR="00DF21B9" w:rsidRPr="00585C40" w:rsidRDefault="00DF21B9" w:rsidP="0048655A">
      <w:pPr>
        <w:spacing w:after="0"/>
        <w:ind w:firstLine="720"/>
        <w:rPr>
          <w:rFonts w:asciiTheme="majorHAnsi" w:eastAsia="Times New Roman" w:hAnsiTheme="majorHAnsi" w:cstheme="majorHAnsi"/>
          <w:sz w:val="24"/>
          <w:szCs w:val="24"/>
          <w:lang w:val="ro-MD"/>
        </w:rPr>
      </w:pPr>
      <w:r w:rsidRPr="00585C40">
        <w:rPr>
          <w:rFonts w:asciiTheme="majorHAnsi" w:eastAsia="Times New Roman" w:hAnsiTheme="majorHAnsi" w:cstheme="majorHAnsi"/>
          <w:sz w:val="24"/>
          <w:szCs w:val="24"/>
          <w:lang w:val="ro-MD"/>
        </w:rPr>
        <w:t>Auditul public extern a fost planificat și s-a desfășurat în conformitate cu Standardele Internaționale ale Instituțiilor Supreme de Audit aplicate de Curtea de Conturi</w:t>
      </w:r>
      <w:r w:rsidRPr="00585C40">
        <w:rPr>
          <w:rStyle w:val="a5"/>
          <w:rFonts w:asciiTheme="majorHAnsi" w:eastAsia="Times New Roman" w:hAnsiTheme="majorHAnsi" w:cstheme="majorHAnsi"/>
          <w:sz w:val="24"/>
          <w:szCs w:val="24"/>
          <w:lang w:val="ro-MD"/>
        </w:rPr>
        <w:footnoteReference w:id="3"/>
      </w:r>
      <w:r w:rsidRPr="00585C40">
        <w:rPr>
          <w:rFonts w:asciiTheme="majorHAnsi" w:eastAsia="Times New Roman" w:hAnsiTheme="majorHAnsi" w:cstheme="majorHAnsi"/>
          <w:sz w:val="24"/>
          <w:szCs w:val="24"/>
          <w:lang w:val="ro-MD"/>
        </w:rPr>
        <w:t>.</w:t>
      </w:r>
    </w:p>
    <w:p w:rsidR="00DF21B9" w:rsidRPr="00585C40" w:rsidRDefault="00DF21B9" w:rsidP="0048655A">
      <w:pPr>
        <w:spacing w:after="0"/>
        <w:ind w:firstLine="720"/>
        <w:rPr>
          <w:rFonts w:asciiTheme="majorHAnsi" w:eastAsia="Times New Roman" w:hAnsiTheme="majorHAnsi" w:cstheme="majorHAnsi"/>
          <w:sz w:val="24"/>
          <w:szCs w:val="24"/>
          <w:lang w:val="ro-MD"/>
        </w:rPr>
      </w:pPr>
      <w:r w:rsidRPr="00585C40">
        <w:rPr>
          <w:rFonts w:asciiTheme="majorHAnsi" w:eastAsia="Times New Roman" w:hAnsiTheme="majorHAnsi" w:cstheme="majorHAnsi"/>
          <w:sz w:val="24"/>
          <w:szCs w:val="24"/>
          <w:lang w:val="ro-MD"/>
        </w:rPr>
        <w:t xml:space="preserve">Examinând Raportul de audit prezentat, Curtea de Conturi </w:t>
      </w:r>
    </w:p>
    <w:p w:rsidR="00DF21B9" w:rsidRDefault="00DF21B9" w:rsidP="0048655A">
      <w:pPr>
        <w:spacing w:after="0"/>
        <w:jc w:val="center"/>
        <w:rPr>
          <w:rFonts w:asciiTheme="majorHAnsi" w:eastAsia="Times New Roman" w:hAnsiTheme="majorHAnsi" w:cstheme="majorHAnsi"/>
          <w:b/>
          <w:bCs/>
          <w:sz w:val="24"/>
          <w:szCs w:val="24"/>
          <w:lang w:val="ro-MD"/>
        </w:rPr>
      </w:pPr>
    </w:p>
    <w:p w:rsidR="00CE3455" w:rsidRDefault="00CE3455" w:rsidP="0048655A">
      <w:pPr>
        <w:spacing w:after="0"/>
        <w:jc w:val="center"/>
        <w:rPr>
          <w:rFonts w:asciiTheme="majorHAnsi" w:eastAsia="Times New Roman" w:hAnsiTheme="majorHAnsi" w:cstheme="majorHAnsi"/>
          <w:b/>
          <w:bCs/>
          <w:sz w:val="24"/>
          <w:szCs w:val="24"/>
          <w:lang w:val="ro-MD"/>
        </w:rPr>
      </w:pPr>
    </w:p>
    <w:p w:rsidR="00DF21B9" w:rsidRPr="00585C40" w:rsidRDefault="00DF21B9" w:rsidP="0048655A">
      <w:pPr>
        <w:spacing w:after="0"/>
        <w:jc w:val="center"/>
        <w:rPr>
          <w:rFonts w:asciiTheme="majorHAnsi" w:eastAsia="Times New Roman" w:hAnsiTheme="majorHAnsi" w:cstheme="majorHAnsi"/>
          <w:b/>
          <w:bCs/>
          <w:sz w:val="24"/>
          <w:szCs w:val="24"/>
          <w:lang w:val="ro-MD"/>
        </w:rPr>
      </w:pPr>
      <w:r w:rsidRPr="00585C40">
        <w:rPr>
          <w:rFonts w:asciiTheme="majorHAnsi" w:eastAsia="Times New Roman" w:hAnsiTheme="majorHAnsi" w:cstheme="majorHAnsi"/>
          <w:b/>
          <w:bCs/>
          <w:sz w:val="24"/>
          <w:szCs w:val="24"/>
          <w:lang w:val="ro-MD"/>
        </w:rPr>
        <w:lastRenderedPageBreak/>
        <w:t>A CONSTATAT:</w:t>
      </w:r>
    </w:p>
    <w:p w:rsidR="00DF21B9" w:rsidRPr="00A03086" w:rsidRDefault="00DF21B9" w:rsidP="0048655A">
      <w:pPr>
        <w:spacing w:after="0"/>
        <w:ind w:firstLine="720"/>
        <w:rPr>
          <w:rFonts w:asciiTheme="majorHAnsi" w:hAnsiTheme="majorHAnsi" w:cstheme="majorHAnsi"/>
          <w:noProof/>
          <w:sz w:val="24"/>
          <w:szCs w:val="24"/>
          <w:lang w:val="ro-MD"/>
        </w:rPr>
      </w:pPr>
      <w:bookmarkStart w:id="1" w:name="_GoBack"/>
      <w:bookmarkEnd w:id="1"/>
      <w:r w:rsidRPr="00585C40">
        <w:rPr>
          <w:rFonts w:asciiTheme="majorHAnsi" w:hAnsiTheme="majorHAnsi" w:cstheme="majorHAnsi"/>
          <w:noProof/>
          <w:sz w:val="24"/>
          <w:szCs w:val="24"/>
          <w:lang w:val="ro-MD"/>
        </w:rPr>
        <w:t>Raportul Guvernului privind executarea bugetului asigurărilor sociale de stat în anul 20</w:t>
      </w:r>
      <w:r>
        <w:rPr>
          <w:rFonts w:asciiTheme="majorHAnsi" w:hAnsiTheme="majorHAnsi" w:cstheme="majorHAnsi"/>
          <w:noProof/>
          <w:sz w:val="24"/>
          <w:szCs w:val="24"/>
          <w:lang w:val="ro-MD"/>
        </w:rPr>
        <w:t>2</w:t>
      </w:r>
      <w:r w:rsidR="00C13F43">
        <w:rPr>
          <w:rFonts w:asciiTheme="majorHAnsi" w:hAnsiTheme="majorHAnsi" w:cstheme="majorHAnsi"/>
          <w:noProof/>
          <w:sz w:val="24"/>
          <w:szCs w:val="24"/>
          <w:lang w:val="ro-MD"/>
        </w:rPr>
        <w:t>2</w:t>
      </w:r>
      <w:r>
        <w:rPr>
          <w:rFonts w:asciiTheme="majorHAnsi" w:hAnsiTheme="majorHAnsi" w:cstheme="majorHAnsi"/>
          <w:noProof/>
          <w:sz w:val="24"/>
          <w:szCs w:val="24"/>
          <w:lang w:val="ro-MD"/>
        </w:rPr>
        <w:t xml:space="preserve"> </w:t>
      </w:r>
      <w:r w:rsidRPr="000A462D">
        <w:rPr>
          <w:rFonts w:asciiTheme="majorHAnsi" w:hAnsiTheme="majorHAnsi" w:cstheme="majorHAnsi"/>
          <w:noProof/>
          <w:sz w:val="24"/>
          <w:szCs w:val="24"/>
          <w:lang w:val="ro-MD"/>
        </w:rPr>
        <w:t xml:space="preserve">oferă, </w:t>
      </w:r>
      <w:r w:rsidRPr="00585C40">
        <w:rPr>
          <w:rFonts w:asciiTheme="majorHAnsi" w:hAnsiTheme="majorHAnsi" w:cstheme="majorHAnsi"/>
          <w:noProof/>
          <w:sz w:val="24"/>
          <w:szCs w:val="24"/>
          <w:lang w:val="ro-MD"/>
        </w:rPr>
        <w:t>sub toate aspectele semnificative, o imagine core</w:t>
      </w:r>
      <w:r>
        <w:rPr>
          <w:rFonts w:asciiTheme="majorHAnsi" w:hAnsiTheme="majorHAnsi" w:cstheme="majorHAnsi"/>
          <w:noProof/>
          <w:sz w:val="24"/>
          <w:szCs w:val="24"/>
          <w:lang w:val="ro-MD"/>
        </w:rPr>
        <w:t>ctă și fidelă în conformitate cu cadrul de raportare aplicabil</w:t>
      </w:r>
      <w:r w:rsidRPr="00585C40">
        <w:rPr>
          <w:rStyle w:val="a5"/>
          <w:rFonts w:asciiTheme="majorHAnsi" w:eastAsia="Times New Roman" w:hAnsiTheme="majorHAnsi" w:cstheme="majorHAnsi"/>
          <w:noProof/>
          <w:sz w:val="24"/>
          <w:szCs w:val="24"/>
          <w:lang w:val="ro-MD"/>
        </w:rPr>
        <w:footnoteReference w:id="4"/>
      </w:r>
      <w:r w:rsidRPr="00585C40">
        <w:rPr>
          <w:rFonts w:asciiTheme="majorHAnsi" w:hAnsiTheme="majorHAnsi" w:cstheme="majorHAnsi"/>
          <w:noProof/>
          <w:sz w:val="24"/>
          <w:szCs w:val="24"/>
          <w:lang w:val="ro-MD"/>
        </w:rPr>
        <w:t>.</w:t>
      </w:r>
    </w:p>
    <w:p w:rsidR="00DF21B9" w:rsidRPr="00585C40" w:rsidRDefault="00DF21B9" w:rsidP="0048655A">
      <w:pPr>
        <w:spacing w:after="0"/>
        <w:ind w:firstLine="720"/>
        <w:rPr>
          <w:rFonts w:asciiTheme="majorHAnsi" w:eastAsia="Times New Roman" w:hAnsiTheme="majorHAnsi" w:cstheme="majorHAnsi"/>
          <w:noProof/>
          <w:sz w:val="24"/>
          <w:szCs w:val="24"/>
          <w:lang w:val="ro-MD"/>
        </w:rPr>
      </w:pPr>
      <w:r w:rsidRPr="00585C40">
        <w:rPr>
          <w:rFonts w:asciiTheme="majorHAnsi" w:eastAsia="Times New Roman" w:hAnsiTheme="majorHAnsi" w:cstheme="majorHAnsi"/>
          <w:noProof/>
          <w:sz w:val="24"/>
          <w:szCs w:val="24"/>
          <w:lang w:val="ro-MD"/>
        </w:rPr>
        <w:t>Reieșind din cele expuse, în temeiul art.14 alin.(2), art.15 lit.d) și art.37 alin.(2) din Legea nr.260 din 07.12.2017, Curtea de Conturi</w:t>
      </w:r>
    </w:p>
    <w:p w:rsidR="00DF21B9" w:rsidRPr="00585C40" w:rsidRDefault="00DF21B9" w:rsidP="0048655A">
      <w:pPr>
        <w:pStyle w:val="cp"/>
        <w:spacing w:line="276" w:lineRule="auto"/>
        <w:rPr>
          <w:rFonts w:asciiTheme="majorHAnsi" w:hAnsiTheme="majorHAnsi" w:cstheme="majorHAnsi"/>
          <w:lang w:val="ro-MD"/>
        </w:rPr>
      </w:pPr>
    </w:p>
    <w:p w:rsidR="00DF21B9" w:rsidRPr="00585C40" w:rsidRDefault="00DF21B9" w:rsidP="0048655A">
      <w:pPr>
        <w:pStyle w:val="cp"/>
        <w:spacing w:line="276" w:lineRule="auto"/>
        <w:rPr>
          <w:rFonts w:asciiTheme="majorHAnsi" w:hAnsiTheme="majorHAnsi" w:cstheme="majorHAnsi"/>
          <w:lang w:val="ro-MD"/>
        </w:rPr>
      </w:pPr>
      <w:r w:rsidRPr="00585C40">
        <w:rPr>
          <w:rFonts w:asciiTheme="majorHAnsi" w:hAnsiTheme="majorHAnsi" w:cstheme="majorHAnsi"/>
          <w:lang w:val="ro-MD"/>
        </w:rPr>
        <w:t>HOTĂRĂŞTE:</w:t>
      </w:r>
    </w:p>
    <w:p w:rsidR="00DF21B9" w:rsidRPr="00585C40" w:rsidRDefault="00DF21B9" w:rsidP="0048655A">
      <w:pPr>
        <w:pStyle w:val="a9"/>
        <w:numPr>
          <w:ilvl w:val="0"/>
          <w:numId w:val="2"/>
        </w:numPr>
        <w:tabs>
          <w:tab w:val="left" w:pos="900"/>
          <w:tab w:val="left" w:pos="993"/>
        </w:tabs>
        <w:spacing w:after="0"/>
        <w:ind w:left="0" w:firstLine="709"/>
        <w:contextualSpacing w:val="0"/>
        <w:rPr>
          <w:rFonts w:asciiTheme="majorHAnsi" w:hAnsiTheme="majorHAnsi" w:cstheme="majorHAnsi"/>
          <w:noProof/>
          <w:sz w:val="24"/>
          <w:szCs w:val="24"/>
          <w:lang w:val="ro-MD"/>
        </w:rPr>
      </w:pPr>
      <w:r w:rsidRPr="00585C40">
        <w:rPr>
          <w:rFonts w:asciiTheme="majorHAnsi" w:hAnsiTheme="majorHAnsi" w:cstheme="majorHAnsi"/>
          <w:noProof/>
          <w:sz w:val="24"/>
          <w:szCs w:val="24"/>
          <w:lang w:val="ro-MD"/>
        </w:rPr>
        <w:t xml:space="preserve"> Se aprobă </w:t>
      </w:r>
      <w:r w:rsidRPr="00585C40">
        <w:rPr>
          <w:rFonts w:asciiTheme="majorHAnsi" w:hAnsiTheme="majorHAnsi" w:cstheme="majorHAnsi"/>
          <w:noProof/>
          <w:sz w:val="24"/>
          <w:szCs w:val="24"/>
          <w:lang w:val="ro-MD" w:eastAsia="ro-RO"/>
        </w:rPr>
        <w:t>Raportul auditului financiar al Raportului Guvernului privind executarea bugetului asigurărilor sociale de stat în anul 20</w:t>
      </w:r>
      <w:r>
        <w:rPr>
          <w:rFonts w:asciiTheme="majorHAnsi" w:hAnsiTheme="majorHAnsi" w:cstheme="majorHAnsi"/>
          <w:noProof/>
          <w:sz w:val="24"/>
          <w:szCs w:val="24"/>
          <w:lang w:val="ro-MD" w:eastAsia="ro-RO"/>
        </w:rPr>
        <w:t>2</w:t>
      </w:r>
      <w:r w:rsidR="00C13F43">
        <w:rPr>
          <w:rFonts w:asciiTheme="majorHAnsi" w:hAnsiTheme="majorHAnsi" w:cstheme="majorHAnsi"/>
          <w:noProof/>
          <w:sz w:val="24"/>
          <w:szCs w:val="24"/>
          <w:lang w:val="ro-MD" w:eastAsia="ro-RO"/>
        </w:rPr>
        <w:t>2</w:t>
      </w:r>
      <w:r w:rsidRPr="00585C40">
        <w:rPr>
          <w:rFonts w:asciiTheme="majorHAnsi" w:hAnsiTheme="majorHAnsi" w:cstheme="majorHAnsi"/>
          <w:noProof/>
          <w:sz w:val="24"/>
          <w:szCs w:val="24"/>
          <w:lang w:val="ro-MD" w:eastAsia="ro-RO"/>
        </w:rPr>
        <w:t>, anexat la prezenta Hotărâre.</w:t>
      </w:r>
    </w:p>
    <w:p w:rsidR="00DF21B9" w:rsidRPr="00585C40" w:rsidRDefault="00DF21B9" w:rsidP="0048655A">
      <w:pPr>
        <w:pStyle w:val="a9"/>
        <w:numPr>
          <w:ilvl w:val="0"/>
          <w:numId w:val="1"/>
        </w:numPr>
        <w:tabs>
          <w:tab w:val="left" w:pos="900"/>
          <w:tab w:val="left" w:pos="993"/>
          <w:tab w:val="left" w:pos="1276"/>
        </w:tabs>
        <w:spacing w:after="0"/>
        <w:ind w:left="0" w:firstLine="709"/>
        <w:contextualSpacing w:val="0"/>
        <w:rPr>
          <w:rFonts w:asciiTheme="majorHAnsi" w:hAnsiTheme="majorHAnsi" w:cstheme="majorHAnsi"/>
          <w:bCs/>
          <w:noProof/>
          <w:sz w:val="24"/>
          <w:szCs w:val="24"/>
          <w:lang w:val="ro-MD"/>
        </w:rPr>
      </w:pPr>
      <w:r>
        <w:rPr>
          <w:rFonts w:asciiTheme="majorHAnsi" w:hAnsiTheme="majorHAnsi" w:cstheme="majorHAnsi"/>
          <w:bCs/>
          <w:noProof/>
          <w:sz w:val="24"/>
          <w:szCs w:val="24"/>
          <w:lang w:val="ro-MD"/>
        </w:rPr>
        <w:t xml:space="preserve"> </w:t>
      </w:r>
      <w:r w:rsidRPr="00585C40">
        <w:rPr>
          <w:rFonts w:asciiTheme="majorHAnsi" w:hAnsiTheme="majorHAnsi" w:cstheme="majorHAnsi"/>
          <w:bCs/>
          <w:noProof/>
          <w:sz w:val="24"/>
          <w:szCs w:val="24"/>
          <w:lang w:val="ro-MD"/>
        </w:rPr>
        <w:t xml:space="preserve">Prezenta Hotărâre și Raportul de audit se remit: </w:t>
      </w:r>
    </w:p>
    <w:p w:rsidR="00DF21B9" w:rsidRDefault="00DF21B9" w:rsidP="0048655A">
      <w:pPr>
        <w:pStyle w:val="a9"/>
        <w:numPr>
          <w:ilvl w:val="1"/>
          <w:numId w:val="1"/>
        </w:numPr>
        <w:tabs>
          <w:tab w:val="left" w:pos="900"/>
          <w:tab w:val="left" w:pos="993"/>
          <w:tab w:val="left" w:pos="1276"/>
        </w:tabs>
        <w:spacing w:after="0"/>
        <w:ind w:left="0" w:firstLine="709"/>
        <w:contextualSpacing w:val="0"/>
        <w:rPr>
          <w:rFonts w:asciiTheme="majorHAnsi" w:hAnsiTheme="majorHAnsi" w:cstheme="majorHAnsi"/>
          <w:noProof/>
          <w:sz w:val="24"/>
          <w:szCs w:val="24"/>
          <w:lang w:val="ro-MD"/>
        </w:rPr>
      </w:pPr>
      <w:r w:rsidRPr="00585C40">
        <w:rPr>
          <w:rFonts w:asciiTheme="majorHAnsi" w:hAnsiTheme="majorHAnsi" w:cstheme="majorHAnsi"/>
          <w:b/>
          <w:sz w:val="24"/>
          <w:szCs w:val="24"/>
          <w:lang w:val="ro-MD"/>
        </w:rPr>
        <w:t>Parlamentului Republicii Moldova</w:t>
      </w:r>
      <w:r w:rsidRPr="00585C40">
        <w:rPr>
          <w:rFonts w:asciiTheme="majorHAnsi" w:hAnsiTheme="majorHAnsi" w:cstheme="majorHAnsi"/>
          <w:sz w:val="24"/>
          <w:szCs w:val="24"/>
          <w:lang w:val="ro-MD"/>
        </w:rPr>
        <w:t>, pentru informare și examinare, după caz, în cadrul Comisiei parlamentare de control al finanțelor publice</w:t>
      </w:r>
      <w:r>
        <w:rPr>
          <w:rFonts w:asciiTheme="majorHAnsi" w:hAnsiTheme="majorHAnsi" w:cstheme="majorHAnsi"/>
          <w:sz w:val="24"/>
          <w:szCs w:val="24"/>
          <w:lang w:val="ro-MD"/>
        </w:rPr>
        <w:t>;</w:t>
      </w:r>
    </w:p>
    <w:p w:rsidR="00DF21B9" w:rsidRPr="00585C40" w:rsidRDefault="00DF21B9" w:rsidP="0048655A">
      <w:pPr>
        <w:pStyle w:val="a9"/>
        <w:numPr>
          <w:ilvl w:val="1"/>
          <w:numId w:val="1"/>
        </w:numPr>
        <w:tabs>
          <w:tab w:val="left" w:pos="900"/>
          <w:tab w:val="left" w:pos="993"/>
          <w:tab w:val="left" w:pos="1276"/>
        </w:tabs>
        <w:spacing w:after="0"/>
        <w:ind w:left="0" w:firstLine="710"/>
        <w:contextualSpacing w:val="0"/>
        <w:rPr>
          <w:rFonts w:asciiTheme="majorHAnsi" w:hAnsiTheme="majorHAnsi" w:cstheme="majorHAnsi"/>
          <w:noProof/>
          <w:sz w:val="24"/>
          <w:szCs w:val="24"/>
          <w:lang w:val="ro-MD"/>
        </w:rPr>
      </w:pPr>
      <w:r w:rsidRPr="00585C40">
        <w:rPr>
          <w:rFonts w:asciiTheme="majorHAnsi" w:hAnsiTheme="majorHAnsi" w:cstheme="majorHAnsi"/>
          <w:b/>
          <w:noProof/>
          <w:sz w:val="24"/>
          <w:szCs w:val="24"/>
          <w:lang w:val="ro-MD"/>
        </w:rPr>
        <w:t>Președintelui Republicii Moldova</w:t>
      </w:r>
      <w:r w:rsidRPr="00585C40">
        <w:rPr>
          <w:rFonts w:asciiTheme="majorHAnsi" w:hAnsiTheme="majorHAnsi" w:cstheme="majorHAnsi"/>
          <w:noProof/>
          <w:sz w:val="24"/>
          <w:szCs w:val="24"/>
          <w:lang w:val="ro-MD"/>
        </w:rPr>
        <w:t>, pentru informare;</w:t>
      </w:r>
    </w:p>
    <w:p w:rsidR="00DF21B9" w:rsidRPr="00601752" w:rsidRDefault="00DF21B9" w:rsidP="0048655A">
      <w:pPr>
        <w:pStyle w:val="a9"/>
        <w:numPr>
          <w:ilvl w:val="1"/>
          <w:numId w:val="1"/>
        </w:numPr>
        <w:tabs>
          <w:tab w:val="left" w:pos="900"/>
          <w:tab w:val="left" w:pos="993"/>
          <w:tab w:val="left" w:pos="1276"/>
        </w:tabs>
        <w:spacing w:after="0"/>
        <w:ind w:left="0" w:firstLine="709"/>
        <w:contextualSpacing w:val="0"/>
        <w:rPr>
          <w:rFonts w:asciiTheme="majorHAnsi" w:hAnsiTheme="majorHAnsi" w:cstheme="majorHAnsi"/>
          <w:noProof/>
          <w:sz w:val="24"/>
          <w:szCs w:val="24"/>
          <w:lang w:val="ro-MD"/>
        </w:rPr>
      </w:pPr>
      <w:r w:rsidRPr="00585C40">
        <w:rPr>
          <w:rFonts w:asciiTheme="majorHAnsi" w:hAnsiTheme="majorHAnsi" w:cstheme="majorHAnsi"/>
          <w:b/>
          <w:noProof/>
          <w:sz w:val="24"/>
          <w:szCs w:val="24"/>
          <w:lang w:val="ro-MD"/>
        </w:rPr>
        <w:t>Guvernului Republicii Moldova</w:t>
      </w:r>
      <w:r w:rsidRPr="00585C40">
        <w:rPr>
          <w:rFonts w:asciiTheme="majorHAnsi" w:hAnsiTheme="majorHAnsi" w:cstheme="majorHAnsi"/>
          <w:noProof/>
          <w:sz w:val="24"/>
          <w:szCs w:val="24"/>
          <w:lang w:val="ro-MD"/>
        </w:rPr>
        <w:t>, pentru informare și luare de atitudine în vederea monitorizării asigurării implementării recomandărilor de audit public extern;</w:t>
      </w:r>
    </w:p>
    <w:p w:rsidR="00DF21B9" w:rsidRPr="009E1716" w:rsidRDefault="00DF21B9" w:rsidP="0048655A">
      <w:pPr>
        <w:pStyle w:val="a9"/>
        <w:numPr>
          <w:ilvl w:val="1"/>
          <w:numId w:val="1"/>
        </w:numPr>
        <w:tabs>
          <w:tab w:val="left" w:pos="900"/>
          <w:tab w:val="left" w:pos="993"/>
          <w:tab w:val="left" w:pos="1276"/>
        </w:tabs>
        <w:spacing w:after="0"/>
        <w:ind w:left="0" w:firstLine="697"/>
        <w:contextualSpacing w:val="0"/>
        <w:rPr>
          <w:rFonts w:asciiTheme="majorHAnsi" w:hAnsiTheme="majorHAnsi" w:cstheme="majorHAnsi"/>
          <w:noProof/>
          <w:sz w:val="24"/>
          <w:szCs w:val="24"/>
          <w:lang w:val="ro-MD"/>
        </w:rPr>
      </w:pPr>
      <w:r w:rsidRPr="009E1716">
        <w:rPr>
          <w:rFonts w:asciiTheme="majorHAnsi" w:hAnsiTheme="majorHAnsi" w:cstheme="majorHAnsi"/>
          <w:b/>
          <w:noProof/>
          <w:sz w:val="24"/>
          <w:szCs w:val="24"/>
          <w:lang w:val="ro-MD"/>
        </w:rPr>
        <w:t xml:space="preserve">Ministerului Finanțelor, Ministerului </w:t>
      </w:r>
      <w:r w:rsidRPr="009E1716">
        <w:rPr>
          <w:rFonts w:asciiTheme="majorHAnsi" w:hAnsiTheme="majorHAnsi" w:cstheme="majorHAnsi"/>
          <w:b/>
          <w:bCs/>
          <w:sz w:val="24"/>
          <w:szCs w:val="24"/>
          <w:lang w:val="ro-MD"/>
        </w:rPr>
        <w:t>Muncii și Protecției Sociale</w:t>
      </w:r>
      <w:r w:rsidRPr="009E1716">
        <w:rPr>
          <w:rFonts w:asciiTheme="majorHAnsi" w:hAnsiTheme="majorHAnsi" w:cstheme="majorHAnsi"/>
          <w:bCs/>
          <w:sz w:val="24"/>
          <w:szCs w:val="24"/>
          <w:lang w:val="ro-MD"/>
        </w:rPr>
        <w:t>,</w:t>
      </w:r>
      <w:r w:rsidRPr="009E1716">
        <w:rPr>
          <w:rFonts w:asciiTheme="majorHAnsi" w:hAnsiTheme="majorHAnsi" w:cstheme="majorHAnsi"/>
          <w:b/>
          <w:noProof/>
          <w:sz w:val="24"/>
          <w:szCs w:val="24"/>
          <w:lang w:val="ro-MD"/>
        </w:rPr>
        <w:t xml:space="preserve"> </w:t>
      </w:r>
      <w:r w:rsidR="0092231C" w:rsidRPr="009E1716">
        <w:rPr>
          <w:rFonts w:asciiTheme="majorHAnsi" w:hAnsiTheme="majorHAnsi" w:cstheme="majorHAnsi"/>
          <w:b/>
          <w:noProof/>
          <w:sz w:val="24"/>
          <w:szCs w:val="24"/>
          <w:lang w:val="ro-MD"/>
        </w:rPr>
        <w:t xml:space="preserve">Ministerului Sănătății, </w:t>
      </w:r>
      <w:r w:rsidR="00881747" w:rsidRPr="009E1716">
        <w:rPr>
          <w:rFonts w:asciiTheme="majorHAnsi" w:hAnsiTheme="majorHAnsi" w:cstheme="majorHAnsi"/>
          <w:b/>
          <w:noProof/>
          <w:sz w:val="24"/>
          <w:szCs w:val="24"/>
          <w:lang w:val="ro-MD"/>
        </w:rPr>
        <w:t xml:space="preserve">Ministerului Justiției, </w:t>
      </w:r>
      <w:r w:rsidRPr="009E1716">
        <w:rPr>
          <w:rFonts w:asciiTheme="majorHAnsi" w:hAnsiTheme="majorHAnsi" w:cstheme="majorHAnsi"/>
          <w:sz w:val="24"/>
          <w:szCs w:val="24"/>
          <w:lang w:val="ro-MD"/>
        </w:rPr>
        <w:t>pentru examinare conform competențelor și asigurarea implementării recomandărilor din Raportul de audit;</w:t>
      </w:r>
    </w:p>
    <w:p w:rsidR="00DF21B9" w:rsidRPr="009E1716" w:rsidRDefault="00DF21B9" w:rsidP="0048655A">
      <w:pPr>
        <w:pStyle w:val="a9"/>
        <w:numPr>
          <w:ilvl w:val="1"/>
          <w:numId w:val="1"/>
        </w:numPr>
        <w:tabs>
          <w:tab w:val="left" w:pos="900"/>
          <w:tab w:val="left" w:pos="993"/>
          <w:tab w:val="left" w:pos="1276"/>
        </w:tabs>
        <w:spacing w:after="0"/>
        <w:ind w:left="0" w:firstLine="709"/>
        <w:contextualSpacing w:val="0"/>
        <w:rPr>
          <w:rFonts w:asciiTheme="majorHAnsi" w:hAnsiTheme="majorHAnsi" w:cstheme="majorHAnsi"/>
          <w:bCs/>
          <w:noProof/>
          <w:sz w:val="24"/>
          <w:szCs w:val="24"/>
          <w:lang w:val="ro-MD"/>
        </w:rPr>
      </w:pPr>
      <w:r w:rsidRPr="009E1716">
        <w:rPr>
          <w:rFonts w:asciiTheme="majorHAnsi" w:hAnsiTheme="majorHAnsi" w:cstheme="majorHAnsi"/>
          <w:b/>
          <w:noProof/>
          <w:sz w:val="24"/>
          <w:szCs w:val="24"/>
          <w:lang w:val="ro-MD"/>
        </w:rPr>
        <w:t>Casei Naționale de Asigurări Sociale</w:t>
      </w:r>
      <w:r w:rsidRPr="009E1716">
        <w:rPr>
          <w:rFonts w:asciiTheme="majorHAnsi" w:hAnsiTheme="majorHAnsi" w:cstheme="majorHAnsi"/>
          <w:noProof/>
          <w:sz w:val="24"/>
          <w:szCs w:val="24"/>
          <w:lang w:val="ro-MD"/>
        </w:rPr>
        <w:t>,</w:t>
      </w:r>
      <w:r w:rsidRPr="009E1716">
        <w:rPr>
          <w:rFonts w:asciiTheme="majorHAnsi" w:hAnsiTheme="majorHAnsi" w:cstheme="majorHAnsi"/>
          <w:b/>
          <w:noProof/>
          <w:sz w:val="24"/>
          <w:szCs w:val="24"/>
          <w:lang w:val="ro-MD"/>
        </w:rPr>
        <w:t xml:space="preserve"> </w:t>
      </w:r>
      <w:r w:rsidR="00BB68D6" w:rsidRPr="009E1716">
        <w:rPr>
          <w:rFonts w:asciiTheme="majorHAnsi" w:hAnsiTheme="majorHAnsi" w:cstheme="majorHAnsi"/>
          <w:b/>
          <w:noProof/>
          <w:sz w:val="24"/>
          <w:szCs w:val="24"/>
          <w:lang w:val="ro-MD"/>
        </w:rPr>
        <w:t xml:space="preserve">Serviciului Fiscal de Stat, </w:t>
      </w:r>
      <w:r w:rsidR="000A091C" w:rsidRPr="009E1716">
        <w:rPr>
          <w:rFonts w:asciiTheme="majorHAnsi" w:hAnsiTheme="majorHAnsi" w:cstheme="majorHAnsi"/>
          <w:b/>
          <w:noProof/>
          <w:sz w:val="24"/>
          <w:szCs w:val="24"/>
          <w:lang w:val="ro-MD"/>
        </w:rPr>
        <w:t>Agenției Servicii Publice</w:t>
      </w:r>
      <w:r w:rsidR="00834678">
        <w:rPr>
          <w:rFonts w:asciiTheme="majorHAnsi" w:hAnsiTheme="majorHAnsi" w:cstheme="majorHAnsi"/>
          <w:b/>
          <w:noProof/>
          <w:sz w:val="24"/>
          <w:szCs w:val="24"/>
          <w:lang w:val="ro-MD"/>
        </w:rPr>
        <w:t>,</w:t>
      </w:r>
      <w:r w:rsidR="000A091C" w:rsidRPr="009E1716">
        <w:rPr>
          <w:rFonts w:asciiTheme="majorHAnsi" w:hAnsiTheme="majorHAnsi" w:cstheme="majorHAnsi"/>
          <w:b/>
          <w:noProof/>
          <w:sz w:val="24"/>
          <w:szCs w:val="24"/>
          <w:lang w:val="ro-MD"/>
        </w:rPr>
        <w:t xml:space="preserve"> </w:t>
      </w:r>
      <w:r w:rsidR="00BB68D6" w:rsidRPr="009E1716">
        <w:rPr>
          <w:rFonts w:asciiTheme="majorHAnsi" w:hAnsiTheme="majorHAnsi" w:cstheme="majorHAnsi"/>
          <w:b/>
          <w:noProof/>
          <w:sz w:val="24"/>
          <w:szCs w:val="24"/>
          <w:lang w:val="ro-MD"/>
        </w:rPr>
        <w:t xml:space="preserve">Inspectoratului de Stat al Muncii, </w:t>
      </w:r>
      <w:r w:rsidR="00834678">
        <w:rPr>
          <w:rFonts w:asciiTheme="majorHAnsi" w:hAnsiTheme="majorHAnsi" w:cstheme="majorHAnsi"/>
          <w:b/>
          <w:noProof/>
          <w:sz w:val="24"/>
          <w:szCs w:val="24"/>
          <w:lang w:val="ro-MD"/>
        </w:rPr>
        <w:t>Biroului Național de Statistică</w:t>
      </w:r>
      <w:r w:rsidR="00724990">
        <w:rPr>
          <w:rFonts w:asciiTheme="majorHAnsi" w:hAnsiTheme="majorHAnsi" w:cstheme="majorHAnsi"/>
          <w:b/>
          <w:noProof/>
          <w:sz w:val="24"/>
          <w:szCs w:val="24"/>
          <w:lang w:val="ro-MD"/>
        </w:rPr>
        <w:t>,</w:t>
      </w:r>
      <w:r w:rsidR="00BB68D6" w:rsidRPr="009E1716">
        <w:rPr>
          <w:rFonts w:asciiTheme="majorHAnsi" w:hAnsiTheme="majorHAnsi" w:cstheme="majorHAnsi"/>
          <w:b/>
          <w:noProof/>
          <w:sz w:val="24"/>
          <w:szCs w:val="24"/>
          <w:lang w:val="ro-MD"/>
        </w:rPr>
        <w:t xml:space="preserve"> </w:t>
      </w:r>
      <w:r w:rsidRPr="009E1716">
        <w:rPr>
          <w:rFonts w:asciiTheme="majorHAnsi" w:hAnsiTheme="majorHAnsi" w:cstheme="majorHAnsi"/>
          <w:noProof/>
          <w:sz w:val="24"/>
          <w:szCs w:val="24"/>
          <w:lang w:val="ro-MD"/>
        </w:rPr>
        <w:t>pentru luare de atitudine și asigurarea implementării recomandărilor din Raportul de audit;</w:t>
      </w:r>
    </w:p>
    <w:p w:rsidR="00B41C79" w:rsidRPr="00B41C79" w:rsidRDefault="00B41C79" w:rsidP="0048655A">
      <w:pPr>
        <w:pStyle w:val="a9"/>
        <w:numPr>
          <w:ilvl w:val="1"/>
          <w:numId w:val="1"/>
        </w:numPr>
        <w:tabs>
          <w:tab w:val="left" w:pos="900"/>
          <w:tab w:val="left" w:pos="993"/>
          <w:tab w:val="left" w:pos="1276"/>
        </w:tabs>
        <w:spacing w:after="0"/>
        <w:ind w:left="0" w:firstLine="697"/>
        <w:contextualSpacing w:val="0"/>
        <w:rPr>
          <w:rFonts w:asciiTheme="majorHAnsi" w:hAnsiTheme="majorHAnsi" w:cstheme="majorHAnsi"/>
          <w:noProof/>
          <w:sz w:val="24"/>
          <w:szCs w:val="24"/>
          <w:lang w:val="ro-MD"/>
        </w:rPr>
      </w:pPr>
      <w:r w:rsidRPr="009E1716">
        <w:rPr>
          <w:rFonts w:asciiTheme="majorHAnsi" w:hAnsiTheme="majorHAnsi" w:cstheme="majorHAnsi"/>
          <w:b/>
          <w:noProof/>
          <w:sz w:val="24"/>
          <w:szCs w:val="24"/>
          <w:lang w:val="ro-MD"/>
        </w:rPr>
        <w:t>Agenției Naționale pentru Ocuparea Forței de Muncă</w:t>
      </w:r>
      <w:r>
        <w:rPr>
          <w:rFonts w:asciiTheme="majorHAnsi" w:hAnsiTheme="majorHAnsi" w:cstheme="majorHAnsi"/>
          <w:b/>
          <w:noProof/>
          <w:sz w:val="24"/>
          <w:szCs w:val="24"/>
          <w:lang w:val="ro-MD"/>
        </w:rPr>
        <w:t xml:space="preserve"> și Inspectoratului Social de Stat </w:t>
      </w:r>
      <w:r w:rsidRPr="00B41C79">
        <w:rPr>
          <w:rFonts w:asciiTheme="majorHAnsi" w:hAnsiTheme="majorHAnsi" w:cstheme="majorHAnsi"/>
          <w:noProof/>
          <w:sz w:val="24"/>
          <w:szCs w:val="24"/>
          <w:lang w:val="ro-MD"/>
        </w:rPr>
        <w:t>pentru</w:t>
      </w:r>
      <w:r>
        <w:rPr>
          <w:rFonts w:asciiTheme="majorHAnsi" w:hAnsiTheme="majorHAnsi" w:cstheme="majorHAnsi"/>
          <w:b/>
          <w:noProof/>
          <w:sz w:val="24"/>
          <w:szCs w:val="24"/>
          <w:lang w:val="ro-MD"/>
        </w:rPr>
        <w:t xml:space="preserve"> </w:t>
      </w:r>
      <w:r w:rsidRPr="00585C40">
        <w:rPr>
          <w:rFonts w:asciiTheme="majorHAnsi" w:hAnsiTheme="majorHAnsi" w:cstheme="majorHAnsi"/>
          <w:noProof/>
          <w:sz w:val="24"/>
          <w:szCs w:val="24"/>
          <w:lang w:val="ro-MD"/>
        </w:rPr>
        <w:t>informare și luare de atitudine</w:t>
      </w:r>
      <w:r>
        <w:rPr>
          <w:rFonts w:asciiTheme="majorHAnsi" w:hAnsiTheme="majorHAnsi" w:cstheme="majorHAnsi"/>
          <w:noProof/>
          <w:sz w:val="24"/>
          <w:szCs w:val="24"/>
          <w:lang w:val="ro-MD"/>
        </w:rPr>
        <w:t>;</w:t>
      </w:r>
    </w:p>
    <w:p w:rsidR="00B41C79" w:rsidRPr="00B41C79" w:rsidRDefault="00DF21B9" w:rsidP="00B41C79">
      <w:pPr>
        <w:pStyle w:val="a9"/>
        <w:numPr>
          <w:ilvl w:val="1"/>
          <w:numId w:val="1"/>
        </w:numPr>
        <w:tabs>
          <w:tab w:val="left" w:pos="900"/>
          <w:tab w:val="left" w:pos="993"/>
          <w:tab w:val="left" w:pos="1276"/>
        </w:tabs>
        <w:spacing w:after="0"/>
        <w:ind w:left="0" w:firstLine="697"/>
        <w:contextualSpacing w:val="0"/>
        <w:rPr>
          <w:rFonts w:asciiTheme="majorHAnsi" w:hAnsiTheme="majorHAnsi" w:cstheme="majorHAnsi"/>
          <w:noProof/>
          <w:sz w:val="24"/>
          <w:szCs w:val="24"/>
          <w:lang w:val="ro-MD"/>
        </w:rPr>
      </w:pPr>
      <w:r>
        <w:rPr>
          <w:rFonts w:asciiTheme="majorHAnsi" w:hAnsiTheme="majorHAnsi" w:cstheme="majorHAnsi"/>
          <w:b/>
          <w:bCs/>
          <w:sz w:val="24"/>
          <w:szCs w:val="24"/>
          <w:lang w:val="ro-MD"/>
        </w:rPr>
        <w:t>Consiliului de Administraț</w:t>
      </w:r>
      <w:r w:rsidRPr="00585C40">
        <w:rPr>
          <w:rFonts w:asciiTheme="majorHAnsi" w:hAnsiTheme="majorHAnsi" w:cstheme="majorHAnsi"/>
          <w:b/>
          <w:bCs/>
          <w:sz w:val="24"/>
          <w:szCs w:val="24"/>
          <w:lang w:val="ro-MD"/>
        </w:rPr>
        <w:t xml:space="preserve">ie al Casei </w:t>
      </w:r>
      <w:r>
        <w:rPr>
          <w:rFonts w:asciiTheme="majorHAnsi" w:hAnsiTheme="majorHAnsi" w:cstheme="majorHAnsi"/>
          <w:b/>
          <w:bCs/>
          <w:sz w:val="24"/>
          <w:szCs w:val="24"/>
          <w:lang w:val="ro-MD"/>
        </w:rPr>
        <w:t>Naț</w:t>
      </w:r>
      <w:r w:rsidRPr="00585C40">
        <w:rPr>
          <w:rFonts w:asciiTheme="majorHAnsi" w:hAnsiTheme="majorHAnsi" w:cstheme="majorHAnsi"/>
          <w:b/>
          <w:bCs/>
          <w:sz w:val="24"/>
          <w:szCs w:val="24"/>
          <w:lang w:val="ro-MD"/>
        </w:rPr>
        <w:t>ionale de Asigurări Sociale</w:t>
      </w:r>
      <w:r w:rsidRPr="00585C40">
        <w:rPr>
          <w:rFonts w:asciiTheme="majorHAnsi" w:hAnsiTheme="majorHAnsi" w:cstheme="majorHAnsi"/>
          <w:sz w:val="24"/>
          <w:szCs w:val="24"/>
          <w:lang w:val="ro-MD"/>
        </w:rPr>
        <w:t xml:space="preserve">, pentru documentare cu privire la rezultatele auditului public extern </w:t>
      </w:r>
      <w:r>
        <w:rPr>
          <w:rFonts w:asciiTheme="majorHAnsi" w:hAnsiTheme="majorHAnsi" w:cstheme="majorHAnsi"/>
          <w:sz w:val="24"/>
          <w:szCs w:val="24"/>
          <w:lang w:val="ro-MD"/>
        </w:rPr>
        <w:t>ș</w:t>
      </w:r>
      <w:r w:rsidRPr="00585C40">
        <w:rPr>
          <w:rFonts w:asciiTheme="majorHAnsi" w:hAnsiTheme="majorHAnsi" w:cstheme="majorHAnsi"/>
          <w:sz w:val="24"/>
          <w:szCs w:val="24"/>
          <w:lang w:val="ro-MD"/>
        </w:rPr>
        <w:t>i monitorizare a implementării recomandărilor înaintate</w:t>
      </w:r>
      <w:r>
        <w:rPr>
          <w:rFonts w:asciiTheme="majorHAnsi" w:hAnsiTheme="majorHAnsi" w:cstheme="majorHAnsi"/>
          <w:sz w:val="24"/>
          <w:szCs w:val="24"/>
          <w:lang w:val="ro-MD"/>
        </w:rPr>
        <w:t>.</w:t>
      </w:r>
    </w:p>
    <w:p w:rsidR="00DF21B9" w:rsidRDefault="00DF21B9" w:rsidP="0048655A">
      <w:pPr>
        <w:pStyle w:val="a9"/>
        <w:numPr>
          <w:ilvl w:val="0"/>
          <w:numId w:val="1"/>
        </w:numPr>
        <w:tabs>
          <w:tab w:val="left" w:pos="900"/>
          <w:tab w:val="left" w:pos="993"/>
          <w:tab w:val="left" w:pos="1276"/>
        </w:tabs>
        <w:spacing w:after="0"/>
        <w:ind w:left="0" w:firstLine="709"/>
        <w:contextualSpacing w:val="0"/>
        <w:rPr>
          <w:rFonts w:asciiTheme="majorHAnsi" w:hAnsiTheme="majorHAnsi" w:cstheme="majorHAnsi"/>
          <w:noProof/>
          <w:sz w:val="24"/>
          <w:szCs w:val="24"/>
          <w:lang w:val="ro-MD"/>
        </w:rPr>
      </w:pPr>
      <w:r>
        <w:rPr>
          <w:rFonts w:asciiTheme="majorHAnsi" w:hAnsiTheme="majorHAnsi" w:cstheme="majorHAnsi"/>
          <w:sz w:val="24"/>
          <w:szCs w:val="24"/>
          <w:lang w:val="ro-MD"/>
        </w:rPr>
        <w:t xml:space="preserve"> </w:t>
      </w:r>
      <w:r w:rsidRPr="00601752">
        <w:rPr>
          <w:rFonts w:asciiTheme="majorHAnsi" w:hAnsiTheme="majorHAnsi" w:cstheme="majorHAnsi"/>
          <w:sz w:val="24"/>
          <w:szCs w:val="24"/>
          <w:lang w:val="ro-MD"/>
        </w:rPr>
        <w:t>Prezenta Hotărâre și Raportul auditului financiar al Raportului Guvernului privind executarea bugetului asigurărilor sociale de stat în anul 202</w:t>
      </w:r>
      <w:r w:rsidR="00C13F43">
        <w:rPr>
          <w:rFonts w:asciiTheme="majorHAnsi" w:hAnsiTheme="majorHAnsi" w:cstheme="majorHAnsi"/>
          <w:sz w:val="24"/>
          <w:szCs w:val="24"/>
          <w:lang w:val="ro-MD"/>
        </w:rPr>
        <w:t>2</w:t>
      </w:r>
      <w:r w:rsidRPr="00601752">
        <w:rPr>
          <w:rFonts w:asciiTheme="majorHAnsi" w:hAnsiTheme="majorHAnsi" w:cstheme="majorHAnsi"/>
          <w:sz w:val="24"/>
          <w:szCs w:val="24"/>
          <w:lang w:val="ro-MD"/>
        </w:rPr>
        <w:t xml:space="preserve"> se publică în Monitorul Oficial al Republicii Moldova, în conformitate cu art.6 alin.(2) din Legea nr.260 din 07.12.2017.</w:t>
      </w:r>
    </w:p>
    <w:p w:rsidR="0015678E" w:rsidRPr="00021368" w:rsidRDefault="0015678E" w:rsidP="0048655A">
      <w:pPr>
        <w:pStyle w:val="a9"/>
        <w:numPr>
          <w:ilvl w:val="0"/>
          <w:numId w:val="1"/>
        </w:numPr>
        <w:tabs>
          <w:tab w:val="left" w:pos="900"/>
          <w:tab w:val="left" w:pos="993"/>
          <w:tab w:val="left" w:pos="1276"/>
        </w:tabs>
        <w:spacing w:after="0"/>
        <w:ind w:left="0" w:firstLine="709"/>
        <w:contextualSpacing w:val="0"/>
        <w:rPr>
          <w:rFonts w:asciiTheme="majorHAnsi" w:hAnsiTheme="majorHAnsi" w:cstheme="majorHAnsi"/>
          <w:noProof/>
          <w:sz w:val="24"/>
          <w:szCs w:val="24"/>
          <w:lang w:val="ro-MD"/>
        </w:rPr>
      </w:pPr>
      <w:r>
        <w:rPr>
          <w:rFonts w:asciiTheme="majorHAnsi" w:hAnsiTheme="majorHAnsi" w:cstheme="majorHAnsi"/>
          <w:noProof/>
          <w:sz w:val="24"/>
          <w:szCs w:val="24"/>
          <w:lang w:val="ro-MD"/>
        </w:rPr>
        <w:t xml:space="preserve"> </w:t>
      </w:r>
      <w:r w:rsidRPr="00021368">
        <w:rPr>
          <w:rFonts w:asciiTheme="majorHAnsi" w:hAnsiTheme="majorHAnsi" w:cstheme="majorHAnsi"/>
          <w:noProof/>
          <w:sz w:val="24"/>
          <w:szCs w:val="24"/>
          <w:lang w:val="ro-MD"/>
        </w:rPr>
        <w:t>Se exclud din regim de monitorizare</w:t>
      </w:r>
      <w:r w:rsidR="00B11B4C" w:rsidRPr="00021368">
        <w:rPr>
          <w:rFonts w:asciiTheme="majorHAnsi" w:hAnsiTheme="majorHAnsi" w:cstheme="majorHAnsi"/>
          <w:noProof/>
          <w:sz w:val="24"/>
          <w:szCs w:val="24"/>
          <w:lang w:val="ro-MD"/>
        </w:rPr>
        <w:t xml:space="preserve"> Hotărâr</w:t>
      </w:r>
      <w:r w:rsidR="00724990">
        <w:rPr>
          <w:rFonts w:asciiTheme="majorHAnsi" w:hAnsiTheme="majorHAnsi" w:cstheme="majorHAnsi"/>
          <w:noProof/>
          <w:sz w:val="24"/>
          <w:szCs w:val="24"/>
          <w:lang w:val="ro-MD"/>
        </w:rPr>
        <w:t>il</w:t>
      </w:r>
      <w:r w:rsidR="00B11B4C" w:rsidRPr="00021368">
        <w:rPr>
          <w:rFonts w:asciiTheme="majorHAnsi" w:hAnsiTheme="majorHAnsi" w:cstheme="majorHAnsi"/>
          <w:noProof/>
          <w:sz w:val="24"/>
          <w:szCs w:val="24"/>
          <w:lang w:val="ro-MD"/>
        </w:rPr>
        <w:t>e C</w:t>
      </w:r>
      <w:r w:rsidR="00724990">
        <w:rPr>
          <w:rFonts w:asciiTheme="majorHAnsi" w:hAnsiTheme="majorHAnsi" w:cstheme="majorHAnsi"/>
          <w:noProof/>
          <w:sz w:val="24"/>
          <w:szCs w:val="24"/>
          <w:lang w:val="ro-MD"/>
        </w:rPr>
        <w:t xml:space="preserve">urții de </w:t>
      </w:r>
      <w:r w:rsidR="00B11B4C" w:rsidRPr="00021368">
        <w:rPr>
          <w:rFonts w:asciiTheme="majorHAnsi" w:hAnsiTheme="majorHAnsi" w:cstheme="majorHAnsi"/>
          <w:noProof/>
          <w:sz w:val="24"/>
          <w:szCs w:val="24"/>
          <w:lang w:val="ro-MD"/>
        </w:rPr>
        <w:t>C</w:t>
      </w:r>
      <w:r w:rsidR="00724990">
        <w:rPr>
          <w:rFonts w:asciiTheme="majorHAnsi" w:hAnsiTheme="majorHAnsi" w:cstheme="majorHAnsi"/>
          <w:noProof/>
          <w:sz w:val="24"/>
          <w:szCs w:val="24"/>
          <w:lang w:val="ro-MD"/>
        </w:rPr>
        <w:t>onturi</w:t>
      </w:r>
      <w:r w:rsidR="00B11B4C" w:rsidRPr="00021368">
        <w:rPr>
          <w:rFonts w:asciiTheme="majorHAnsi" w:hAnsiTheme="majorHAnsi" w:cstheme="majorHAnsi"/>
          <w:noProof/>
          <w:sz w:val="24"/>
          <w:szCs w:val="24"/>
          <w:lang w:val="ro-MD"/>
        </w:rPr>
        <w:t xml:space="preserve"> nr.96 din 18.12.2018 </w:t>
      </w:r>
      <w:r w:rsidR="00724990">
        <w:rPr>
          <w:rFonts w:asciiTheme="majorHAnsi" w:hAnsiTheme="majorHAnsi" w:cstheme="majorHAnsi"/>
          <w:noProof/>
          <w:sz w:val="24"/>
          <w:szCs w:val="24"/>
          <w:lang w:val="ro-MD"/>
        </w:rPr>
        <w:t>„P</w:t>
      </w:r>
      <w:r w:rsidR="00B11B4C" w:rsidRPr="00021368">
        <w:rPr>
          <w:rFonts w:asciiTheme="majorHAnsi" w:hAnsiTheme="majorHAnsi" w:cstheme="majorHAnsi"/>
          <w:noProof/>
          <w:sz w:val="24"/>
          <w:szCs w:val="24"/>
          <w:lang w:val="ro-MD"/>
        </w:rPr>
        <w:t xml:space="preserve">rivind Raportul auditului conformității </w:t>
      </w:r>
      <w:r w:rsidR="00724990">
        <w:rPr>
          <w:rFonts w:asciiTheme="majorHAnsi" w:hAnsiTheme="majorHAnsi" w:cstheme="majorHAnsi"/>
          <w:noProof/>
          <w:sz w:val="24"/>
          <w:szCs w:val="24"/>
          <w:lang w:val="ro-MD"/>
        </w:rPr>
        <w:t>„</w:t>
      </w:r>
      <w:r w:rsidR="00B11B4C" w:rsidRPr="00021368">
        <w:rPr>
          <w:rFonts w:asciiTheme="majorHAnsi" w:hAnsiTheme="majorHAnsi" w:cstheme="majorHAnsi"/>
          <w:noProof/>
          <w:sz w:val="24"/>
          <w:szCs w:val="24"/>
          <w:lang w:val="ro-MD"/>
        </w:rPr>
        <w:t>Declarările salariale și plăților la Bugetul Public Național și impactul asupra drepturilor sociale ale cetățenilor”</w:t>
      </w:r>
      <w:r w:rsidR="00724990">
        <w:rPr>
          <w:rFonts w:asciiTheme="majorHAnsi" w:hAnsiTheme="majorHAnsi" w:cstheme="majorHAnsi"/>
          <w:noProof/>
          <w:sz w:val="24"/>
          <w:szCs w:val="24"/>
          <w:lang w:val="ro-MD"/>
        </w:rPr>
        <w:t>”</w:t>
      </w:r>
      <w:r w:rsidR="00B11B4C" w:rsidRPr="00021368">
        <w:rPr>
          <w:rFonts w:asciiTheme="majorHAnsi" w:hAnsiTheme="majorHAnsi" w:cstheme="majorHAnsi"/>
          <w:noProof/>
          <w:sz w:val="24"/>
          <w:szCs w:val="24"/>
          <w:lang w:val="ro-MD"/>
        </w:rPr>
        <w:t xml:space="preserve">, nr.20 din 03.06.2021 </w:t>
      </w:r>
      <w:r w:rsidR="00724990">
        <w:rPr>
          <w:rFonts w:asciiTheme="majorHAnsi" w:hAnsiTheme="majorHAnsi" w:cstheme="majorHAnsi"/>
          <w:noProof/>
          <w:sz w:val="24"/>
          <w:szCs w:val="24"/>
          <w:lang w:val="ro-MD"/>
        </w:rPr>
        <w:t>„C</w:t>
      </w:r>
      <w:r w:rsidR="00B11B4C" w:rsidRPr="00021368">
        <w:rPr>
          <w:rFonts w:asciiTheme="majorHAnsi" w:hAnsiTheme="majorHAnsi" w:cstheme="majorHAnsi"/>
          <w:noProof/>
          <w:sz w:val="24"/>
          <w:szCs w:val="24"/>
          <w:lang w:val="ro-MD"/>
        </w:rPr>
        <w:t xml:space="preserve">u privire la Raportul auditului financiar </w:t>
      </w:r>
      <w:r w:rsidR="00B76CE1" w:rsidRPr="00021368">
        <w:rPr>
          <w:rFonts w:asciiTheme="majorHAnsi" w:hAnsiTheme="majorHAnsi" w:cstheme="majorHAnsi"/>
          <w:noProof/>
          <w:sz w:val="24"/>
          <w:szCs w:val="24"/>
          <w:lang w:val="ro-MD"/>
        </w:rPr>
        <w:t>al Raportului G</w:t>
      </w:r>
      <w:r w:rsidR="00B11B4C" w:rsidRPr="00021368">
        <w:rPr>
          <w:rFonts w:asciiTheme="majorHAnsi" w:hAnsiTheme="majorHAnsi" w:cstheme="majorHAnsi"/>
          <w:noProof/>
          <w:sz w:val="24"/>
          <w:szCs w:val="24"/>
          <w:lang w:val="ro-MD"/>
        </w:rPr>
        <w:t xml:space="preserve">uvernului </w:t>
      </w:r>
      <w:r w:rsidR="00B76CE1" w:rsidRPr="00021368">
        <w:rPr>
          <w:rFonts w:asciiTheme="majorHAnsi" w:hAnsiTheme="majorHAnsi" w:cstheme="majorHAnsi"/>
          <w:noProof/>
          <w:sz w:val="24"/>
          <w:szCs w:val="24"/>
          <w:lang w:val="ro-MD"/>
        </w:rPr>
        <w:t>privind executarea bugetului asigurărilor sociale de stat în anul 2020</w:t>
      </w:r>
      <w:r w:rsidR="00724990">
        <w:rPr>
          <w:rFonts w:asciiTheme="majorHAnsi" w:hAnsiTheme="majorHAnsi" w:cstheme="majorHAnsi"/>
          <w:noProof/>
          <w:sz w:val="24"/>
          <w:szCs w:val="24"/>
          <w:lang w:val="ro-MD"/>
        </w:rPr>
        <w:t>”</w:t>
      </w:r>
      <w:r w:rsidR="00B76CE1" w:rsidRPr="00021368">
        <w:rPr>
          <w:rFonts w:asciiTheme="majorHAnsi" w:hAnsiTheme="majorHAnsi" w:cstheme="majorHAnsi"/>
          <w:noProof/>
          <w:sz w:val="24"/>
          <w:szCs w:val="24"/>
          <w:lang w:val="ro-MD"/>
        </w:rPr>
        <w:t xml:space="preserve"> și nr.17 din 24.05.2022 </w:t>
      </w:r>
      <w:r w:rsidR="00724990">
        <w:rPr>
          <w:rFonts w:asciiTheme="majorHAnsi" w:hAnsiTheme="majorHAnsi" w:cstheme="majorHAnsi"/>
          <w:noProof/>
          <w:sz w:val="24"/>
          <w:szCs w:val="24"/>
          <w:lang w:val="ro-MD"/>
        </w:rPr>
        <w:t>„C</w:t>
      </w:r>
      <w:r w:rsidR="00B76CE1" w:rsidRPr="00021368">
        <w:rPr>
          <w:rFonts w:asciiTheme="majorHAnsi" w:hAnsiTheme="majorHAnsi" w:cstheme="majorHAnsi"/>
          <w:noProof/>
          <w:sz w:val="24"/>
          <w:szCs w:val="24"/>
          <w:lang w:val="ro-MD"/>
        </w:rPr>
        <w:t>u privire la Raportul auditului financiar al Raportului Guvernului privind executarea bugetului asigurărilor sociale de stat în anul 2021</w:t>
      </w:r>
      <w:r w:rsidR="00724990">
        <w:rPr>
          <w:rFonts w:asciiTheme="majorHAnsi" w:hAnsiTheme="majorHAnsi" w:cstheme="majorHAnsi"/>
          <w:noProof/>
          <w:sz w:val="24"/>
          <w:szCs w:val="24"/>
          <w:lang w:val="ro-MD"/>
        </w:rPr>
        <w:t>”</w:t>
      </w:r>
      <w:r w:rsidR="00E940C1">
        <w:rPr>
          <w:rFonts w:asciiTheme="majorHAnsi" w:hAnsiTheme="majorHAnsi" w:cstheme="majorHAnsi"/>
          <w:noProof/>
          <w:sz w:val="24"/>
          <w:szCs w:val="24"/>
          <w:lang w:val="ro-MD"/>
        </w:rPr>
        <w:t>, ca urmare a reiterării recomandărilor neimplementate și parțial implementate</w:t>
      </w:r>
      <w:r w:rsidR="00B76CE1" w:rsidRPr="00021368">
        <w:rPr>
          <w:rFonts w:asciiTheme="majorHAnsi" w:hAnsiTheme="majorHAnsi" w:cstheme="majorHAnsi"/>
          <w:noProof/>
          <w:sz w:val="24"/>
          <w:szCs w:val="24"/>
          <w:lang w:val="ro-MD"/>
        </w:rPr>
        <w:t>.</w:t>
      </w:r>
    </w:p>
    <w:p w:rsidR="00DF21B9" w:rsidRPr="00585C40" w:rsidRDefault="00DF21B9" w:rsidP="0048655A">
      <w:pPr>
        <w:pStyle w:val="a9"/>
        <w:numPr>
          <w:ilvl w:val="0"/>
          <w:numId w:val="1"/>
        </w:numPr>
        <w:tabs>
          <w:tab w:val="left" w:pos="900"/>
          <w:tab w:val="left" w:pos="993"/>
          <w:tab w:val="left" w:pos="1276"/>
        </w:tabs>
        <w:spacing w:after="0"/>
        <w:ind w:left="0" w:firstLine="709"/>
        <w:contextualSpacing w:val="0"/>
        <w:rPr>
          <w:rFonts w:asciiTheme="majorHAnsi" w:hAnsiTheme="majorHAnsi" w:cstheme="majorHAnsi"/>
          <w:noProof/>
          <w:sz w:val="24"/>
          <w:szCs w:val="24"/>
          <w:lang w:val="ro-MD"/>
        </w:rPr>
      </w:pPr>
      <w:r>
        <w:rPr>
          <w:rFonts w:asciiTheme="majorHAnsi" w:hAnsiTheme="majorHAnsi" w:cstheme="majorHAnsi"/>
          <w:sz w:val="24"/>
          <w:szCs w:val="24"/>
          <w:lang w:val="ro-MD"/>
        </w:rPr>
        <w:t xml:space="preserve"> </w:t>
      </w:r>
      <w:r w:rsidRPr="00585C40">
        <w:rPr>
          <w:rFonts w:asciiTheme="majorHAnsi" w:hAnsiTheme="majorHAnsi" w:cstheme="majorHAnsi"/>
          <w:sz w:val="24"/>
          <w:szCs w:val="24"/>
          <w:lang w:val="ro-MD"/>
        </w:rPr>
        <w:t>Prezenta Hotărâre intră în vigoare din data publicării în Monitorul Oficial al Republicii Moldova și poate fi contestată cu o cerere prealabilă la autoritatea emitentă în termen de 30 de zile din data publicării. În ordine de contencios administrativ, Hotărârea poate fi contestată la Judecătoria Chișinău, sediul Râșcani (MD-2068, mun. Chișinău, str. Kiev nr.3), în termen de 30 de zile din data comunicării răspunsului cu privire la cererea prealabilă sau din data expirării termenului prevăzut pentru soluționarea acesteia.</w:t>
      </w:r>
    </w:p>
    <w:p w:rsidR="00DF21B9" w:rsidRPr="006C2CCF" w:rsidRDefault="00DF21B9" w:rsidP="0048655A">
      <w:pPr>
        <w:pStyle w:val="a9"/>
        <w:numPr>
          <w:ilvl w:val="0"/>
          <w:numId w:val="1"/>
        </w:numPr>
        <w:tabs>
          <w:tab w:val="left" w:pos="900"/>
          <w:tab w:val="left" w:pos="993"/>
          <w:tab w:val="left" w:pos="1276"/>
        </w:tabs>
        <w:spacing w:after="0"/>
        <w:ind w:left="0" w:firstLine="709"/>
        <w:contextualSpacing w:val="0"/>
        <w:rPr>
          <w:rFonts w:asciiTheme="majorHAnsi" w:hAnsiTheme="majorHAnsi" w:cstheme="majorHAnsi"/>
          <w:sz w:val="24"/>
          <w:szCs w:val="24"/>
          <w:lang w:val="ro-MD"/>
        </w:rPr>
      </w:pPr>
      <w:r w:rsidRPr="006C2CCF">
        <w:rPr>
          <w:rFonts w:asciiTheme="majorHAnsi" w:hAnsiTheme="majorHAnsi" w:cstheme="majorHAnsi"/>
          <w:sz w:val="24"/>
          <w:szCs w:val="24"/>
          <w:lang w:val="ro-MD"/>
        </w:rPr>
        <w:t xml:space="preserve"> Despre acțiunile întreprinse pe</w:t>
      </w:r>
      <w:r>
        <w:rPr>
          <w:rFonts w:asciiTheme="majorHAnsi" w:hAnsiTheme="majorHAnsi" w:cstheme="majorHAnsi"/>
          <w:sz w:val="24"/>
          <w:szCs w:val="24"/>
          <w:lang w:val="ro-MD"/>
        </w:rPr>
        <w:t>ntru executarea recomandărilor</w:t>
      </w:r>
      <w:r w:rsidR="00724990">
        <w:rPr>
          <w:rFonts w:asciiTheme="majorHAnsi" w:hAnsiTheme="majorHAnsi" w:cstheme="majorHAnsi"/>
          <w:sz w:val="24"/>
          <w:szCs w:val="24"/>
          <w:lang w:val="ro-MD"/>
        </w:rPr>
        <w:t xml:space="preserve"> de audit </w:t>
      </w:r>
      <w:r>
        <w:rPr>
          <w:rFonts w:asciiTheme="majorHAnsi" w:hAnsiTheme="majorHAnsi" w:cstheme="majorHAnsi"/>
          <w:sz w:val="24"/>
          <w:szCs w:val="24"/>
          <w:lang w:val="ro-MD"/>
        </w:rPr>
        <w:t xml:space="preserve">, </w:t>
      </w:r>
      <w:r w:rsidRPr="006C2CCF">
        <w:rPr>
          <w:rFonts w:asciiTheme="majorHAnsi" w:hAnsiTheme="majorHAnsi" w:cstheme="majorHAnsi"/>
          <w:sz w:val="24"/>
          <w:szCs w:val="24"/>
          <w:lang w:val="ro-MD"/>
        </w:rPr>
        <w:t xml:space="preserve">se va informa Curtea de Conturi în </w:t>
      </w:r>
      <w:r w:rsidRPr="008C7352">
        <w:rPr>
          <w:rFonts w:asciiTheme="majorHAnsi" w:hAnsiTheme="majorHAnsi" w:cstheme="majorHAnsi"/>
          <w:sz w:val="24"/>
          <w:szCs w:val="24"/>
          <w:lang w:val="ro-MD"/>
        </w:rPr>
        <w:t>termen de 6 luni din data intrării</w:t>
      </w:r>
      <w:r>
        <w:rPr>
          <w:rFonts w:asciiTheme="majorHAnsi" w:hAnsiTheme="majorHAnsi" w:cstheme="majorHAnsi"/>
          <w:sz w:val="24"/>
          <w:szCs w:val="24"/>
          <w:lang w:val="ro-MD"/>
        </w:rPr>
        <w:t xml:space="preserve"> în vigoare a </w:t>
      </w:r>
      <w:r w:rsidR="00724990">
        <w:rPr>
          <w:rFonts w:asciiTheme="majorHAnsi" w:hAnsiTheme="majorHAnsi" w:cstheme="majorHAnsi"/>
          <w:sz w:val="24"/>
          <w:szCs w:val="24"/>
          <w:lang w:val="ro-MD"/>
        </w:rPr>
        <w:t xml:space="preserve">prezentei </w:t>
      </w:r>
      <w:r>
        <w:rPr>
          <w:rFonts w:asciiTheme="majorHAnsi" w:hAnsiTheme="majorHAnsi" w:cstheme="majorHAnsi"/>
          <w:sz w:val="24"/>
          <w:szCs w:val="24"/>
          <w:lang w:val="ro-MD"/>
        </w:rPr>
        <w:t>Hotărâri.</w:t>
      </w:r>
    </w:p>
    <w:p w:rsidR="00DF21B9" w:rsidRPr="00B35B6C" w:rsidRDefault="00DF21B9" w:rsidP="0048655A">
      <w:pPr>
        <w:pStyle w:val="a9"/>
        <w:numPr>
          <w:ilvl w:val="0"/>
          <w:numId w:val="2"/>
        </w:numPr>
        <w:tabs>
          <w:tab w:val="left" w:pos="900"/>
          <w:tab w:val="left" w:pos="993"/>
          <w:tab w:val="left" w:pos="1276"/>
        </w:tabs>
        <w:spacing w:after="0"/>
        <w:ind w:left="0" w:firstLine="709"/>
        <w:rPr>
          <w:rFonts w:asciiTheme="majorHAnsi" w:eastAsia="Times New Roman" w:hAnsiTheme="majorHAnsi" w:cstheme="majorHAnsi"/>
          <w:b/>
          <w:sz w:val="24"/>
          <w:szCs w:val="24"/>
          <w:lang w:val="ro-MD"/>
        </w:rPr>
      </w:pPr>
      <w:r w:rsidRPr="00B35B6C">
        <w:rPr>
          <w:rFonts w:asciiTheme="majorHAnsi" w:hAnsiTheme="majorHAnsi" w:cstheme="majorHAnsi"/>
          <w:sz w:val="24"/>
          <w:szCs w:val="24"/>
          <w:lang w:val="ro-MD"/>
        </w:rPr>
        <w:t xml:space="preserve"> Hotărârea și </w:t>
      </w:r>
      <w:r w:rsidRPr="00B35B6C">
        <w:rPr>
          <w:rFonts w:asciiTheme="majorHAnsi" w:hAnsiTheme="majorHAnsi" w:cstheme="majorHAnsi"/>
          <w:color w:val="000000"/>
          <w:sz w:val="24"/>
          <w:szCs w:val="24"/>
          <w:lang w:val="ro-MD"/>
        </w:rPr>
        <w:t xml:space="preserve">Raportul </w:t>
      </w:r>
      <w:r w:rsidRPr="00B35B6C">
        <w:rPr>
          <w:rFonts w:asciiTheme="majorHAnsi" w:hAnsiTheme="majorHAnsi" w:cstheme="majorHAnsi"/>
          <w:bCs/>
          <w:color w:val="000000"/>
          <w:sz w:val="24"/>
          <w:szCs w:val="24"/>
          <w:lang w:val="ro-MD"/>
        </w:rPr>
        <w:t xml:space="preserve">auditului </w:t>
      </w:r>
      <w:r w:rsidRPr="00B35B6C">
        <w:rPr>
          <w:rFonts w:asciiTheme="majorHAnsi" w:hAnsiTheme="majorHAnsi" w:cstheme="majorHAnsi"/>
          <w:noProof/>
          <w:sz w:val="24"/>
          <w:szCs w:val="24"/>
          <w:lang w:val="ro-MD" w:eastAsia="ro-RO"/>
        </w:rPr>
        <w:t>financiar al Raportului Guvernului privind executarea bugetului asigurărilor sociale de stat în anul 202</w:t>
      </w:r>
      <w:r>
        <w:rPr>
          <w:rFonts w:asciiTheme="majorHAnsi" w:hAnsiTheme="majorHAnsi" w:cstheme="majorHAnsi"/>
          <w:noProof/>
          <w:sz w:val="24"/>
          <w:szCs w:val="24"/>
          <w:lang w:val="ro-MD" w:eastAsia="ro-RO"/>
        </w:rPr>
        <w:t>2</w:t>
      </w:r>
      <w:r w:rsidRPr="00B35B6C">
        <w:rPr>
          <w:rFonts w:asciiTheme="majorHAnsi" w:hAnsiTheme="majorHAnsi" w:cstheme="majorHAnsi"/>
          <w:noProof/>
          <w:sz w:val="24"/>
          <w:szCs w:val="24"/>
          <w:lang w:val="ro-MD" w:eastAsia="ro-RO"/>
        </w:rPr>
        <w:t xml:space="preserve"> </w:t>
      </w:r>
      <w:r w:rsidRPr="00B35B6C">
        <w:rPr>
          <w:rFonts w:asciiTheme="majorHAnsi" w:hAnsiTheme="majorHAnsi" w:cstheme="majorHAnsi"/>
          <w:sz w:val="24"/>
          <w:szCs w:val="24"/>
          <w:lang w:val="ro-MD"/>
        </w:rPr>
        <w:t>se plasează pe site-ul oficial al Curții de Conturi (</w:t>
      </w:r>
      <w:hyperlink r:id="rId9" w:history="1">
        <w:r w:rsidRPr="00B35B6C">
          <w:rPr>
            <w:rStyle w:val="a8"/>
            <w:rFonts w:asciiTheme="majorHAnsi" w:hAnsiTheme="majorHAnsi"/>
            <w:sz w:val="24"/>
            <w:szCs w:val="24"/>
          </w:rPr>
          <w:t>https://www.ccrm.md/ro/decisions</w:t>
        </w:r>
      </w:hyperlink>
      <w:r w:rsidRPr="00B35B6C">
        <w:rPr>
          <w:rFonts w:asciiTheme="majorHAnsi" w:hAnsiTheme="majorHAnsi"/>
          <w:sz w:val="24"/>
          <w:szCs w:val="24"/>
        </w:rPr>
        <w:t>).</w:t>
      </w:r>
    </w:p>
    <w:p w:rsidR="00DF21B9" w:rsidRPr="00585C40" w:rsidRDefault="00DF21B9" w:rsidP="0048655A">
      <w:pPr>
        <w:spacing w:after="0"/>
        <w:jc w:val="center"/>
        <w:rPr>
          <w:rFonts w:asciiTheme="majorHAnsi" w:eastAsia="Times New Roman" w:hAnsiTheme="majorHAnsi" w:cstheme="majorHAnsi"/>
          <w:b/>
          <w:sz w:val="24"/>
          <w:szCs w:val="24"/>
          <w:lang w:val="ro-MD"/>
        </w:rPr>
      </w:pPr>
    </w:p>
    <w:p w:rsidR="00DF21B9" w:rsidRDefault="00DF21B9" w:rsidP="0048655A">
      <w:pPr>
        <w:spacing w:after="0"/>
        <w:jc w:val="right"/>
        <w:rPr>
          <w:rFonts w:asciiTheme="majorHAnsi" w:eastAsia="Times New Roman" w:hAnsiTheme="majorHAnsi" w:cstheme="majorHAnsi"/>
          <w:b/>
          <w:sz w:val="26"/>
          <w:szCs w:val="26"/>
          <w:lang w:val="ro-MD"/>
        </w:rPr>
      </w:pPr>
    </w:p>
    <w:p w:rsidR="00DF21B9" w:rsidRDefault="00DF21B9" w:rsidP="0048655A">
      <w:pPr>
        <w:spacing w:after="0"/>
        <w:jc w:val="right"/>
        <w:rPr>
          <w:rFonts w:asciiTheme="majorHAnsi" w:eastAsia="Times New Roman" w:hAnsiTheme="majorHAnsi" w:cstheme="majorHAnsi"/>
          <w:b/>
          <w:sz w:val="26"/>
          <w:szCs w:val="26"/>
          <w:lang w:val="ro-MD"/>
        </w:rPr>
      </w:pPr>
    </w:p>
    <w:p w:rsidR="00DF21B9" w:rsidRPr="00172D51" w:rsidRDefault="00DF21B9" w:rsidP="0048655A">
      <w:pPr>
        <w:spacing w:after="0"/>
        <w:jc w:val="right"/>
        <w:rPr>
          <w:rFonts w:asciiTheme="majorHAnsi" w:eastAsia="Times New Roman" w:hAnsiTheme="majorHAnsi" w:cstheme="majorHAnsi"/>
          <w:b/>
          <w:sz w:val="26"/>
          <w:szCs w:val="26"/>
          <w:lang w:val="ro-MD"/>
        </w:rPr>
      </w:pPr>
      <w:r>
        <w:rPr>
          <w:rFonts w:asciiTheme="majorHAnsi" w:eastAsia="Times New Roman" w:hAnsiTheme="majorHAnsi" w:cstheme="majorHAnsi"/>
          <w:b/>
          <w:sz w:val="26"/>
          <w:szCs w:val="26"/>
          <w:lang w:val="ro-MD"/>
        </w:rPr>
        <w:t>Marian LUPU</w:t>
      </w:r>
      <w:r w:rsidRPr="00172D51">
        <w:rPr>
          <w:rFonts w:asciiTheme="majorHAnsi" w:eastAsia="Times New Roman" w:hAnsiTheme="majorHAnsi" w:cstheme="majorHAnsi"/>
          <w:b/>
          <w:sz w:val="26"/>
          <w:szCs w:val="26"/>
          <w:lang w:val="ro-MD"/>
        </w:rPr>
        <w:t>,</w:t>
      </w:r>
    </w:p>
    <w:p w:rsidR="00DF21B9" w:rsidRPr="00172D51" w:rsidRDefault="00DF21B9" w:rsidP="0048655A">
      <w:pPr>
        <w:spacing w:after="0"/>
        <w:jc w:val="right"/>
        <w:rPr>
          <w:rFonts w:asciiTheme="majorHAnsi" w:eastAsia="Times New Roman" w:hAnsiTheme="majorHAnsi" w:cstheme="majorHAnsi"/>
          <w:b/>
          <w:sz w:val="26"/>
          <w:szCs w:val="26"/>
          <w:lang w:val="ro-MD"/>
        </w:rPr>
      </w:pPr>
      <w:r>
        <w:rPr>
          <w:rFonts w:asciiTheme="majorHAnsi" w:eastAsia="Times New Roman" w:hAnsiTheme="majorHAnsi" w:cstheme="majorHAnsi"/>
          <w:b/>
          <w:sz w:val="26"/>
          <w:szCs w:val="26"/>
          <w:lang w:val="ro-MD"/>
        </w:rPr>
        <w:t>Președinte</w:t>
      </w:r>
    </w:p>
    <w:p w:rsidR="00DF21B9" w:rsidRPr="00585C40" w:rsidRDefault="00DF21B9" w:rsidP="0048655A">
      <w:pPr>
        <w:rPr>
          <w:rFonts w:asciiTheme="majorHAnsi" w:hAnsiTheme="majorHAnsi" w:cstheme="majorHAnsi"/>
          <w:sz w:val="24"/>
          <w:szCs w:val="24"/>
          <w:lang w:val="ro-MD"/>
        </w:rPr>
      </w:pPr>
      <w:r w:rsidRPr="00585C40">
        <w:rPr>
          <w:rFonts w:asciiTheme="majorHAnsi" w:hAnsiTheme="majorHAnsi" w:cstheme="majorHAnsi"/>
          <w:sz w:val="24"/>
          <w:szCs w:val="24"/>
          <w:lang w:val="ro-MD"/>
        </w:rPr>
        <w:t xml:space="preserve"> </w:t>
      </w:r>
    </w:p>
    <w:p w:rsidR="00DF21B9" w:rsidRPr="00585C40" w:rsidRDefault="00DF21B9" w:rsidP="0048655A">
      <w:pPr>
        <w:spacing w:after="0"/>
        <w:rPr>
          <w:rFonts w:asciiTheme="majorHAnsi" w:hAnsiTheme="majorHAnsi" w:cstheme="majorHAnsi"/>
          <w:sz w:val="24"/>
          <w:szCs w:val="24"/>
          <w:lang w:val="ro-MD"/>
        </w:rPr>
      </w:pPr>
    </w:p>
    <w:p w:rsidR="00DF21B9" w:rsidRPr="00585C40" w:rsidRDefault="00DF21B9" w:rsidP="0048655A">
      <w:pPr>
        <w:spacing w:after="0"/>
        <w:rPr>
          <w:rFonts w:asciiTheme="majorHAnsi" w:hAnsiTheme="majorHAnsi" w:cstheme="majorHAnsi"/>
          <w:sz w:val="24"/>
          <w:szCs w:val="24"/>
          <w:lang w:val="ro-MD"/>
        </w:rPr>
      </w:pPr>
    </w:p>
    <w:p w:rsidR="00DF21B9" w:rsidRPr="00585C40" w:rsidRDefault="00DF21B9" w:rsidP="0048655A">
      <w:pPr>
        <w:spacing w:after="0"/>
        <w:rPr>
          <w:rFonts w:asciiTheme="majorHAnsi" w:hAnsiTheme="majorHAnsi" w:cstheme="majorHAnsi"/>
          <w:sz w:val="24"/>
          <w:szCs w:val="24"/>
          <w:lang w:val="ro-MD"/>
        </w:rPr>
      </w:pPr>
    </w:p>
    <w:p w:rsidR="00DF21B9" w:rsidRDefault="00DF21B9" w:rsidP="0048655A">
      <w:pPr>
        <w:rPr>
          <w:sz w:val="24"/>
          <w:szCs w:val="24"/>
        </w:rPr>
      </w:pPr>
    </w:p>
    <w:p w:rsidR="00DF21B9" w:rsidRDefault="00DF21B9" w:rsidP="0048655A">
      <w:pPr>
        <w:rPr>
          <w:sz w:val="24"/>
          <w:szCs w:val="24"/>
        </w:rPr>
      </w:pPr>
    </w:p>
    <w:p w:rsidR="00DF21B9" w:rsidRDefault="00DF21B9" w:rsidP="0048655A">
      <w:pPr>
        <w:rPr>
          <w:sz w:val="24"/>
          <w:szCs w:val="24"/>
        </w:rPr>
      </w:pPr>
    </w:p>
    <w:p w:rsidR="00DF21B9" w:rsidRDefault="00DF21B9" w:rsidP="0048655A">
      <w:pPr>
        <w:rPr>
          <w:sz w:val="24"/>
          <w:szCs w:val="24"/>
        </w:rPr>
      </w:pPr>
    </w:p>
    <w:p w:rsidR="00DF21B9" w:rsidRDefault="00DF21B9" w:rsidP="0048655A">
      <w:pPr>
        <w:rPr>
          <w:sz w:val="24"/>
          <w:szCs w:val="24"/>
        </w:rPr>
      </w:pPr>
    </w:p>
    <w:p w:rsidR="00DF21B9" w:rsidRDefault="00DF21B9" w:rsidP="0048655A">
      <w:pPr>
        <w:rPr>
          <w:sz w:val="24"/>
          <w:szCs w:val="24"/>
        </w:rPr>
      </w:pPr>
    </w:p>
    <w:p w:rsidR="00DF21B9" w:rsidRDefault="00DF21B9" w:rsidP="0048655A">
      <w:pPr>
        <w:rPr>
          <w:sz w:val="24"/>
          <w:szCs w:val="24"/>
        </w:rPr>
      </w:pPr>
    </w:p>
    <w:p w:rsidR="00DF21B9" w:rsidRDefault="00DF21B9" w:rsidP="0048655A">
      <w:pPr>
        <w:rPr>
          <w:sz w:val="24"/>
          <w:szCs w:val="24"/>
        </w:rPr>
      </w:pPr>
    </w:p>
    <w:p w:rsidR="00F86CB8" w:rsidRDefault="00C009B9" w:rsidP="0048655A"/>
    <w:sectPr w:rsidR="00F86CB8" w:rsidSect="00B51976">
      <w:headerReference w:type="default" r:id="rId10"/>
      <w:footerReference w:type="default" r:id="rId11"/>
      <w:pgSz w:w="12240" w:h="15840"/>
      <w:pgMar w:top="851" w:right="720" w:bottom="1418" w:left="16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9B9" w:rsidRDefault="00C009B9" w:rsidP="00DF21B9">
      <w:pPr>
        <w:spacing w:after="0" w:line="240" w:lineRule="auto"/>
      </w:pPr>
      <w:r>
        <w:separator/>
      </w:r>
    </w:p>
  </w:endnote>
  <w:endnote w:type="continuationSeparator" w:id="0">
    <w:p w:rsidR="00C009B9" w:rsidRDefault="00C009B9" w:rsidP="00DF2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727745"/>
      <w:docPartObj>
        <w:docPartGallery w:val="Page Numbers (Bottom of Page)"/>
        <w:docPartUnique/>
      </w:docPartObj>
    </w:sdtPr>
    <w:sdtEndPr>
      <w:rPr>
        <w:noProof/>
      </w:rPr>
    </w:sdtEndPr>
    <w:sdtContent>
      <w:p w:rsidR="00D02F43" w:rsidRDefault="0003353E">
        <w:pPr>
          <w:pStyle w:val="a6"/>
          <w:jc w:val="right"/>
        </w:pPr>
        <w:r>
          <w:fldChar w:fldCharType="begin"/>
        </w:r>
        <w:r>
          <w:instrText xml:space="preserve"> PAGE   \* MERGEFORMAT </w:instrText>
        </w:r>
        <w:r>
          <w:fldChar w:fldCharType="separate"/>
        </w:r>
        <w:r w:rsidR="00C009B9">
          <w:rPr>
            <w:noProof/>
          </w:rPr>
          <w:t>1</w:t>
        </w:r>
        <w:r>
          <w:rPr>
            <w:noProof/>
          </w:rPr>
          <w:fldChar w:fldCharType="end"/>
        </w:r>
      </w:p>
    </w:sdtContent>
  </w:sdt>
  <w:p w:rsidR="00D02F43" w:rsidRDefault="00C009B9" w:rsidP="00D02F43">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9B9" w:rsidRDefault="00C009B9" w:rsidP="00DF21B9">
      <w:pPr>
        <w:spacing w:after="0" w:line="240" w:lineRule="auto"/>
      </w:pPr>
      <w:r>
        <w:separator/>
      </w:r>
    </w:p>
  </w:footnote>
  <w:footnote w:type="continuationSeparator" w:id="0">
    <w:p w:rsidR="00C009B9" w:rsidRDefault="00C009B9" w:rsidP="00DF21B9">
      <w:pPr>
        <w:spacing w:after="0" w:line="240" w:lineRule="auto"/>
      </w:pPr>
      <w:r>
        <w:continuationSeparator/>
      </w:r>
    </w:p>
  </w:footnote>
  <w:footnote w:id="1">
    <w:p w:rsidR="00DF21B9" w:rsidRPr="005F7A8E" w:rsidRDefault="00DF21B9" w:rsidP="00DF21B9">
      <w:pPr>
        <w:pStyle w:val="a3"/>
        <w:rPr>
          <w:rFonts w:asciiTheme="majorHAnsi" w:hAnsiTheme="majorHAnsi" w:cstheme="majorHAnsi"/>
          <w:sz w:val="16"/>
          <w:szCs w:val="16"/>
          <w:lang w:val="ro-MD"/>
        </w:rPr>
      </w:pPr>
      <w:r w:rsidRPr="005F7A8E">
        <w:rPr>
          <w:rStyle w:val="a5"/>
          <w:rFonts w:asciiTheme="majorHAnsi" w:hAnsiTheme="majorHAnsi" w:cstheme="majorHAnsi"/>
          <w:sz w:val="16"/>
          <w:szCs w:val="16"/>
          <w:lang w:val="ro-MD"/>
        </w:rPr>
        <w:footnoteRef/>
      </w:r>
      <w:r w:rsidRPr="005F7A8E">
        <w:rPr>
          <w:rFonts w:asciiTheme="majorHAnsi" w:hAnsiTheme="majorHAnsi" w:cstheme="majorHAnsi"/>
          <w:sz w:val="16"/>
          <w:szCs w:val="16"/>
          <w:lang w:val="ro-MD"/>
        </w:rPr>
        <w:t xml:space="preserve"> Legea privind organizarea și funcționarea Curții de Conturi a Republicii Moldova nr.260 din 07.12.2017</w:t>
      </w:r>
      <w:r>
        <w:rPr>
          <w:rFonts w:asciiTheme="majorHAnsi" w:hAnsiTheme="majorHAnsi" w:cstheme="majorHAnsi"/>
          <w:sz w:val="16"/>
          <w:szCs w:val="16"/>
          <w:lang w:val="ro-MD"/>
        </w:rPr>
        <w:t>,</w:t>
      </w:r>
      <w:r w:rsidRPr="005F7A8E">
        <w:rPr>
          <w:rFonts w:asciiTheme="majorHAnsi" w:hAnsiTheme="majorHAnsi" w:cstheme="majorHAnsi"/>
          <w:sz w:val="16"/>
          <w:szCs w:val="16"/>
          <w:lang w:val="ro-MD"/>
        </w:rPr>
        <w:t xml:space="preserve"> </w:t>
      </w:r>
      <w:r>
        <w:rPr>
          <w:rFonts w:asciiTheme="majorHAnsi" w:hAnsiTheme="majorHAnsi" w:cstheme="majorHAnsi"/>
          <w:sz w:val="16"/>
          <w:szCs w:val="16"/>
          <w:lang w:val="ro-MD"/>
        </w:rPr>
        <w:t xml:space="preserve">cu modificările și completările ulterioare </w:t>
      </w:r>
      <w:r w:rsidRPr="005F7A8E">
        <w:rPr>
          <w:rFonts w:asciiTheme="majorHAnsi" w:hAnsiTheme="majorHAnsi" w:cstheme="majorHAnsi"/>
          <w:sz w:val="16"/>
          <w:szCs w:val="16"/>
          <w:lang w:val="ro-MD"/>
        </w:rPr>
        <w:t>(în continuare – Legea nr.260 din 07.12.2017).</w:t>
      </w:r>
    </w:p>
  </w:footnote>
  <w:footnote w:id="2">
    <w:p w:rsidR="00DF21B9" w:rsidRPr="00A321E7" w:rsidRDefault="00DF21B9" w:rsidP="00DF21B9">
      <w:pPr>
        <w:pStyle w:val="a3"/>
        <w:rPr>
          <w:rFonts w:ascii="Calibri Light" w:hAnsi="Calibri Light" w:cs="Calibri Light"/>
          <w:sz w:val="16"/>
          <w:szCs w:val="16"/>
          <w:lang w:val="ro-RO"/>
        </w:rPr>
      </w:pPr>
      <w:r w:rsidRPr="00A03086">
        <w:rPr>
          <w:rFonts w:ascii="Calibri Light" w:hAnsi="Calibri Light" w:cs="Calibri Light"/>
          <w:sz w:val="16"/>
          <w:szCs w:val="16"/>
          <w:vertAlign w:val="superscript"/>
          <w:lang w:val="ro-RO"/>
        </w:rPr>
        <w:footnoteRef/>
      </w:r>
      <w:r w:rsidRPr="00A03086">
        <w:rPr>
          <w:rFonts w:ascii="Calibri Light" w:hAnsi="Calibri Light" w:cs="Calibri Light"/>
          <w:sz w:val="16"/>
          <w:szCs w:val="16"/>
          <w:vertAlign w:val="superscript"/>
          <w:lang w:val="ro-RO"/>
        </w:rPr>
        <w:t xml:space="preserve"> </w:t>
      </w:r>
      <w:r w:rsidRPr="00A321E7">
        <w:rPr>
          <w:rFonts w:ascii="Calibri Light" w:hAnsi="Calibri Light" w:cs="Calibri Light"/>
          <w:sz w:val="16"/>
          <w:szCs w:val="16"/>
          <w:lang w:val="ro-RO"/>
        </w:rPr>
        <w:t>Program</w:t>
      </w:r>
      <w:r w:rsidR="00B57BE9">
        <w:rPr>
          <w:rFonts w:ascii="Calibri Light" w:hAnsi="Calibri Light" w:cs="Calibri Light"/>
          <w:sz w:val="16"/>
          <w:szCs w:val="16"/>
          <w:lang w:val="ro-RO"/>
        </w:rPr>
        <w:t>ele</w:t>
      </w:r>
      <w:r w:rsidRPr="00A321E7">
        <w:rPr>
          <w:rFonts w:ascii="Calibri Light" w:hAnsi="Calibri Light" w:cs="Calibri Light"/>
          <w:sz w:val="16"/>
          <w:szCs w:val="16"/>
          <w:lang w:val="ro-RO"/>
        </w:rPr>
        <w:t xml:space="preserve"> activit</w:t>
      </w:r>
      <w:r w:rsidR="00A321E7" w:rsidRPr="00A321E7">
        <w:rPr>
          <w:rFonts w:ascii="Calibri Light" w:hAnsi="Calibri Light" w:cs="Calibri Light"/>
          <w:sz w:val="16"/>
          <w:szCs w:val="16"/>
          <w:lang w:val="ro-RO"/>
        </w:rPr>
        <w:t>ății de audit pentru an</w:t>
      </w:r>
      <w:r w:rsidR="00B57BE9">
        <w:rPr>
          <w:rFonts w:ascii="Calibri Light" w:hAnsi="Calibri Light" w:cs="Calibri Light"/>
          <w:sz w:val="16"/>
          <w:szCs w:val="16"/>
          <w:lang w:val="ro-RO"/>
        </w:rPr>
        <w:t>ii</w:t>
      </w:r>
      <w:r w:rsidR="00A321E7" w:rsidRPr="00A321E7">
        <w:rPr>
          <w:rFonts w:ascii="Calibri Light" w:hAnsi="Calibri Light" w:cs="Calibri Light"/>
          <w:sz w:val="16"/>
          <w:szCs w:val="16"/>
          <w:lang w:val="ro-RO"/>
        </w:rPr>
        <w:t xml:space="preserve"> 2022 și</w:t>
      </w:r>
      <w:r w:rsidR="00B57BE9">
        <w:rPr>
          <w:rFonts w:ascii="Calibri Light" w:hAnsi="Calibri Light" w:cs="Calibri Light"/>
          <w:sz w:val="16"/>
          <w:szCs w:val="16"/>
          <w:lang w:val="ro-RO"/>
        </w:rPr>
        <w:t>, respectiv,</w:t>
      </w:r>
      <w:r w:rsidR="00A321E7" w:rsidRPr="00A321E7">
        <w:rPr>
          <w:rFonts w:ascii="Calibri Light" w:hAnsi="Calibri Light" w:cs="Calibri Light"/>
          <w:sz w:val="16"/>
          <w:szCs w:val="16"/>
          <w:lang w:val="ro-RO"/>
        </w:rPr>
        <w:t xml:space="preserve"> 2023</w:t>
      </w:r>
      <w:r w:rsidR="00B57BE9">
        <w:rPr>
          <w:rFonts w:ascii="Calibri Light" w:hAnsi="Calibri Light" w:cs="Calibri Light"/>
          <w:sz w:val="16"/>
          <w:szCs w:val="16"/>
          <w:lang w:val="ro-RO"/>
        </w:rPr>
        <w:t>,</w:t>
      </w:r>
      <w:r w:rsidR="00A321E7" w:rsidRPr="00A321E7">
        <w:rPr>
          <w:rFonts w:ascii="Calibri Light" w:hAnsi="Calibri Light" w:cs="Calibri Light"/>
          <w:sz w:val="16"/>
          <w:szCs w:val="16"/>
          <w:lang w:val="ro-RO"/>
        </w:rPr>
        <w:t xml:space="preserve"> </w:t>
      </w:r>
      <w:r w:rsidRPr="00A321E7">
        <w:rPr>
          <w:rFonts w:ascii="Calibri Light" w:hAnsi="Calibri Light" w:cs="Calibri Light"/>
          <w:sz w:val="16"/>
          <w:szCs w:val="16"/>
          <w:lang w:val="ro-RO"/>
        </w:rPr>
        <w:t>aprobat</w:t>
      </w:r>
      <w:r w:rsidR="00B57BE9">
        <w:rPr>
          <w:rFonts w:ascii="Calibri Light" w:hAnsi="Calibri Light" w:cs="Calibri Light"/>
          <w:sz w:val="16"/>
          <w:szCs w:val="16"/>
          <w:lang w:val="ro-RO"/>
        </w:rPr>
        <w:t>e</w:t>
      </w:r>
      <w:r w:rsidRPr="00A321E7">
        <w:rPr>
          <w:rFonts w:ascii="Calibri Light" w:hAnsi="Calibri Light" w:cs="Calibri Light"/>
          <w:sz w:val="16"/>
          <w:szCs w:val="16"/>
          <w:lang w:val="ro-RO"/>
        </w:rPr>
        <w:t xml:space="preserve"> prin </w:t>
      </w:r>
      <w:r w:rsidR="00C13F43" w:rsidRPr="00A321E7">
        <w:rPr>
          <w:rFonts w:ascii="Calibri Light" w:hAnsi="Calibri Light" w:cs="Calibri Light"/>
          <w:sz w:val="16"/>
          <w:szCs w:val="16"/>
          <w:lang w:val="ro-RO"/>
        </w:rPr>
        <w:t>Hotărâr</w:t>
      </w:r>
      <w:r w:rsidR="00B57BE9">
        <w:rPr>
          <w:rFonts w:ascii="Calibri Light" w:hAnsi="Calibri Light" w:cs="Calibri Light"/>
          <w:sz w:val="16"/>
          <w:szCs w:val="16"/>
          <w:lang w:val="ro-RO"/>
        </w:rPr>
        <w:t>il</w:t>
      </w:r>
      <w:r w:rsidR="00C13F43" w:rsidRPr="00A321E7">
        <w:rPr>
          <w:rFonts w:ascii="Calibri Light" w:hAnsi="Calibri Light" w:cs="Calibri Light"/>
          <w:sz w:val="16"/>
          <w:szCs w:val="16"/>
          <w:lang w:val="ro-RO"/>
        </w:rPr>
        <w:t xml:space="preserve">e </w:t>
      </w:r>
      <w:r w:rsidR="00B57BE9">
        <w:rPr>
          <w:rFonts w:ascii="Calibri Light" w:hAnsi="Calibri Light" w:cs="Calibri Light"/>
          <w:sz w:val="16"/>
          <w:szCs w:val="16"/>
          <w:lang w:val="ro-RO"/>
        </w:rPr>
        <w:t xml:space="preserve">Curții de Conturi </w:t>
      </w:r>
      <w:r w:rsidR="00C13F43" w:rsidRPr="00A321E7">
        <w:rPr>
          <w:rFonts w:ascii="Calibri Light" w:hAnsi="Calibri Light" w:cs="Calibri Light"/>
          <w:sz w:val="16"/>
          <w:szCs w:val="16"/>
          <w:lang w:val="ro-RO"/>
        </w:rPr>
        <w:t>nr.75 din 28.12.2021</w:t>
      </w:r>
      <w:r w:rsidR="00A321E7" w:rsidRPr="00A321E7">
        <w:rPr>
          <w:rFonts w:ascii="Calibri Light" w:hAnsi="Calibri Light" w:cs="Calibri Light"/>
          <w:sz w:val="16"/>
          <w:szCs w:val="16"/>
          <w:lang w:val="ro-RO"/>
        </w:rPr>
        <w:t xml:space="preserve"> și</w:t>
      </w:r>
      <w:r w:rsidR="00B57BE9">
        <w:rPr>
          <w:rFonts w:ascii="Calibri Light" w:hAnsi="Calibri Light" w:cs="Calibri Light"/>
          <w:sz w:val="16"/>
          <w:szCs w:val="16"/>
          <w:lang w:val="ro-RO"/>
        </w:rPr>
        <w:t>,</w:t>
      </w:r>
      <w:r w:rsidR="00A321E7" w:rsidRPr="00A321E7">
        <w:rPr>
          <w:rFonts w:ascii="Calibri Light" w:hAnsi="Calibri Light" w:cs="Calibri Light"/>
          <w:sz w:val="16"/>
          <w:szCs w:val="16"/>
          <w:lang w:val="ro-RO"/>
        </w:rPr>
        <w:t xml:space="preserve"> respectiv</w:t>
      </w:r>
      <w:r w:rsidR="00B57BE9">
        <w:rPr>
          <w:rFonts w:ascii="Calibri Light" w:hAnsi="Calibri Light" w:cs="Calibri Light"/>
          <w:sz w:val="16"/>
          <w:szCs w:val="16"/>
          <w:lang w:val="ro-RO"/>
        </w:rPr>
        <w:t>,</w:t>
      </w:r>
      <w:r w:rsidR="00A321E7" w:rsidRPr="00A321E7">
        <w:rPr>
          <w:rFonts w:ascii="Calibri Light" w:hAnsi="Calibri Light" w:cs="Calibri Light"/>
          <w:sz w:val="16"/>
          <w:szCs w:val="16"/>
          <w:lang w:val="ro-RO"/>
        </w:rPr>
        <w:t xml:space="preserve"> nr.65 din 22.12.2022</w:t>
      </w:r>
      <w:r w:rsidR="00B57BE9">
        <w:rPr>
          <w:rFonts w:ascii="Calibri Light" w:hAnsi="Calibri Light" w:cs="Calibri Light"/>
          <w:sz w:val="16"/>
          <w:szCs w:val="16"/>
          <w:lang w:val="ro-RO"/>
        </w:rPr>
        <w:t>,</w:t>
      </w:r>
      <w:r w:rsidR="00A321E7" w:rsidRPr="00A321E7">
        <w:rPr>
          <w:rFonts w:ascii="Calibri Light" w:hAnsi="Calibri Light" w:cs="Calibri Light"/>
          <w:sz w:val="16"/>
          <w:szCs w:val="16"/>
          <w:lang w:val="ro-RO"/>
        </w:rPr>
        <w:t xml:space="preserve"> c</w:t>
      </w:r>
      <w:r w:rsidR="00C13F43" w:rsidRPr="00A321E7">
        <w:rPr>
          <w:rFonts w:ascii="Calibri Light" w:hAnsi="Calibri Light" w:cs="Calibri Light"/>
          <w:sz w:val="16"/>
          <w:szCs w:val="16"/>
          <w:lang w:val="ro-RO"/>
        </w:rPr>
        <w:t>u modificările și completările ulterioare</w:t>
      </w:r>
      <w:r w:rsidR="00B57BE9">
        <w:rPr>
          <w:rFonts w:ascii="Calibri Light" w:hAnsi="Calibri Light" w:cs="Calibri Light"/>
          <w:sz w:val="16"/>
          <w:szCs w:val="16"/>
          <w:lang w:val="ro-RO"/>
        </w:rPr>
        <w:t>.</w:t>
      </w:r>
    </w:p>
  </w:footnote>
  <w:footnote w:id="3">
    <w:p w:rsidR="00DF21B9" w:rsidRPr="005F7A8E" w:rsidRDefault="00DF21B9" w:rsidP="00DF21B9">
      <w:pPr>
        <w:pStyle w:val="ab"/>
        <w:spacing w:after="0"/>
        <w:rPr>
          <w:rFonts w:asciiTheme="majorHAnsi" w:hAnsiTheme="majorHAnsi" w:cstheme="majorHAnsi"/>
          <w:sz w:val="16"/>
          <w:szCs w:val="16"/>
          <w:lang w:val="ro-MD"/>
        </w:rPr>
      </w:pPr>
      <w:r w:rsidRPr="00A321E7">
        <w:rPr>
          <w:rStyle w:val="a5"/>
          <w:rFonts w:asciiTheme="majorHAnsi" w:hAnsiTheme="majorHAnsi" w:cstheme="majorHAnsi"/>
          <w:sz w:val="16"/>
          <w:szCs w:val="16"/>
          <w:lang w:val="ro-MD"/>
        </w:rPr>
        <w:footnoteRef/>
      </w:r>
      <w:r w:rsidRPr="00A321E7">
        <w:rPr>
          <w:rFonts w:asciiTheme="majorHAnsi" w:hAnsiTheme="majorHAnsi" w:cstheme="majorHAnsi"/>
          <w:sz w:val="16"/>
          <w:szCs w:val="16"/>
          <w:lang w:val="ro-MD"/>
        </w:rPr>
        <w:t xml:space="preserve"> Hotărârea Curții de Conturi nr.2 din 24.01.2020 „Cu privire</w:t>
      </w:r>
      <w:r w:rsidRPr="005F7A8E">
        <w:rPr>
          <w:rFonts w:asciiTheme="majorHAnsi" w:hAnsiTheme="majorHAnsi" w:cstheme="majorHAnsi"/>
          <w:sz w:val="16"/>
          <w:szCs w:val="16"/>
          <w:lang w:val="ro-MD"/>
        </w:rPr>
        <w:t xml:space="preserve"> la Cadrul Declarațiilor Profesionale ale INTOSAI”.</w:t>
      </w:r>
    </w:p>
  </w:footnote>
  <w:footnote w:id="4">
    <w:p w:rsidR="00DF21B9" w:rsidRPr="005F7A8E" w:rsidRDefault="00DF21B9" w:rsidP="00675BA9">
      <w:pPr>
        <w:pStyle w:val="ad"/>
        <w:rPr>
          <w:rFonts w:asciiTheme="majorHAnsi" w:hAnsiTheme="majorHAnsi" w:cstheme="majorHAnsi"/>
          <w:noProof/>
          <w:sz w:val="16"/>
          <w:szCs w:val="16"/>
          <w:lang w:val="ro-MD"/>
        </w:rPr>
      </w:pPr>
      <w:r w:rsidRPr="005F7A8E">
        <w:rPr>
          <w:rStyle w:val="a5"/>
          <w:rFonts w:asciiTheme="majorHAnsi" w:hAnsiTheme="majorHAnsi" w:cstheme="majorHAnsi"/>
          <w:noProof/>
          <w:sz w:val="16"/>
          <w:szCs w:val="16"/>
          <w:lang w:val="ro-MD"/>
        </w:rPr>
        <w:footnoteRef/>
      </w:r>
      <w:r w:rsidRPr="005F7A8E">
        <w:rPr>
          <w:rFonts w:asciiTheme="majorHAnsi" w:hAnsiTheme="majorHAnsi" w:cstheme="majorHAnsi"/>
          <w:noProof/>
          <w:sz w:val="16"/>
          <w:szCs w:val="16"/>
          <w:lang w:val="ro-MD"/>
        </w:rPr>
        <w:t xml:space="preserve"> Ordinul ministrului </w:t>
      </w:r>
      <w:r>
        <w:rPr>
          <w:rFonts w:asciiTheme="majorHAnsi" w:hAnsiTheme="majorHAnsi" w:cstheme="majorHAnsi"/>
          <w:noProof/>
          <w:sz w:val="16"/>
          <w:szCs w:val="16"/>
          <w:lang w:val="ro-MD"/>
        </w:rPr>
        <w:t>F</w:t>
      </w:r>
      <w:r w:rsidRPr="005F7A8E">
        <w:rPr>
          <w:rFonts w:asciiTheme="majorHAnsi" w:hAnsiTheme="majorHAnsi" w:cstheme="majorHAnsi"/>
          <w:noProof/>
          <w:sz w:val="16"/>
          <w:szCs w:val="16"/>
          <w:lang w:val="ro-MD"/>
        </w:rPr>
        <w:t>inanțelor nr.38 din 17.02.2017 „Cu privire la aprobarea formularelor Rapoartelor privind executarea bugetului asigurărilor sociale de stat şi Normelor metodologice privind modul de întocmire a acestora” (cu modificările și completările ulterioare).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0F3" w:rsidRPr="00B57BE9" w:rsidRDefault="00C009B9" w:rsidP="00F930F3">
    <w:pPr>
      <w:pStyle w:val="ae"/>
      <w:jc w:val="right"/>
      <w:rPr>
        <w:sz w:val="24"/>
        <w:lang w:val="ro-M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E26F39"/>
    <w:multiLevelType w:val="multilevel"/>
    <w:tmpl w:val="D1509976"/>
    <w:lvl w:ilvl="0">
      <w:start w:val="1"/>
      <w:numFmt w:val="decimal"/>
      <w:lvlText w:val="%1."/>
      <w:lvlJc w:val="left"/>
      <w:pPr>
        <w:ind w:left="1920" w:hanging="360"/>
      </w:pPr>
      <w:rPr>
        <w:rFonts w:hint="default"/>
        <w:b/>
        <w:color w:val="auto"/>
      </w:rPr>
    </w:lvl>
    <w:lvl w:ilvl="1">
      <w:start w:val="1"/>
      <w:numFmt w:val="decimal"/>
      <w:isLgl/>
      <w:lvlText w:val="%1.%2."/>
      <w:lvlJc w:val="left"/>
      <w:pPr>
        <w:ind w:left="1430" w:hanging="720"/>
      </w:pPr>
      <w:rPr>
        <w:rFonts w:hint="default"/>
        <w:b/>
      </w:rPr>
    </w:lvl>
    <w:lvl w:ilvl="2">
      <w:start w:val="1"/>
      <w:numFmt w:val="decimal"/>
      <w:isLgl/>
      <w:lvlText w:val="%1.%2.%3."/>
      <w:lvlJc w:val="left"/>
      <w:pPr>
        <w:ind w:left="1430" w:hanging="720"/>
      </w:pPr>
      <w:rPr>
        <w:rFonts w:hint="default"/>
        <w:b/>
        <w:i w:val="0"/>
      </w:rPr>
    </w:lvl>
    <w:lvl w:ilvl="3">
      <w:start w:val="1"/>
      <w:numFmt w:val="decimal"/>
      <w:isLgl/>
      <w:lvlText w:val="%1.%2.%3.%4."/>
      <w:lvlJc w:val="left"/>
      <w:pPr>
        <w:ind w:left="7331" w:hanging="1080"/>
      </w:pPr>
      <w:rPr>
        <w:rFonts w:hint="default"/>
        <w:b/>
      </w:rPr>
    </w:lvl>
    <w:lvl w:ilvl="4">
      <w:start w:val="1"/>
      <w:numFmt w:val="decimal"/>
      <w:isLgl/>
      <w:lvlText w:val="%1.%2.%3.%4.%5."/>
      <w:lvlJc w:val="left"/>
      <w:pPr>
        <w:ind w:left="7331" w:hanging="1080"/>
      </w:pPr>
      <w:rPr>
        <w:rFonts w:hint="default"/>
        <w:b/>
      </w:rPr>
    </w:lvl>
    <w:lvl w:ilvl="5">
      <w:start w:val="1"/>
      <w:numFmt w:val="decimal"/>
      <w:isLgl/>
      <w:lvlText w:val="%1.%2.%3.%4.%5.%6."/>
      <w:lvlJc w:val="left"/>
      <w:pPr>
        <w:ind w:left="7691" w:hanging="1440"/>
      </w:pPr>
      <w:rPr>
        <w:rFonts w:hint="default"/>
        <w:b/>
      </w:rPr>
    </w:lvl>
    <w:lvl w:ilvl="6">
      <w:start w:val="1"/>
      <w:numFmt w:val="decimal"/>
      <w:isLgl/>
      <w:lvlText w:val="%1.%2.%3.%4.%5.%6.%7."/>
      <w:lvlJc w:val="left"/>
      <w:pPr>
        <w:ind w:left="8051" w:hanging="1800"/>
      </w:pPr>
      <w:rPr>
        <w:rFonts w:hint="default"/>
        <w:b/>
      </w:rPr>
    </w:lvl>
    <w:lvl w:ilvl="7">
      <w:start w:val="1"/>
      <w:numFmt w:val="decimal"/>
      <w:isLgl/>
      <w:lvlText w:val="%1.%2.%3.%4.%5.%6.%7.%8."/>
      <w:lvlJc w:val="left"/>
      <w:pPr>
        <w:ind w:left="8051" w:hanging="1800"/>
      </w:pPr>
      <w:rPr>
        <w:rFonts w:hint="default"/>
        <w:b/>
      </w:rPr>
    </w:lvl>
    <w:lvl w:ilvl="8">
      <w:start w:val="1"/>
      <w:numFmt w:val="decimal"/>
      <w:isLgl/>
      <w:lvlText w:val="%1.%2.%3.%4.%5.%6.%7.%8.%9."/>
      <w:lvlJc w:val="left"/>
      <w:pPr>
        <w:ind w:left="8411" w:hanging="2160"/>
      </w:pPr>
      <w:rPr>
        <w:rFonts w:hint="default"/>
        <w:b/>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89"/>
    <w:rsid w:val="000202E7"/>
    <w:rsid w:val="00021368"/>
    <w:rsid w:val="0003353E"/>
    <w:rsid w:val="0009528D"/>
    <w:rsid w:val="000A091C"/>
    <w:rsid w:val="000C254B"/>
    <w:rsid w:val="000E435E"/>
    <w:rsid w:val="000E7362"/>
    <w:rsid w:val="000F6C89"/>
    <w:rsid w:val="0015678E"/>
    <w:rsid w:val="00192848"/>
    <w:rsid w:val="002023C8"/>
    <w:rsid w:val="00236188"/>
    <w:rsid w:val="0032348C"/>
    <w:rsid w:val="00325FE0"/>
    <w:rsid w:val="00356CDD"/>
    <w:rsid w:val="00390536"/>
    <w:rsid w:val="00396F30"/>
    <w:rsid w:val="003C1567"/>
    <w:rsid w:val="003F17A1"/>
    <w:rsid w:val="00485496"/>
    <w:rsid w:val="0048655A"/>
    <w:rsid w:val="004B1648"/>
    <w:rsid w:val="00527181"/>
    <w:rsid w:val="00540C9D"/>
    <w:rsid w:val="00584C60"/>
    <w:rsid w:val="005F3A2E"/>
    <w:rsid w:val="006122B9"/>
    <w:rsid w:val="00675BA9"/>
    <w:rsid w:val="007152AF"/>
    <w:rsid w:val="00724990"/>
    <w:rsid w:val="007613A1"/>
    <w:rsid w:val="00765A10"/>
    <w:rsid w:val="00767FAA"/>
    <w:rsid w:val="007C06F6"/>
    <w:rsid w:val="00834678"/>
    <w:rsid w:val="00845D04"/>
    <w:rsid w:val="0087694E"/>
    <w:rsid w:val="00881747"/>
    <w:rsid w:val="00890E4C"/>
    <w:rsid w:val="008C31A0"/>
    <w:rsid w:val="008C7352"/>
    <w:rsid w:val="008E1982"/>
    <w:rsid w:val="008E7889"/>
    <w:rsid w:val="0092231C"/>
    <w:rsid w:val="0096437D"/>
    <w:rsid w:val="00987F28"/>
    <w:rsid w:val="009D6989"/>
    <w:rsid w:val="009E1716"/>
    <w:rsid w:val="009E4BE0"/>
    <w:rsid w:val="00A15D57"/>
    <w:rsid w:val="00A23A34"/>
    <w:rsid w:val="00A321E7"/>
    <w:rsid w:val="00A51A4E"/>
    <w:rsid w:val="00AD2702"/>
    <w:rsid w:val="00AE1682"/>
    <w:rsid w:val="00B11B4C"/>
    <w:rsid w:val="00B41C79"/>
    <w:rsid w:val="00B57BE9"/>
    <w:rsid w:val="00B76CE1"/>
    <w:rsid w:val="00BB68D6"/>
    <w:rsid w:val="00C009B9"/>
    <w:rsid w:val="00C118ED"/>
    <w:rsid w:val="00C13F43"/>
    <w:rsid w:val="00C34F82"/>
    <w:rsid w:val="00C601F5"/>
    <w:rsid w:val="00CE3455"/>
    <w:rsid w:val="00D001E3"/>
    <w:rsid w:val="00DD2953"/>
    <w:rsid w:val="00DF21B9"/>
    <w:rsid w:val="00E940C1"/>
    <w:rsid w:val="00ED6C5B"/>
    <w:rsid w:val="00F04CBF"/>
    <w:rsid w:val="00F37044"/>
    <w:rsid w:val="00F43F04"/>
    <w:rsid w:val="00F7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6D076-9C4A-41B2-BA0D-3B07CFB4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1B9"/>
    <w:pPr>
      <w:spacing w:line="276"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DF21B9"/>
    <w:pPr>
      <w:spacing w:after="0" w:line="240" w:lineRule="auto"/>
      <w:jc w:val="center"/>
    </w:pPr>
    <w:rPr>
      <w:rFonts w:ascii="Times New Roman" w:eastAsia="Times New Roman" w:hAnsi="Times New Roman" w:cs="Times New Roman"/>
      <w:sz w:val="24"/>
      <w:szCs w:val="24"/>
    </w:rPr>
  </w:style>
  <w:style w:type="paragraph" w:styleId="a3">
    <w:name w:val="footnote text"/>
    <w:aliases w:val="Char,Знак1,Fußnote Char Char,Fußnote Char,Fußnote Char Car Char Char,Fußnote Char Car Char Char Char Char Char Char Char Char Char Char,Fußnote Char Car Char Char Char Char Char Char Char Char Char Char Char Char Char Char,fn,single space"/>
    <w:basedOn w:val="a"/>
    <w:link w:val="a4"/>
    <w:uiPriority w:val="99"/>
    <w:unhideWhenUsed/>
    <w:qFormat/>
    <w:rsid w:val="00DF21B9"/>
    <w:pPr>
      <w:spacing w:after="0" w:line="240" w:lineRule="auto"/>
    </w:pPr>
    <w:rPr>
      <w:sz w:val="20"/>
      <w:szCs w:val="20"/>
    </w:rPr>
  </w:style>
  <w:style w:type="character" w:customStyle="1" w:styleId="a4">
    <w:name w:val="Текст сноски Знак"/>
    <w:aliases w:val="Char Знак,Знак1 Знак,Fußnote Char Char Знак,Fußnote Char Знак,Fußnote Char Car Char Char Знак,Fußnote Char Car Char Char Char Char Char Char Char Char Char Char Знак,fn Знак,single space Знак"/>
    <w:basedOn w:val="a0"/>
    <w:link w:val="a3"/>
    <w:uiPriority w:val="99"/>
    <w:rsid w:val="00DF21B9"/>
    <w:rPr>
      <w:sz w:val="20"/>
      <w:szCs w:val="20"/>
    </w:rPr>
  </w:style>
  <w:style w:type="character" w:styleId="a5">
    <w:name w:val="footnote reference"/>
    <w:aliases w:val="ftref,Times 10 Point,Exposant 3 Point,Footnote symbol,Footnote reference number,EN Footnote Reference,note TESI,16 Point,Superscript 6 Point,BVI fnr,Char Char1,FOOTNOTES Char1,fn Char1,single space Char1,ft Char1,Ref"/>
    <w:basedOn w:val="a0"/>
    <w:link w:val="FNRefeCharChar"/>
    <w:uiPriority w:val="99"/>
    <w:unhideWhenUsed/>
    <w:rsid w:val="00DF21B9"/>
    <w:rPr>
      <w:vertAlign w:val="superscript"/>
    </w:rPr>
  </w:style>
  <w:style w:type="paragraph" w:styleId="a6">
    <w:name w:val="footer"/>
    <w:basedOn w:val="a"/>
    <w:link w:val="a7"/>
    <w:uiPriority w:val="99"/>
    <w:unhideWhenUsed/>
    <w:rsid w:val="00DF21B9"/>
    <w:pPr>
      <w:tabs>
        <w:tab w:val="center" w:pos="4844"/>
        <w:tab w:val="right" w:pos="9689"/>
      </w:tabs>
      <w:spacing w:after="0" w:line="240" w:lineRule="auto"/>
    </w:pPr>
  </w:style>
  <w:style w:type="character" w:customStyle="1" w:styleId="a7">
    <w:name w:val="Нижний колонтитул Знак"/>
    <w:basedOn w:val="a0"/>
    <w:link w:val="a6"/>
    <w:uiPriority w:val="99"/>
    <w:rsid w:val="00DF21B9"/>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a"/>
    <w:link w:val="a5"/>
    <w:uiPriority w:val="99"/>
    <w:qFormat/>
    <w:rsid w:val="00DF21B9"/>
    <w:pPr>
      <w:spacing w:line="240" w:lineRule="exact"/>
    </w:pPr>
    <w:rPr>
      <w:vertAlign w:val="superscript"/>
    </w:rPr>
  </w:style>
  <w:style w:type="paragraph" w:customStyle="1" w:styleId="cp">
    <w:name w:val="cp"/>
    <w:basedOn w:val="a"/>
    <w:rsid w:val="00DF21B9"/>
    <w:pPr>
      <w:spacing w:after="0" w:line="240" w:lineRule="auto"/>
      <w:jc w:val="center"/>
    </w:pPr>
    <w:rPr>
      <w:rFonts w:ascii="Times New Roman" w:eastAsia="Times New Roman" w:hAnsi="Times New Roman" w:cs="Times New Roman"/>
      <w:b/>
      <w:bCs/>
      <w:sz w:val="24"/>
      <w:szCs w:val="24"/>
    </w:rPr>
  </w:style>
  <w:style w:type="character" w:styleId="a8">
    <w:name w:val="Hyperlink"/>
    <w:basedOn w:val="a0"/>
    <w:uiPriority w:val="99"/>
    <w:unhideWhenUsed/>
    <w:rsid w:val="00DF21B9"/>
    <w:rPr>
      <w:color w:val="0563C1" w:themeColor="hyperlink"/>
      <w:u w:val="single"/>
    </w:rPr>
  </w:style>
  <w:style w:type="paragraph" w:styleId="a9">
    <w:name w:val="List Paragraph"/>
    <w:aliases w:val="List Paragraph 1,strikethrough,Scriptoria bullet points,Абзац списка1,Bullets,References,Liste 1,List Paragraph nowy,Numbered List Paragraph,List Paragraph (numbered (a)),Medium Grid 1 - Accent 21,Paragraphe de liste2,Paragraphe de liste1"/>
    <w:basedOn w:val="a"/>
    <w:link w:val="aa"/>
    <w:uiPriority w:val="34"/>
    <w:qFormat/>
    <w:rsid w:val="00DF21B9"/>
    <w:pPr>
      <w:ind w:left="720"/>
      <w:contextualSpacing/>
    </w:pPr>
    <w:rPr>
      <w:lang w:val="ro-RO"/>
    </w:rPr>
  </w:style>
  <w:style w:type="character" w:customStyle="1" w:styleId="aa">
    <w:name w:val="Абзац списка Знак"/>
    <w:aliases w:val="List Paragraph 1 Знак,strikethrough Знак,Scriptoria bullet points Знак,Абзац списка1 Знак,Bullets Знак,References Знак,Liste 1 Знак,List Paragraph nowy Знак,Numbered List Paragraph Знак,List Paragraph (numbered (a)) Знак"/>
    <w:link w:val="a9"/>
    <w:uiPriority w:val="34"/>
    <w:rsid w:val="00DF21B9"/>
    <w:rPr>
      <w:lang w:val="ro-RO"/>
    </w:rPr>
  </w:style>
  <w:style w:type="paragraph" w:styleId="ab">
    <w:name w:val="annotation text"/>
    <w:basedOn w:val="a"/>
    <w:link w:val="ac"/>
    <w:uiPriority w:val="99"/>
    <w:unhideWhenUsed/>
    <w:rsid w:val="00DF21B9"/>
    <w:pPr>
      <w:spacing w:line="240" w:lineRule="auto"/>
    </w:pPr>
    <w:rPr>
      <w:sz w:val="20"/>
      <w:szCs w:val="20"/>
    </w:rPr>
  </w:style>
  <w:style w:type="character" w:customStyle="1" w:styleId="ac">
    <w:name w:val="Текст примечания Знак"/>
    <w:basedOn w:val="a0"/>
    <w:link w:val="ab"/>
    <w:uiPriority w:val="99"/>
    <w:rsid w:val="00DF21B9"/>
    <w:rPr>
      <w:sz w:val="20"/>
      <w:szCs w:val="20"/>
    </w:rPr>
  </w:style>
  <w:style w:type="paragraph" w:styleId="ad">
    <w:name w:val="No Spacing"/>
    <w:aliases w:val="Subsol,referinta"/>
    <w:uiPriority w:val="1"/>
    <w:qFormat/>
    <w:rsid w:val="00DF21B9"/>
    <w:pPr>
      <w:widowControl w:val="0"/>
      <w:autoSpaceDE w:val="0"/>
      <w:autoSpaceDN w:val="0"/>
      <w:adjustRightInd w:val="0"/>
      <w:spacing w:after="0" w:line="240" w:lineRule="auto"/>
      <w:ind w:firstLine="709"/>
      <w:jc w:val="both"/>
    </w:pPr>
    <w:rPr>
      <w:rFonts w:ascii="Arial" w:eastAsiaTheme="minorEastAsia" w:hAnsi="Arial" w:cs="Arial"/>
      <w:sz w:val="20"/>
      <w:szCs w:val="20"/>
    </w:rPr>
  </w:style>
  <w:style w:type="paragraph" w:styleId="ae">
    <w:name w:val="header"/>
    <w:basedOn w:val="a"/>
    <w:link w:val="af"/>
    <w:uiPriority w:val="99"/>
    <w:unhideWhenUsed/>
    <w:rsid w:val="00DF21B9"/>
    <w:pPr>
      <w:tabs>
        <w:tab w:val="center" w:pos="4844"/>
        <w:tab w:val="right" w:pos="9689"/>
      </w:tabs>
      <w:spacing w:after="0" w:line="240" w:lineRule="auto"/>
    </w:pPr>
  </w:style>
  <w:style w:type="character" w:customStyle="1" w:styleId="af">
    <w:name w:val="Верхний колонтитул Знак"/>
    <w:basedOn w:val="a0"/>
    <w:link w:val="ae"/>
    <w:uiPriority w:val="99"/>
    <w:rsid w:val="00DF21B9"/>
  </w:style>
  <w:style w:type="paragraph" w:styleId="af0">
    <w:name w:val="Balloon Text"/>
    <w:basedOn w:val="a"/>
    <w:link w:val="af1"/>
    <w:uiPriority w:val="99"/>
    <w:semiHidden/>
    <w:unhideWhenUsed/>
    <w:rsid w:val="00724990"/>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724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64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crm.md/ro/dec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72CE8-988C-4AB2-ADA9-270BE4832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5047</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Rogaciov Irina</dc:creator>
  <cp:keywords/>
  <dc:description/>
  <cp:lastModifiedBy>Paiu Eugenia</cp:lastModifiedBy>
  <cp:revision>2</cp:revision>
  <cp:lastPrinted>2023-05-26T11:02:00Z</cp:lastPrinted>
  <dcterms:created xsi:type="dcterms:W3CDTF">2023-05-29T12:00:00Z</dcterms:created>
  <dcterms:modified xsi:type="dcterms:W3CDTF">2023-05-29T12:00:00Z</dcterms:modified>
</cp:coreProperties>
</file>